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DF08C" w14:textId="30555602" w:rsidR="00AF1E43" w:rsidRDefault="00390095" w:rsidP="007F31E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Kommuniké från extra bolagsstämma</w:t>
      </w:r>
    </w:p>
    <w:p w14:paraId="170FF03D" w14:textId="77777777" w:rsidR="003D7C74" w:rsidRPr="00F35EF7" w:rsidRDefault="003D7C74" w:rsidP="007F31E7">
      <w:pPr>
        <w:spacing w:after="0" w:line="240" w:lineRule="auto"/>
        <w:rPr>
          <w:sz w:val="18"/>
          <w:szCs w:val="18"/>
        </w:rPr>
      </w:pPr>
    </w:p>
    <w:p w14:paraId="769B6D06" w14:textId="30EB8A98" w:rsidR="000540F5" w:rsidRDefault="001465D2" w:rsidP="000540F5">
      <w:pPr>
        <w:spacing w:after="0" w:line="240" w:lineRule="auto"/>
        <w:rPr>
          <w:rFonts w:cs="Tahoma"/>
          <w:b/>
          <w:bCs/>
          <w:color w:val="000000"/>
          <w:sz w:val="18"/>
          <w:szCs w:val="18"/>
        </w:rPr>
      </w:pPr>
      <w:r>
        <w:rPr>
          <w:rFonts w:cs="Tahoma"/>
          <w:b/>
          <w:bCs/>
          <w:color w:val="000000"/>
          <w:sz w:val="18"/>
          <w:szCs w:val="18"/>
        </w:rPr>
        <w:t>Vid e</w:t>
      </w:r>
      <w:r w:rsidR="00390095">
        <w:rPr>
          <w:rFonts w:cs="Tahoma"/>
          <w:b/>
          <w:bCs/>
          <w:color w:val="000000"/>
          <w:sz w:val="18"/>
          <w:szCs w:val="18"/>
        </w:rPr>
        <w:t xml:space="preserve">xtra bolagsstämma i </w:t>
      </w:r>
      <w:r w:rsidR="000540F5">
        <w:rPr>
          <w:rFonts w:cs="Tahoma"/>
          <w:b/>
          <w:bCs/>
          <w:color w:val="000000"/>
          <w:sz w:val="18"/>
          <w:szCs w:val="18"/>
        </w:rPr>
        <w:t>GWS Production AB (”GWS”)</w:t>
      </w:r>
      <w:r w:rsidR="000540F5" w:rsidRPr="000540F5">
        <w:rPr>
          <w:rFonts w:cs="Tahoma"/>
          <w:b/>
          <w:bCs/>
          <w:color w:val="000000"/>
          <w:sz w:val="18"/>
          <w:szCs w:val="18"/>
        </w:rPr>
        <w:t xml:space="preserve"> </w:t>
      </w:r>
      <w:r w:rsidR="009878E8">
        <w:rPr>
          <w:rFonts w:cs="Tahoma"/>
          <w:b/>
          <w:bCs/>
          <w:color w:val="000000"/>
          <w:sz w:val="18"/>
          <w:szCs w:val="18"/>
        </w:rPr>
        <w:t>den 13 oktober fattades</w:t>
      </w:r>
      <w:r w:rsidR="00EB6E05">
        <w:rPr>
          <w:rFonts w:cs="Tahoma"/>
          <w:b/>
          <w:bCs/>
          <w:color w:val="000000"/>
          <w:sz w:val="18"/>
          <w:szCs w:val="18"/>
        </w:rPr>
        <w:t xml:space="preserve"> beslut </w:t>
      </w:r>
      <w:r w:rsidR="00390095">
        <w:rPr>
          <w:rFonts w:cs="Tahoma"/>
          <w:b/>
          <w:bCs/>
          <w:color w:val="000000"/>
          <w:sz w:val="18"/>
          <w:szCs w:val="18"/>
        </w:rPr>
        <w:t xml:space="preserve">om riktad emission samt inval av en ny styrelseledamot. </w:t>
      </w:r>
    </w:p>
    <w:p w14:paraId="32579E24" w14:textId="77777777" w:rsidR="000540F5" w:rsidRDefault="000540F5" w:rsidP="000540F5">
      <w:pPr>
        <w:spacing w:after="0" w:line="240" w:lineRule="auto"/>
        <w:rPr>
          <w:rFonts w:cs="Tahoma"/>
          <w:b/>
          <w:bCs/>
          <w:color w:val="000000"/>
          <w:sz w:val="18"/>
          <w:szCs w:val="18"/>
        </w:rPr>
      </w:pPr>
    </w:p>
    <w:p w14:paraId="65BEAEBE" w14:textId="298F85E3" w:rsidR="00390095" w:rsidRPr="00390095" w:rsidRDefault="00390095" w:rsidP="00390095">
      <w:pPr>
        <w:spacing w:after="0" w:line="240" w:lineRule="auto"/>
        <w:rPr>
          <w:rFonts w:cs="Tahoma"/>
          <w:b/>
          <w:bCs/>
          <w:color w:val="000000"/>
          <w:sz w:val="18"/>
          <w:szCs w:val="18"/>
        </w:rPr>
      </w:pPr>
      <w:r>
        <w:rPr>
          <w:rFonts w:cs="Tahoma"/>
          <w:b/>
          <w:bCs/>
          <w:color w:val="000000"/>
          <w:sz w:val="18"/>
          <w:szCs w:val="18"/>
        </w:rPr>
        <w:t>B</w:t>
      </w:r>
      <w:r w:rsidRPr="00390095">
        <w:rPr>
          <w:rFonts w:cs="Tahoma"/>
          <w:b/>
          <w:bCs/>
          <w:color w:val="000000"/>
          <w:sz w:val="18"/>
          <w:szCs w:val="18"/>
        </w:rPr>
        <w:t>eslut om riktad emission</w:t>
      </w:r>
    </w:p>
    <w:p w14:paraId="5F42A1D0" w14:textId="7E242FEA" w:rsidR="00390095" w:rsidRPr="00390095" w:rsidRDefault="00390095" w:rsidP="00390095">
      <w:pPr>
        <w:spacing w:after="0" w:line="240" w:lineRule="auto"/>
        <w:rPr>
          <w:rFonts w:cs="Tahoma"/>
          <w:bCs/>
          <w:color w:val="000000"/>
          <w:sz w:val="18"/>
          <w:szCs w:val="18"/>
        </w:rPr>
      </w:pPr>
      <w:r>
        <w:rPr>
          <w:rFonts w:cs="Tahoma"/>
          <w:bCs/>
          <w:color w:val="000000"/>
          <w:sz w:val="18"/>
          <w:szCs w:val="18"/>
        </w:rPr>
        <w:t>Stämman beslutade</w:t>
      </w:r>
      <w:r w:rsidRPr="00390095">
        <w:rPr>
          <w:rFonts w:cs="Tahoma"/>
          <w:bCs/>
          <w:color w:val="000000"/>
          <w:sz w:val="18"/>
          <w:szCs w:val="18"/>
        </w:rPr>
        <w:t xml:space="preserve"> om en riktad emission enligt nedanstående villkor.</w:t>
      </w:r>
    </w:p>
    <w:p w14:paraId="1A468CE5" w14:textId="77777777" w:rsidR="00390095" w:rsidRPr="00390095" w:rsidRDefault="00390095" w:rsidP="00390095">
      <w:pPr>
        <w:spacing w:after="0" w:line="240" w:lineRule="auto"/>
        <w:rPr>
          <w:rFonts w:cs="Tahoma"/>
          <w:bCs/>
          <w:color w:val="000000"/>
          <w:sz w:val="18"/>
          <w:szCs w:val="18"/>
        </w:rPr>
      </w:pPr>
    </w:p>
    <w:p w14:paraId="1F97E8FD" w14:textId="03CDFB71" w:rsidR="00390095" w:rsidRPr="00390095" w:rsidRDefault="00390095" w:rsidP="00390095">
      <w:pPr>
        <w:tabs>
          <w:tab w:val="left" w:pos="300"/>
        </w:tabs>
        <w:spacing w:after="0" w:line="240" w:lineRule="auto"/>
        <w:rPr>
          <w:rFonts w:cs="Tahoma"/>
          <w:bCs/>
          <w:color w:val="000000"/>
          <w:sz w:val="18"/>
          <w:szCs w:val="18"/>
        </w:rPr>
      </w:pPr>
      <w:r>
        <w:rPr>
          <w:rFonts w:cs="Tahoma"/>
          <w:bCs/>
          <w:color w:val="000000"/>
          <w:sz w:val="18"/>
          <w:szCs w:val="18"/>
        </w:rPr>
        <w:t xml:space="preserve">Fulltecknad </w:t>
      </w:r>
      <w:r w:rsidRPr="00390095">
        <w:rPr>
          <w:rFonts w:cs="Tahoma"/>
          <w:bCs/>
          <w:color w:val="000000"/>
          <w:sz w:val="18"/>
          <w:szCs w:val="18"/>
        </w:rPr>
        <w:t>emission</w:t>
      </w:r>
      <w:r>
        <w:rPr>
          <w:rFonts w:cs="Tahoma"/>
          <w:bCs/>
          <w:color w:val="000000"/>
          <w:sz w:val="18"/>
          <w:szCs w:val="18"/>
        </w:rPr>
        <w:t xml:space="preserve"> ökar </w:t>
      </w:r>
      <w:r w:rsidRPr="00390095">
        <w:rPr>
          <w:rFonts w:cs="Tahoma"/>
          <w:bCs/>
          <w:color w:val="000000"/>
          <w:sz w:val="18"/>
          <w:szCs w:val="18"/>
        </w:rPr>
        <w:t>aktiekapitalet med 76 829,92 kronor genom utgivande av 960 374 aktier, envar aktie med ett kvotvärde om 0,08 kronor.</w:t>
      </w:r>
    </w:p>
    <w:p w14:paraId="21D1E371" w14:textId="77777777" w:rsidR="00390095" w:rsidRPr="00390095" w:rsidRDefault="00390095" w:rsidP="00390095">
      <w:pPr>
        <w:tabs>
          <w:tab w:val="left" w:pos="300"/>
        </w:tabs>
        <w:spacing w:after="0" w:line="240" w:lineRule="auto"/>
        <w:rPr>
          <w:rFonts w:cs="Tahoma"/>
          <w:bCs/>
          <w:color w:val="000000"/>
          <w:sz w:val="18"/>
          <w:szCs w:val="18"/>
        </w:rPr>
      </w:pPr>
    </w:p>
    <w:p w14:paraId="0C0F1C01" w14:textId="1033BDE6" w:rsidR="00390095" w:rsidRPr="00390095" w:rsidRDefault="00390095" w:rsidP="00390095">
      <w:pPr>
        <w:tabs>
          <w:tab w:val="left" w:pos="300"/>
        </w:tabs>
        <w:spacing w:after="0" w:line="240" w:lineRule="auto"/>
        <w:rPr>
          <w:rFonts w:cs="Tahoma"/>
          <w:bCs/>
          <w:color w:val="000000"/>
          <w:sz w:val="18"/>
          <w:szCs w:val="18"/>
        </w:rPr>
      </w:pPr>
      <w:r>
        <w:rPr>
          <w:rFonts w:cs="Tahoma"/>
          <w:bCs/>
          <w:color w:val="000000"/>
          <w:sz w:val="18"/>
          <w:szCs w:val="18"/>
        </w:rPr>
        <w:t xml:space="preserve">Vid fulltecknad emission emitterar </w:t>
      </w:r>
      <w:r w:rsidRPr="00390095">
        <w:rPr>
          <w:rFonts w:cs="Tahoma"/>
          <w:bCs/>
          <w:color w:val="000000"/>
          <w:sz w:val="18"/>
          <w:szCs w:val="18"/>
        </w:rPr>
        <w:t>bolaget 960 374 teckningsoptioner av serie TO 2 berättigande till teckning av vardera en ny aktie i bolaget. Genom utnyttjande av de utgivna teckningsoptionerna av serie TO 2 kan aktiekapitalet öka med 76 829,92 kronor.</w:t>
      </w:r>
    </w:p>
    <w:p w14:paraId="3AB1FD73" w14:textId="77777777" w:rsidR="00390095" w:rsidRPr="00390095" w:rsidRDefault="00390095" w:rsidP="00390095">
      <w:pPr>
        <w:tabs>
          <w:tab w:val="left" w:pos="300"/>
        </w:tabs>
        <w:spacing w:after="0" w:line="240" w:lineRule="auto"/>
        <w:rPr>
          <w:rFonts w:cs="Tahoma"/>
          <w:bCs/>
          <w:color w:val="000000"/>
          <w:sz w:val="18"/>
          <w:szCs w:val="18"/>
        </w:rPr>
      </w:pPr>
    </w:p>
    <w:p w14:paraId="5954E943" w14:textId="722C8525" w:rsidR="00390095" w:rsidRPr="00390095" w:rsidRDefault="00390095" w:rsidP="00390095">
      <w:pPr>
        <w:tabs>
          <w:tab w:val="left" w:pos="300"/>
        </w:tabs>
        <w:spacing w:after="0" w:line="240" w:lineRule="auto"/>
        <w:rPr>
          <w:rFonts w:cs="Tahoma"/>
          <w:b/>
          <w:bCs/>
          <w:color w:val="000000"/>
          <w:sz w:val="18"/>
          <w:szCs w:val="18"/>
        </w:rPr>
      </w:pPr>
      <w:r w:rsidRPr="00390095">
        <w:rPr>
          <w:rFonts w:cs="Tahoma"/>
          <w:b/>
          <w:bCs/>
          <w:color w:val="000000"/>
          <w:sz w:val="18"/>
          <w:szCs w:val="18"/>
        </w:rPr>
        <w:t xml:space="preserve">För emissionen </w:t>
      </w:r>
      <w:r>
        <w:rPr>
          <w:rFonts w:cs="Tahoma"/>
          <w:b/>
          <w:bCs/>
          <w:color w:val="000000"/>
          <w:sz w:val="18"/>
          <w:szCs w:val="18"/>
        </w:rPr>
        <w:t>gäller</w:t>
      </w:r>
      <w:r w:rsidRPr="00390095">
        <w:rPr>
          <w:rFonts w:cs="Tahoma"/>
          <w:b/>
          <w:bCs/>
          <w:color w:val="000000"/>
          <w:sz w:val="18"/>
          <w:szCs w:val="18"/>
        </w:rPr>
        <w:t xml:space="preserve"> </w:t>
      </w:r>
      <w:r>
        <w:rPr>
          <w:rFonts w:cs="Tahoma"/>
          <w:b/>
          <w:bCs/>
          <w:color w:val="000000"/>
          <w:sz w:val="18"/>
          <w:szCs w:val="18"/>
        </w:rPr>
        <w:t>följande villkor i övrigt</w:t>
      </w:r>
    </w:p>
    <w:p w14:paraId="298589EE" w14:textId="77777777" w:rsidR="00390095" w:rsidRPr="00390095" w:rsidRDefault="00390095" w:rsidP="00390095">
      <w:pPr>
        <w:pStyle w:val="ListParagraph"/>
        <w:widowControl w:val="0"/>
        <w:spacing w:after="0" w:line="240" w:lineRule="auto"/>
        <w:ind w:left="0"/>
        <w:rPr>
          <w:rFonts w:cs="Tahoma"/>
          <w:bCs/>
          <w:color w:val="000000"/>
          <w:sz w:val="18"/>
          <w:szCs w:val="18"/>
        </w:rPr>
      </w:pPr>
    </w:p>
    <w:p w14:paraId="03093A18" w14:textId="2A99A455" w:rsidR="00390095" w:rsidRPr="00390095" w:rsidRDefault="00390095" w:rsidP="00390095">
      <w:pPr>
        <w:pStyle w:val="ListParagraph"/>
        <w:widowControl w:val="0"/>
        <w:numPr>
          <w:ilvl w:val="0"/>
          <w:numId w:val="6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contextualSpacing w:val="0"/>
        <w:rPr>
          <w:rFonts w:cs="Tahoma"/>
          <w:bCs/>
          <w:color w:val="000000"/>
          <w:sz w:val="18"/>
          <w:szCs w:val="18"/>
        </w:rPr>
      </w:pPr>
      <w:r w:rsidRPr="00390095">
        <w:rPr>
          <w:rFonts w:cs="Tahoma"/>
          <w:bCs/>
          <w:color w:val="000000"/>
          <w:sz w:val="18"/>
          <w:szCs w:val="18"/>
        </w:rPr>
        <w:t xml:space="preserve">En </w:t>
      </w:r>
      <w:proofErr w:type="spellStart"/>
      <w:r w:rsidRPr="00390095">
        <w:rPr>
          <w:rFonts w:cs="Tahoma"/>
          <w:bCs/>
          <w:color w:val="000000"/>
          <w:sz w:val="18"/>
          <w:szCs w:val="18"/>
        </w:rPr>
        <w:t>unit</w:t>
      </w:r>
      <w:proofErr w:type="spellEnd"/>
      <w:r w:rsidRPr="00390095">
        <w:rPr>
          <w:rFonts w:cs="Tahoma"/>
          <w:bCs/>
          <w:color w:val="000000"/>
          <w:sz w:val="18"/>
          <w:szCs w:val="18"/>
        </w:rPr>
        <w:t xml:space="preserve"> består av en (1) nyemitterad aktie och en (1) teckningsoption av serie TO 2 berättigande till tecknin</w:t>
      </w:r>
      <w:r>
        <w:rPr>
          <w:rFonts w:cs="Tahoma"/>
          <w:bCs/>
          <w:color w:val="000000"/>
          <w:sz w:val="18"/>
          <w:szCs w:val="18"/>
        </w:rPr>
        <w:t>g av en (1) ny aktie i bolaget.</w:t>
      </w:r>
    </w:p>
    <w:p w14:paraId="14065AE7" w14:textId="77436201" w:rsidR="00390095" w:rsidRPr="00390095" w:rsidRDefault="00390095" w:rsidP="00390095">
      <w:pPr>
        <w:pStyle w:val="ListParagraph"/>
        <w:widowControl w:val="0"/>
        <w:numPr>
          <w:ilvl w:val="0"/>
          <w:numId w:val="6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contextualSpacing w:val="0"/>
        <w:rPr>
          <w:rFonts w:cs="Tahoma"/>
          <w:bCs/>
          <w:color w:val="000000"/>
          <w:sz w:val="18"/>
          <w:szCs w:val="18"/>
        </w:rPr>
      </w:pPr>
      <w:r w:rsidRPr="00390095">
        <w:rPr>
          <w:rFonts w:cs="Tahoma"/>
          <w:bCs/>
          <w:color w:val="000000"/>
          <w:sz w:val="18"/>
          <w:szCs w:val="18"/>
        </w:rPr>
        <w:t xml:space="preserve">Rätt att teckna units skall, med avvikelse från aktieägarnas företrädesrätt, tillkomma Emirates </w:t>
      </w:r>
      <w:proofErr w:type="spellStart"/>
      <w:r w:rsidRPr="00390095">
        <w:rPr>
          <w:rFonts w:cs="Tahoma"/>
          <w:bCs/>
          <w:color w:val="000000"/>
          <w:sz w:val="18"/>
          <w:szCs w:val="18"/>
        </w:rPr>
        <w:t>Adv</w:t>
      </w:r>
      <w:r>
        <w:rPr>
          <w:rFonts w:cs="Tahoma"/>
          <w:bCs/>
          <w:color w:val="000000"/>
          <w:sz w:val="18"/>
          <w:szCs w:val="18"/>
        </w:rPr>
        <w:t>anced</w:t>
      </w:r>
      <w:proofErr w:type="spellEnd"/>
      <w:r>
        <w:rPr>
          <w:rFonts w:cs="Tahoma"/>
          <w:bCs/>
          <w:color w:val="000000"/>
          <w:sz w:val="18"/>
          <w:szCs w:val="18"/>
        </w:rPr>
        <w:t xml:space="preserve"> Investments Trading LLCC.</w:t>
      </w:r>
    </w:p>
    <w:p w14:paraId="52D9FB87" w14:textId="605FB3FF" w:rsidR="00390095" w:rsidRPr="00390095" w:rsidRDefault="00390095" w:rsidP="00390095">
      <w:pPr>
        <w:pStyle w:val="ListParagraph"/>
        <w:widowControl w:val="0"/>
        <w:numPr>
          <w:ilvl w:val="0"/>
          <w:numId w:val="6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contextualSpacing w:val="0"/>
        <w:rPr>
          <w:rFonts w:cs="Tahoma"/>
          <w:bCs/>
          <w:color w:val="000000"/>
          <w:sz w:val="18"/>
          <w:szCs w:val="18"/>
        </w:rPr>
      </w:pPr>
      <w:r w:rsidRPr="00390095">
        <w:rPr>
          <w:rFonts w:cs="Tahoma"/>
          <w:bCs/>
          <w:color w:val="000000"/>
          <w:sz w:val="18"/>
          <w:szCs w:val="18"/>
        </w:rPr>
        <w:t>Sty</w:t>
      </w:r>
      <w:r>
        <w:rPr>
          <w:rFonts w:cs="Tahoma"/>
          <w:bCs/>
          <w:color w:val="000000"/>
          <w:sz w:val="18"/>
          <w:szCs w:val="18"/>
        </w:rPr>
        <w:t>relsen beslutar om tilldelning.</w:t>
      </w:r>
    </w:p>
    <w:p w14:paraId="0F934FF3" w14:textId="7095B225" w:rsidR="00390095" w:rsidRPr="00390095" w:rsidRDefault="00390095" w:rsidP="00390095">
      <w:pPr>
        <w:pStyle w:val="ListParagraph"/>
        <w:widowControl w:val="0"/>
        <w:numPr>
          <w:ilvl w:val="0"/>
          <w:numId w:val="6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contextualSpacing w:val="0"/>
        <w:rPr>
          <w:rFonts w:cs="Tahoma"/>
          <w:bCs/>
          <w:color w:val="000000"/>
          <w:sz w:val="18"/>
          <w:szCs w:val="18"/>
        </w:rPr>
      </w:pPr>
      <w:r w:rsidRPr="00390095">
        <w:rPr>
          <w:rFonts w:cs="Tahoma"/>
          <w:bCs/>
          <w:color w:val="000000"/>
          <w:sz w:val="18"/>
          <w:szCs w:val="18"/>
        </w:rPr>
        <w:t xml:space="preserve">För varje tecknad </w:t>
      </w:r>
      <w:proofErr w:type="spellStart"/>
      <w:r w:rsidRPr="00390095">
        <w:rPr>
          <w:rFonts w:cs="Tahoma"/>
          <w:bCs/>
          <w:color w:val="000000"/>
          <w:sz w:val="18"/>
          <w:szCs w:val="18"/>
        </w:rPr>
        <w:t>unit</w:t>
      </w:r>
      <w:proofErr w:type="spellEnd"/>
      <w:r w:rsidRPr="00390095">
        <w:rPr>
          <w:rFonts w:cs="Tahoma"/>
          <w:bCs/>
          <w:color w:val="000000"/>
          <w:sz w:val="18"/>
          <w:szCs w:val="18"/>
        </w:rPr>
        <w:t xml:space="preserve"> skall erläggas 7,20 kronor senast fyra bankdagar efter utsändandet av avräkningsnotan. Teckningsop</w:t>
      </w:r>
      <w:r>
        <w:rPr>
          <w:rFonts w:cs="Tahoma"/>
          <w:bCs/>
          <w:color w:val="000000"/>
          <w:sz w:val="18"/>
          <w:szCs w:val="18"/>
        </w:rPr>
        <w:t xml:space="preserve">tionerna ges ut utan vederlag. </w:t>
      </w:r>
    </w:p>
    <w:p w14:paraId="216ED1F4" w14:textId="674EE584" w:rsidR="00390095" w:rsidRPr="00390095" w:rsidRDefault="00390095" w:rsidP="00390095">
      <w:pPr>
        <w:pStyle w:val="ListParagraph"/>
        <w:widowControl w:val="0"/>
        <w:numPr>
          <w:ilvl w:val="0"/>
          <w:numId w:val="6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contextualSpacing w:val="0"/>
        <w:rPr>
          <w:rFonts w:cs="Tahoma"/>
          <w:bCs/>
          <w:color w:val="000000"/>
          <w:sz w:val="18"/>
          <w:szCs w:val="18"/>
        </w:rPr>
      </w:pPr>
      <w:r w:rsidRPr="00390095">
        <w:rPr>
          <w:rFonts w:cs="Tahoma"/>
          <w:bCs/>
          <w:color w:val="000000"/>
          <w:sz w:val="18"/>
          <w:szCs w:val="18"/>
        </w:rPr>
        <w:t>Vinstutdelning för de nya aktierna skall utgå på den avstämningsdag för utdelning som infaller efter aktiens registrering i den av Euroclear Sweden AB förda aktieboken. Aktie som utgivits efter nyttjande av teckningsoption av serie TO 2 medför rätt till vinstutdelning på den avstämningsdag för utdelning som infaller efter akt</w:t>
      </w:r>
      <w:r>
        <w:rPr>
          <w:rFonts w:cs="Tahoma"/>
          <w:bCs/>
          <w:color w:val="000000"/>
          <w:sz w:val="18"/>
          <w:szCs w:val="18"/>
        </w:rPr>
        <w:t>iens registrering i aktieboken.</w:t>
      </w:r>
    </w:p>
    <w:p w14:paraId="33794BB8" w14:textId="098072C9" w:rsidR="00390095" w:rsidRPr="00390095" w:rsidRDefault="00390095" w:rsidP="00390095">
      <w:pPr>
        <w:pStyle w:val="ListParagraph"/>
        <w:widowControl w:val="0"/>
        <w:numPr>
          <w:ilvl w:val="0"/>
          <w:numId w:val="6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contextualSpacing w:val="0"/>
        <w:rPr>
          <w:rFonts w:cs="Tahoma"/>
          <w:bCs/>
          <w:color w:val="000000"/>
          <w:sz w:val="18"/>
          <w:szCs w:val="18"/>
        </w:rPr>
      </w:pPr>
      <w:r w:rsidRPr="00390095">
        <w:rPr>
          <w:rFonts w:cs="Tahoma"/>
          <w:bCs/>
          <w:color w:val="000000"/>
          <w:sz w:val="18"/>
          <w:szCs w:val="18"/>
        </w:rPr>
        <w:t>Teckning av units skall ske under perioden från och med den 25 september 2014 till och med den 10 oktober 2014. Styrelsen skall äga rätt att förlänga ti</w:t>
      </w:r>
      <w:r>
        <w:rPr>
          <w:rFonts w:cs="Tahoma"/>
          <w:bCs/>
          <w:color w:val="000000"/>
          <w:sz w:val="18"/>
          <w:szCs w:val="18"/>
        </w:rPr>
        <w:t>den för teckning och betalning.</w:t>
      </w:r>
    </w:p>
    <w:p w14:paraId="4F5A8FA9" w14:textId="1FC046C3" w:rsidR="00390095" w:rsidRPr="00390095" w:rsidRDefault="00390095" w:rsidP="00390095">
      <w:pPr>
        <w:pStyle w:val="ListParagraph"/>
        <w:widowControl w:val="0"/>
        <w:numPr>
          <w:ilvl w:val="0"/>
          <w:numId w:val="6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contextualSpacing w:val="0"/>
        <w:rPr>
          <w:rFonts w:cs="Tahoma"/>
          <w:bCs/>
          <w:color w:val="000000"/>
          <w:sz w:val="18"/>
          <w:szCs w:val="18"/>
        </w:rPr>
      </w:pPr>
      <w:r w:rsidRPr="00390095">
        <w:rPr>
          <w:rFonts w:cs="Tahoma"/>
          <w:bCs/>
          <w:color w:val="000000"/>
          <w:sz w:val="18"/>
          <w:szCs w:val="18"/>
        </w:rPr>
        <w:t xml:space="preserve">En teckningsoption av serie TO 2 berättigar innehavaren till teckning av en (1) ny aktie i bolaget. Teckningskursen uppgår till sjuttio (70) procent av den genomsnittliga volymvägda kursen för aktien enligt First </w:t>
      </w:r>
      <w:proofErr w:type="spellStart"/>
      <w:r w:rsidRPr="00390095">
        <w:rPr>
          <w:rFonts w:cs="Tahoma"/>
          <w:bCs/>
          <w:color w:val="000000"/>
          <w:sz w:val="18"/>
          <w:szCs w:val="18"/>
        </w:rPr>
        <w:t>North´s</w:t>
      </w:r>
      <w:proofErr w:type="spellEnd"/>
      <w:r w:rsidRPr="00390095">
        <w:rPr>
          <w:rFonts w:cs="Tahoma"/>
          <w:bCs/>
          <w:color w:val="000000"/>
          <w:sz w:val="18"/>
          <w:szCs w:val="18"/>
        </w:rPr>
        <w:t xml:space="preserve"> officiella kursstatistik under den period på 20 handelsdagar som slutar två bankdagar innan utnyttjandeperioden börjar. Bolaget kommer att offentliggöra teckningskursen dagen innan den första dagen i utnyttjandeperioden. Teckningskursen ska avrundas till närmaste heltal öre. Teckningskursen ska inte överstiga 10,80 kronor per aktie. Teckningskursen ska inte understiga 7,20 kronor per aktie.</w:t>
      </w:r>
    </w:p>
    <w:p w14:paraId="60461A9D" w14:textId="51DD7A9C" w:rsidR="00390095" w:rsidRPr="00390095" w:rsidRDefault="00390095" w:rsidP="00390095">
      <w:pPr>
        <w:pStyle w:val="ListParagraph"/>
        <w:widowControl w:val="0"/>
        <w:numPr>
          <w:ilvl w:val="0"/>
          <w:numId w:val="6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contextualSpacing w:val="0"/>
        <w:rPr>
          <w:rFonts w:cs="Tahoma"/>
          <w:bCs/>
          <w:color w:val="000000"/>
          <w:sz w:val="18"/>
          <w:szCs w:val="18"/>
        </w:rPr>
      </w:pPr>
      <w:r w:rsidRPr="00390095">
        <w:rPr>
          <w:rFonts w:cs="Tahoma"/>
          <w:bCs/>
          <w:color w:val="000000"/>
          <w:sz w:val="18"/>
          <w:szCs w:val="18"/>
        </w:rPr>
        <w:t>Teckning av aktier i bolaget med stöd av teckningsoptioner av serie TO 2 kan äga rum under perioden från och med den 18 november 2015 ti</w:t>
      </w:r>
      <w:r>
        <w:rPr>
          <w:rFonts w:cs="Tahoma"/>
          <w:bCs/>
          <w:color w:val="000000"/>
          <w:sz w:val="18"/>
          <w:szCs w:val="18"/>
        </w:rPr>
        <w:t>ll och med den 9 december 2015.</w:t>
      </w:r>
    </w:p>
    <w:p w14:paraId="7C77D92A" w14:textId="28100CF0" w:rsidR="00390095" w:rsidRPr="00390095" w:rsidRDefault="00390095" w:rsidP="00390095">
      <w:pPr>
        <w:pStyle w:val="ListParagraph"/>
        <w:widowControl w:val="0"/>
        <w:numPr>
          <w:ilvl w:val="0"/>
          <w:numId w:val="6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contextualSpacing w:val="0"/>
        <w:rPr>
          <w:rFonts w:cs="Tahoma"/>
          <w:bCs/>
          <w:color w:val="000000"/>
          <w:sz w:val="18"/>
          <w:szCs w:val="18"/>
        </w:rPr>
      </w:pPr>
      <w:r w:rsidRPr="00390095">
        <w:rPr>
          <w:rFonts w:cs="Tahoma"/>
          <w:bCs/>
          <w:color w:val="000000"/>
          <w:sz w:val="18"/>
          <w:szCs w:val="18"/>
        </w:rPr>
        <w:t xml:space="preserve">Teckningsoptionerna skall vara </w:t>
      </w:r>
      <w:r>
        <w:rPr>
          <w:rFonts w:cs="Tahoma"/>
          <w:bCs/>
          <w:color w:val="000000"/>
          <w:sz w:val="18"/>
          <w:szCs w:val="18"/>
        </w:rPr>
        <w:t>föremål för organiserad handel.</w:t>
      </w:r>
    </w:p>
    <w:p w14:paraId="1CD32230" w14:textId="77777777" w:rsidR="00390095" w:rsidRPr="00390095" w:rsidRDefault="00390095" w:rsidP="00390095">
      <w:pPr>
        <w:pStyle w:val="ListParagraph"/>
        <w:widowControl w:val="0"/>
        <w:numPr>
          <w:ilvl w:val="0"/>
          <w:numId w:val="6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contextualSpacing w:val="0"/>
        <w:rPr>
          <w:rFonts w:cs="Tahoma"/>
          <w:bCs/>
          <w:color w:val="000000"/>
          <w:sz w:val="18"/>
          <w:szCs w:val="18"/>
        </w:rPr>
      </w:pPr>
      <w:r w:rsidRPr="00390095">
        <w:rPr>
          <w:rFonts w:cs="Tahoma"/>
          <w:bCs/>
          <w:color w:val="000000"/>
          <w:sz w:val="18"/>
          <w:szCs w:val="18"/>
        </w:rPr>
        <w:t>De fullständiga villkoren för teckningsoptionerna av serie TO 2 framgår av separat villkorsbilaga.</w:t>
      </w:r>
      <w:r w:rsidRPr="00390095">
        <w:rPr>
          <w:rFonts w:cs="Tahoma"/>
          <w:bCs/>
          <w:color w:val="000000"/>
          <w:sz w:val="18"/>
          <w:szCs w:val="18"/>
        </w:rPr>
        <w:br/>
      </w:r>
    </w:p>
    <w:p w14:paraId="139302AC" w14:textId="104A8A54" w:rsidR="00390095" w:rsidRPr="00390095" w:rsidRDefault="00390095" w:rsidP="00390095">
      <w:pPr>
        <w:spacing w:after="0" w:line="240" w:lineRule="auto"/>
        <w:rPr>
          <w:rFonts w:cs="Tahoma"/>
          <w:b/>
          <w:bCs/>
          <w:color w:val="000000"/>
          <w:sz w:val="18"/>
          <w:szCs w:val="18"/>
        </w:rPr>
      </w:pPr>
      <w:r>
        <w:rPr>
          <w:rFonts w:cs="Tahoma"/>
          <w:b/>
          <w:bCs/>
          <w:color w:val="000000"/>
          <w:sz w:val="18"/>
          <w:szCs w:val="18"/>
        </w:rPr>
        <w:t>Anledning</w:t>
      </w:r>
      <w:r w:rsidRPr="00390095">
        <w:rPr>
          <w:rFonts w:cs="Tahoma"/>
          <w:b/>
          <w:bCs/>
          <w:color w:val="000000"/>
          <w:sz w:val="18"/>
          <w:szCs w:val="18"/>
        </w:rPr>
        <w:t xml:space="preserve"> till avvikelse från aktieägare</w:t>
      </w:r>
      <w:r>
        <w:rPr>
          <w:rFonts w:cs="Tahoma"/>
          <w:b/>
          <w:bCs/>
          <w:color w:val="000000"/>
          <w:sz w:val="18"/>
          <w:szCs w:val="18"/>
        </w:rPr>
        <w:t>s företrädesrätt samt värdering</w:t>
      </w:r>
    </w:p>
    <w:p w14:paraId="4119F95D" w14:textId="423A9A8C" w:rsidR="00390095" w:rsidRPr="00390095" w:rsidRDefault="00390095" w:rsidP="00390095">
      <w:pPr>
        <w:spacing w:after="0" w:line="240" w:lineRule="auto"/>
        <w:rPr>
          <w:rFonts w:cs="Tahoma"/>
          <w:bCs/>
          <w:color w:val="000000"/>
          <w:sz w:val="18"/>
          <w:szCs w:val="18"/>
        </w:rPr>
      </w:pPr>
      <w:r w:rsidRPr="00390095">
        <w:rPr>
          <w:rFonts w:cs="Tahoma"/>
          <w:bCs/>
          <w:color w:val="000000"/>
          <w:sz w:val="18"/>
          <w:szCs w:val="18"/>
        </w:rPr>
        <w:t xml:space="preserve">Anledningen till att frångå </w:t>
      </w:r>
      <w:r>
        <w:rPr>
          <w:rFonts w:cs="Tahoma"/>
          <w:bCs/>
          <w:color w:val="000000"/>
          <w:sz w:val="18"/>
          <w:szCs w:val="18"/>
        </w:rPr>
        <w:t>aktieägares företrädesrätt, är</w:t>
      </w:r>
      <w:r w:rsidRPr="00390095">
        <w:rPr>
          <w:rFonts w:cs="Tahoma"/>
          <w:bCs/>
          <w:color w:val="000000"/>
          <w:sz w:val="18"/>
          <w:szCs w:val="18"/>
        </w:rPr>
        <w:t xml:space="preserve"> att tillföra bolaget en ny aktieägare av strategisk betydelse för bolaget. Teckningskursen är fastställd till samma teckningskurs som i bolagets nyligen genomförda listningsemission beslutad av bolagsstämman den 13 augusti 2014.</w:t>
      </w:r>
    </w:p>
    <w:p w14:paraId="7FAFE921" w14:textId="77777777" w:rsidR="00390095" w:rsidRPr="00390095" w:rsidRDefault="00390095" w:rsidP="00390095">
      <w:pPr>
        <w:tabs>
          <w:tab w:val="left" w:pos="360"/>
        </w:tabs>
        <w:spacing w:after="0" w:line="240" w:lineRule="auto"/>
        <w:rPr>
          <w:rFonts w:cs="Tahoma"/>
          <w:bCs/>
          <w:color w:val="000000"/>
          <w:sz w:val="18"/>
          <w:szCs w:val="18"/>
        </w:rPr>
      </w:pPr>
    </w:p>
    <w:p w14:paraId="1A8F8F2D" w14:textId="553D61A9" w:rsidR="00390095" w:rsidRPr="00390095" w:rsidRDefault="00390095" w:rsidP="00390095">
      <w:pPr>
        <w:tabs>
          <w:tab w:val="left" w:pos="360"/>
        </w:tabs>
        <w:spacing w:after="0" w:line="240" w:lineRule="auto"/>
        <w:rPr>
          <w:rFonts w:cs="Tahoma"/>
          <w:b/>
          <w:bCs/>
          <w:color w:val="000000"/>
          <w:sz w:val="18"/>
          <w:szCs w:val="18"/>
        </w:rPr>
      </w:pPr>
      <w:r>
        <w:rPr>
          <w:rFonts w:cs="Tahoma"/>
          <w:b/>
          <w:bCs/>
          <w:color w:val="000000"/>
          <w:sz w:val="18"/>
          <w:szCs w:val="18"/>
        </w:rPr>
        <w:t xml:space="preserve">Val av ny styrelseledamot </w:t>
      </w:r>
    </w:p>
    <w:p w14:paraId="622EA027" w14:textId="1E51AE1B" w:rsidR="00390095" w:rsidRPr="00390095" w:rsidRDefault="00390095" w:rsidP="00EB6E05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bCs/>
          <w:color w:val="000000"/>
          <w:sz w:val="18"/>
          <w:szCs w:val="18"/>
        </w:rPr>
      </w:pPr>
      <w:r>
        <w:rPr>
          <w:rFonts w:cs="Tahoma"/>
          <w:bCs/>
          <w:color w:val="000000"/>
          <w:sz w:val="18"/>
          <w:szCs w:val="18"/>
        </w:rPr>
        <w:t>Stämman beslutade a</w:t>
      </w:r>
      <w:r w:rsidRPr="00390095">
        <w:rPr>
          <w:rFonts w:cs="Tahoma"/>
          <w:bCs/>
          <w:color w:val="000000"/>
          <w:sz w:val="18"/>
          <w:szCs w:val="18"/>
        </w:rPr>
        <w:t>tt styrelsen skall utökas till fem styrelseledamöter</w:t>
      </w:r>
      <w:r>
        <w:rPr>
          <w:rFonts w:cs="Tahoma"/>
          <w:bCs/>
          <w:color w:val="000000"/>
          <w:sz w:val="18"/>
          <w:szCs w:val="18"/>
        </w:rPr>
        <w:t xml:space="preserve">. </w:t>
      </w:r>
      <w:bookmarkStart w:id="0" w:name="_GoBack"/>
      <w:r w:rsidR="00EB6E05">
        <w:rPr>
          <w:rFonts w:cs="Tahoma"/>
          <w:bCs/>
          <w:color w:val="000000"/>
          <w:sz w:val="18"/>
          <w:szCs w:val="18"/>
        </w:rPr>
        <w:t>F</w:t>
      </w:r>
      <w:r w:rsidR="00EB6E05" w:rsidRPr="00EB6E05">
        <w:rPr>
          <w:rFonts w:cs="Tahoma"/>
          <w:bCs/>
          <w:color w:val="000000"/>
          <w:sz w:val="18"/>
          <w:szCs w:val="18"/>
        </w:rPr>
        <w:t xml:space="preserve">örre General </w:t>
      </w:r>
      <w:proofErr w:type="spellStart"/>
      <w:r w:rsidR="00EB6E05" w:rsidRPr="00EB6E05">
        <w:rPr>
          <w:rFonts w:cs="Tahoma"/>
          <w:bCs/>
          <w:color w:val="000000"/>
          <w:sz w:val="18"/>
          <w:szCs w:val="18"/>
        </w:rPr>
        <w:t>Inspektören</w:t>
      </w:r>
      <w:proofErr w:type="spellEnd"/>
      <w:r w:rsidR="00EB6E05" w:rsidRPr="00EB6E05">
        <w:rPr>
          <w:rFonts w:cs="Tahoma"/>
          <w:bCs/>
          <w:color w:val="000000"/>
          <w:sz w:val="18"/>
          <w:szCs w:val="18"/>
        </w:rPr>
        <w:t xml:space="preserve"> </w:t>
      </w:r>
      <w:proofErr w:type="spellStart"/>
      <w:r w:rsidR="00EB6E05" w:rsidRPr="00EB6E05">
        <w:rPr>
          <w:rFonts w:cs="Tahoma"/>
          <w:bCs/>
          <w:color w:val="000000"/>
          <w:sz w:val="18"/>
          <w:szCs w:val="18"/>
        </w:rPr>
        <w:t>för</w:t>
      </w:r>
      <w:proofErr w:type="spellEnd"/>
      <w:r w:rsidR="00EB6E05" w:rsidRPr="00EB6E05">
        <w:rPr>
          <w:rFonts w:cs="Tahoma"/>
          <w:bCs/>
          <w:color w:val="000000"/>
          <w:sz w:val="18"/>
          <w:szCs w:val="18"/>
        </w:rPr>
        <w:t xml:space="preserve"> </w:t>
      </w:r>
      <w:proofErr w:type="spellStart"/>
      <w:r w:rsidR="00EB6E05" w:rsidRPr="00EB6E05">
        <w:rPr>
          <w:rFonts w:cs="Tahoma"/>
          <w:bCs/>
          <w:color w:val="000000"/>
          <w:sz w:val="18"/>
          <w:szCs w:val="18"/>
        </w:rPr>
        <w:t>Arme'n</w:t>
      </w:r>
      <w:proofErr w:type="spellEnd"/>
      <w:r w:rsidR="00EB6E05" w:rsidRPr="00EB6E05">
        <w:rPr>
          <w:rFonts w:cs="Tahoma"/>
          <w:bCs/>
          <w:color w:val="000000"/>
          <w:sz w:val="18"/>
          <w:szCs w:val="18"/>
        </w:rPr>
        <w:t>, General Major</w:t>
      </w:r>
      <w:bookmarkEnd w:id="0"/>
      <w:r w:rsidR="00EB6E05" w:rsidRPr="00EB6E05">
        <w:rPr>
          <w:rFonts w:cs="Tahoma"/>
          <w:bCs/>
          <w:color w:val="000000"/>
          <w:sz w:val="18"/>
          <w:szCs w:val="18"/>
        </w:rPr>
        <w:t xml:space="preserve"> Paul</w:t>
      </w:r>
      <w:r w:rsidR="00EB6E05">
        <w:rPr>
          <w:rFonts w:cs="Tahoma"/>
          <w:bCs/>
          <w:color w:val="000000"/>
          <w:sz w:val="18"/>
          <w:szCs w:val="18"/>
        </w:rPr>
        <w:t xml:space="preserve"> </w:t>
      </w:r>
      <w:r w:rsidR="00EB6E05" w:rsidRPr="00EB6E05">
        <w:rPr>
          <w:rFonts w:cs="Tahoma"/>
          <w:bCs/>
          <w:color w:val="000000"/>
          <w:sz w:val="18"/>
          <w:szCs w:val="18"/>
        </w:rPr>
        <w:t>Degerlund</w:t>
      </w:r>
      <w:r w:rsidR="00EB6E05">
        <w:rPr>
          <w:rFonts w:cs="Tahoma"/>
          <w:bCs/>
          <w:color w:val="000000"/>
          <w:sz w:val="18"/>
          <w:szCs w:val="18"/>
        </w:rPr>
        <w:t xml:space="preserve"> </w:t>
      </w:r>
      <w:r>
        <w:rPr>
          <w:rFonts w:cs="Tahoma"/>
          <w:bCs/>
          <w:color w:val="000000"/>
          <w:sz w:val="18"/>
          <w:szCs w:val="18"/>
        </w:rPr>
        <w:t xml:space="preserve">valdes till ny styrelseledamot. </w:t>
      </w:r>
      <w:r w:rsidR="00651DB2">
        <w:rPr>
          <w:rFonts w:cs="Tahoma"/>
          <w:bCs/>
          <w:color w:val="000000"/>
          <w:sz w:val="18"/>
          <w:szCs w:val="18"/>
        </w:rPr>
        <w:t xml:space="preserve">Paul Degerlund är </w:t>
      </w:r>
      <w:r w:rsidR="00651DB2" w:rsidRPr="00651DB2">
        <w:rPr>
          <w:rFonts w:cs="Tahoma"/>
          <w:bCs/>
          <w:color w:val="000000"/>
          <w:sz w:val="18"/>
          <w:szCs w:val="18"/>
        </w:rPr>
        <w:t>VD för Emirates Advanced Investments Groups filial i Sverige</w:t>
      </w:r>
      <w:r w:rsidR="00651DB2">
        <w:rPr>
          <w:rFonts w:cs="Tahoma"/>
          <w:bCs/>
          <w:color w:val="000000"/>
          <w:sz w:val="18"/>
          <w:szCs w:val="18"/>
        </w:rPr>
        <w:t xml:space="preserve"> och har tidigare </w:t>
      </w:r>
      <w:r w:rsidR="00651DB2" w:rsidRPr="00651DB2">
        <w:rPr>
          <w:rFonts w:cs="Tahoma"/>
          <w:bCs/>
          <w:color w:val="000000"/>
          <w:sz w:val="18"/>
          <w:szCs w:val="18"/>
        </w:rPr>
        <w:t>arbetat som marknadschef och senior militär</w:t>
      </w:r>
      <w:r w:rsidR="009878E8">
        <w:rPr>
          <w:rFonts w:cs="Tahoma"/>
          <w:bCs/>
          <w:color w:val="000000"/>
          <w:sz w:val="18"/>
          <w:szCs w:val="18"/>
        </w:rPr>
        <w:t>r</w:t>
      </w:r>
      <w:r w:rsidR="00651DB2" w:rsidRPr="00651DB2">
        <w:rPr>
          <w:rFonts w:cs="Tahoma"/>
          <w:bCs/>
          <w:color w:val="000000"/>
          <w:sz w:val="18"/>
          <w:szCs w:val="18"/>
        </w:rPr>
        <w:t xml:space="preserve">ådgivare på BAE Systems Hägglunds och som senior rådgivare åt </w:t>
      </w:r>
      <w:proofErr w:type="spellStart"/>
      <w:r w:rsidR="00651DB2" w:rsidRPr="00651DB2">
        <w:rPr>
          <w:rFonts w:cs="Tahoma"/>
          <w:bCs/>
          <w:color w:val="000000"/>
          <w:sz w:val="18"/>
          <w:szCs w:val="18"/>
        </w:rPr>
        <w:t>Midroc</w:t>
      </w:r>
      <w:proofErr w:type="spellEnd"/>
      <w:r w:rsidR="00651DB2" w:rsidRPr="00651DB2">
        <w:rPr>
          <w:rFonts w:cs="Tahoma"/>
          <w:bCs/>
          <w:color w:val="000000"/>
          <w:sz w:val="18"/>
          <w:szCs w:val="18"/>
        </w:rPr>
        <w:t xml:space="preserve"> International AB. </w:t>
      </w:r>
    </w:p>
    <w:p w14:paraId="3B6D28B0" w14:textId="77777777" w:rsidR="00390095" w:rsidRPr="007520CA" w:rsidRDefault="00390095" w:rsidP="007F31E7">
      <w:pPr>
        <w:autoSpaceDE w:val="0"/>
        <w:autoSpaceDN w:val="0"/>
        <w:adjustRightInd w:val="0"/>
        <w:spacing w:after="0" w:line="240" w:lineRule="auto"/>
        <w:rPr>
          <w:rFonts w:cs="Tahoma"/>
          <w:bCs/>
          <w:color w:val="000000"/>
          <w:sz w:val="18"/>
          <w:szCs w:val="18"/>
        </w:rPr>
      </w:pPr>
    </w:p>
    <w:p w14:paraId="171C7022" w14:textId="3E90F9DB" w:rsidR="00B30712" w:rsidRPr="00F35EF7" w:rsidRDefault="00B54176" w:rsidP="007F31E7">
      <w:pPr>
        <w:spacing w:after="0" w:line="240" w:lineRule="auto"/>
        <w:rPr>
          <w:sz w:val="18"/>
          <w:szCs w:val="18"/>
        </w:rPr>
      </w:pPr>
      <w:r w:rsidRPr="00F35EF7">
        <w:rPr>
          <w:rFonts w:cs="Tahoma"/>
          <w:b/>
          <w:bCs/>
          <w:color w:val="000000"/>
          <w:sz w:val="18"/>
          <w:szCs w:val="18"/>
        </w:rPr>
        <w:t xml:space="preserve">För ytterligare information kontakta VD Andreas Rodman, </w:t>
      </w:r>
      <w:r w:rsidR="00226B36">
        <w:rPr>
          <w:rFonts w:cs="Tahoma"/>
          <w:b/>
          <w:bCs/>
          <w:color w:val="000000"/>
          <w:sz w:val="18"/>
          <w:szCs w:val="18"/>
        </w:rPr>
        <w:t xml:space="preserve">0708 </w:t>
      </w:r>
      <w:r w:rsidR="007F31E7">
        <w:rPr>
          <w:rFonts w:cs="Tahoma"/>
          <w:b/>
          <w:bCs/>
          <w:color w:val="000000"/>
          <w:sz w:val="18"/>
          <w:szCs w:val="18"/>
        </w:rPr>
        <w:t>–</w:t>
      </w:r>
      <w:r w:rsidR="00226B36">
        <w:rPr>
          <w:rFonts w:cs="Tahoma"/>
          <w:b/>
          <w:bCs/>
          <w:color w:val="000000"/>
          <w:sz w:val="18"/>
          <w:szCs w:val="18"/>
        </w:rPr>
        <w:t xml:space="preserve"> 10</w:t>
      </w:r>
      <w:r w:rsidR="007F31E7">
        <w:rPr>
          <w:rFonts w:cs="Tahoma"/>
          <w:b/>
          <w:bCs/>
          <w:color w:val="000000"/>
          <w:sz w:val="18"/>
          <w:szCs w:val="18"/>
        </w:rPr>
        <w:t xml:space="preserve"> </w:t>
      </w:r>
      <w:r w:rsidR="00226B36">
        <w:rPr>
          <w:rFonts w:cs="Tahoma"/>
          <w:b/>
          <w:bCs/>
          <w:color w:val="000000"/>
          <w:sz w:val="18"/>
          <w:szCs w:val="18"/>
        </w:rPr>
        <w:t>13</w:t>
      </w:r>
      <w:r w:rsidR="007F31E7">
        <w:rPr>
          <w:rFonts w:cs="Tahoma"/>
          <w:b/>
          <w:bCs/>
          <w:color w:val="000000"/>
          <w:sz w:val="18"/>
          <w:szCs w:val="18"/>
        </w:rPr>
        <w:t xml:space="preserve"> </w:t>
      </w:r>
      <w:r w:rsidR="00226B36">
        <w:rPr>
          <w:rFonts w:cs="Tahoma"/>
          <w:b/>
          <w:bCs/>
          <w:color w:val="000000"/>
          <w:sz w:val="18"/>
          <w:szCs w:val="18"/>
        </w:rPr>
        <w:t>16</w:t>
      </w:r>
      <w:r w:rsidRPr="00F35EF7">
        <w:rPr>
          <w:rFonts w:cs="Tahoma"/>
          <w:b/>
          <w:bCs/>
          <w:color w:val="000000"/>
          <w:sz w:val="18"/>
          <w:szCs w:val="18"/>
        </w:rPr>
        <w:t xml:space="preserve"> eller andreas.rodman@globalwarningsystem.com</w:t>
      </w:r>
      <w:r w:rsidR="00DA7A7A" w:rsidRPr="00F35EF7">
        <w:rPr>
          <w:rFonts w:cs="Tahoma"/>
          <w:b/>
          <w:bCs/>
          <w:color w:val="000000"/>
          <w:sz w:val="18"/>
          <w:szCs w:val="18"/>
        </w:rPr>
        <w:t xml:space="preserve"> </w:t>
      </w:r>
    </w:p>
    <w:p w14:paraId="390691EF" w14:textId="77777777" w:rsidR="00B30712" w:rsidRPr="006E55E9" w:rsidRDefault="00B30712" w:rsidP="007F31E7">
      <w:pPr>
        <w:spacing w:after="0" w:line="240" w:lineRule="auto"/>
        <w:rPr>
          <w:rFonts w:cs="Tahoma"/>
          <w:bCs/>
          <w:color w:val="000000"/>
          <w:sz w:val="18"/>
          <w:szCs w:val="18"/>
          <w:highlight w:val="yellow"/>
        </w:rPr>
      </w:pPr>
    </w:p>
    <w:sectPr w:rsidR="00B30712" w:rsidRPr="006E55E9" w:rsidSect="004C74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06E42" w14:textId="77777777" w:rsidR="00FA243E" w:rsidRDefault="00FA243E" w:rsidP="003D7C74">
      <w:pPr>
        <w:spacing w:after="0" w:line="240" w:lineRule="auto"/>
      </w:pPr>
      <w:r>
        <w:separator/>
      </w:r>
    </w:p>
  </w:endnote>
  <w:endnote w:type="continuationSeparator" w:id="0">
    <w:p w14:paraId="4C2B521A" w14:textId="77777777" w:rsidR="00FA243E" w:rsidRDefault="00FA243E" w:rsidP="003D7C74">
      <w:pPr>
        <w:spacing w:after="0" w:line="240" w:lineRule="auto"/>
      </w:pPr>
      <w:r>
        <w:continuationSeparator/>
      </w:r>
    </w:p>
  </w:endnote>
  <w:endnote w:type="continuationNotice" w:id="1">
    <w:p w14:paraId="62B2F719" w14:textId="77777777" w:rsidR="00FA243E" w:rsidRDefault="00FA24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B5DE6" w14:textId="383C78C5" w:rsidR="00C17CCC" w:rsidRPr="007F31E7" w:rsidRDefault="00B0675A" w:rsidP="007F31E7">
    <w:pPr>
      <w:pStyle w:val="Footer"/>
      <w:jc w:val="both"/>
      <w:rPr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631CC3" wp14:editId="6C182DA1">
              <wp:simplePos x="0" y="0"/>
              <wp:positionH relativeFrom="page">
                <wp:posOffset>0</wp:posOffset>
              </wp:positionH>
              <wp:positionV relativeFrom="paragraph">
                <wp:posOffset>588381</wp:posOffset>
              </wp:positionV>
              <wp:extent cx="7561580" cy="492760"/>
              <wp:effectExtent l="0" t="0" r="1270" b="254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1580" cy="492760"/>
                      </a:xfrm>
                      <a:prstGeom prst="rect">
                        <a:avLst/>
                      </a:prstGeom>
                      <a:solidFill>
                        <a:srgbClr val="97D645"/>
                      </a:solidFill>
                      <a:ln>
                        <a:noFill/>
                      </a:ln>
                      <a:ex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03180CE" id="Rectangle 4" o:spid="_x0000_s1026" style="position:absolute;margin-left:0;margin-top:46.35pt;width:595.4pt;height:38.8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" fillcolor="#97d645" stroked="f">
              <w10:wrap anchorx="page"/>
            </v:rect>
          </w:pict>
        </mc:Fallback>
      </mc:AlternateContent>
    </w:r>
    <w:sdt>
      <w:sdtPr>
        <w:rPr>
          <w:sz w:val="18"/>
          <w:szCs w:val="18"/>
        </w:rPr>
        <w:id w:val="1687713330"/>
        <w:docPartObj>
          <w:docPartGallery w:val="Page Numbers (Bottom of Page)"/>
          <w:docPartUnique/>
        </w:docPartObj>
      </w:sdtPr>
      <w:sdtEndPr/>
      <w:sdtContent>
        <w:r w:rsidR="00C17CCC" w:rsidRPr="007F31E7">
          <w:rPr>
            <w:b/>
            <w:i/>
            <w:sz w:val="18"/>
            <w:szCs w:val="18"/>
          </w:rPr>
          <w:t>Global Warning System</w:t>
        </w:r>
        <w:r w:rsidR="00C17CCC" w:rsidRPr="007F31E7">
          <w:rPr>
            <w:i/>
            <w:sz w:val="18"/>
            <w:szCs w:val="18"/>
          </w:rPr>
          <w:t xml:space="preserve"> möter ett växande behov av att skydda anställda och familjemedlemmar på resa, genom att spåra och ge värdefull information i realtid om katastrofer och andra hot som kan påverka resenären</w:t>
        </w:r>
        <w:r w:rsidR="000540F5">
          <w:rPr>
            <w:i/>
            <w:sz w:val="18"/>
            <w:szCs w:val="18"/>
          </w:rPr>
          <w:t xml:space="preserve">. Sedermera Fondkommission är bolagets </w:t>
        </w:r>
        <w:proofErr w:type="spellStart"/>
        <w:r w:rsidR="000540F5">
          <w:rPr>
            <w:i/>
            <w:sz w:val="18"/>
            <w:szCs w:val="18"/>
          </w:rPr>
          <w:t>Certified</w:t>
        </w:r>
        <w:proofErr w:type="spellEnd"/>
        <w:r w:rsidR="000540F5">
          <w:rPr>
            <w:i/>
            <w:sz w:val="18"/>
            <w:szCs w:val="18"/>
          </w:rPr>
          <w:t xml:space="preserve"> </w:t>
        </w:r>
        <w:proofErr w:type="spellStart"/>
        <w:r w:rsidR="000540F5">
          <w:rPr>
            <w:i/>
            <w:sz w:val="18"/>
            <w:szCs w:val="18"/>
          </w:rPr>
          <w:t>Adviser</w:t>
        </w:r>
        <w:proofErr w:type="spellEnd"/>
        <w:r w:rsidR="00C17CCC" w:rsidRPr="007F31E7">
          <w:rPr>
            <w:i/>
            <w:sz w:val="18"/>
            <w:szCs w:val="18"/>
          </w:rPr>
          <w:t xml:space="preserve">. </w:t>
        </w:r>
      </w:sdtContent>
    </w:sdt>
    <w:r w:rsidR="00C17CCC" w:rsidRPr="007F31E7">
      <w:rPr>
        <w:noProof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C09A8" w14:textId="77777777" w:rsidR="00FA243E" w:rsidRDefault="00FA243E" w:rsidP="003D7C74">
      <w:pPr>
        <w:spacing w:after="0" w:line="240" w:lineRule="auto"/>
      </w:pPr>
      <w:r>
        <w:separator/>
      </w:r>
    </w:p>
  </w:footnote>
  <w:footnote w:type="continuationSeparator" w:id="0">
    <w:p w14:paraId="6B58B5AD" w14:textId="77777777" w:rsidR="00FA243E" w:rsidRDefault="00FA243E" w:rsidP="003D7C74">
      <w:pPr>
        <w:spacing w:after="0" w:line="240" w:lineRule="auto"/>
      </w:pPr>
      <w:r>
        <w:continuationSeparator/>
      </w:r>
    </w:p>
  </w:footnote>
  <w:footnote w:type="continuationNotice" w:id="1">
    <w:p w14:paraId="0E3DF634" w14:textId="77777777" w:rsidR="00FA243E" w:rsidRDefault="00FA24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537EA" w14:textId="77777777" w:rsidR="00C17CCC" w:rsidRDefault="00C17CC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B3F0B88" wp14:editId="6CAA5A9D">
          <wp:simplePos x="0" y="0"/>
          <wp:positionH relativeFrom="margin">
            <wp:posOffset>4333843</wp:posOffset>
          </wp:positionH>
          <wp:positionV relativeFrom="page">
            <wp:posOffset>453484</wp:posOffset>
          </wp:positionV>
          <wp:extent cx="1419457" cy="580522"/>
          <wp:effectExtent l="0" t="0" r="0" b="0"/>
          <wp:wrapNone/>
          <wp:docPr id="98" name="Bildobjekt 1" descr="GWS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GWS-logo-RG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01" cy="5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AEEF4A" w14:textId="77777777" w:rsidR="00C17CCC" w:rsidRDefault="00C17CCC" w:rsidP="00B54176">
    <w:pPr>
      <w:pStyle w:val="Header"/>
      <w:tabs>
        <w:tab w:val="clear" w:pos="4536"/>
        <w:tab w:val="clear" w:pos="9072"/>
        <w:tab w:val="left" w:pos="8113"/>
      </w:tabs>
      <w:jc w:val="right"/>
      <w:rPr>
        <w:sz w:val="16"/>
        <w:szCs w:val="16"/>
      </w:rPr>
    </w:pPr>
  </w:p>
  <w:p w14:paraId="071EB736" w14:textId="77777777" w:rsidR="00C17CCC" w:rsidRPr="00B54176" w:rsidRDefault="00C17CCC" w:rsidP="000401C6">
    <w:pPr>
      <w:pStyle w:val="Header"/>
      <w:tabs>
        <w:tab w:val="clear" w:pos="4536"/>
        <w:tab w:val="clear" w:pos="9072"/>
        <w:tab w:val="left" w:pos="8113"/>
      </w:tabs>
      <w:spacing w:after="0"/>
      <w:jc w:val="right"/>
      <w:rPr>
        <w:sz w:val="16"/>
        <w:szCs w:val="16"/>
      </w:rPr>
    </w:pPr>
  </w:p>
  <w:p w14:paraId="4067577A" w14:textId="77777777" w:rsidR="00C17CCC" w:rsidRDefault="00C17CCC" w:rsidP="000401C6">
    <w:pPr>
      <w:pStyle w:val="Header"/>
      <w:spacing w:after="0"/>
      <w:jc w:val="right"/>
      <w:rPr>
        <w:sz w:val="20"/>
        <w:szCs w:val="20"/>
      </w:rPr>
    </w:pPr>
  </w:p>
  <w:p w14:paraId="5793BA63" w14:textId="260D9DA0" w:rsidR="00C17CCC" w:rsidRDefault="00C17CCC" w:rsidP="000401C6">
    <w:pPr>
      <w:pStyle w:val="Header"/>
      <w:spacing w:after="0"/>
      <w:jc w:val="right"/>
      <w:rPr>
        <w:sz w:val="20"/>
        <w:szCs w:val="20"/>
      </w:rPr>
    </w:pPr>
    <w:r w:rsidRPr="0052064C">
      <w:rPr>
        <w:sz w:val="20"/>
        <w:szCs w:val="20"/>
      </w:rPr>
      <w:t>PRESSMEDDELANDE 2014-</w:t>
    </w:r>
    <w:r w:rsidR="00107F5B" w:rsidRPr="0052064C">
      <w:rPr>
        <w:sz w:val="20"/>
        <w:szCs w:val="20"/>
      </w:rPr>
      <w:t>10-</w:t>
    </w:r>
    <w:r w:rsidR="00DE4435">
      <w:rPr>
        <w:sz w:val="20"/>
        <w:szCs w:val="20"/>
      </w:rPr>
      <w:t>14</w:t>
    </w:r>
  </w:p>
  <w:p w14:paraId="5962445A" w14:textId="77777777" w:rsidR="00C17CCC" w:rsidRPr="00B54176" w:rsidRDefault="00C17CCC" w:rsidP="000401C6">
    <w:pPr>
      <w:pStyle w:val="Header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055"/>
    <w:multiLevelType w:val="hybridMultilevel"/>
    <w:tmpl w:val="1B669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B7026"/>
    <w:multiLevelType w:val="hybridMultilevel"/>
    <w:tmpl w:val="6B10B8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F7BF4"/>
    <w:multiLevelType w:val="multilevel"/>
    <w:tmpl w:val="B0BEDE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85301E5"/>
    <w:multiLevelType w:val="hybridMultilevel"/>
    <w:tmpl w:val="A726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40399"/>
    <w:multiLevelType w:val="hybridMultilevel"/>
    <w:tmpl w:val="5F968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2045D"/>
    <w:multiLevelType w:val="multilevel"/>
    <w:tmpl w:val="4016F4B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63"/>
    <w:rsid w:val="0002034E"/>
    <w:rsid w:val="000329EC"/>
    <w:rsid w:val="00034E85"/>
    <w:rsid w:val="000401C6"/>
    <w:rsid w:val="00044E2B"/>
    <w:rsid w:val="000540F5"/>
    <w:rsid w:val="0007182C"/>
    <w:rsid w:val="000832BB"/>
    <w:rsid w:val="00084633"/>
    <w:rsid w:val="0009108C"/>
    <w:rsid w:val="00095C93"/>
    <w:rsid w:val="00096FB7"/>
    <w:rsid w:val="000A229D"/>
    <w:rsid w:val="000A2435"/>
    <w:rsid w:val="000B431D"/>
    <w:rsid w:val="000E165D"/>
    <w:rsid w:val="000E7D26"/>
    <w:rsid w:val="00107F5B"/>
    <w:rsid w:val="00121A7E"/>
    <w:rsid w:val="00124E22"/>
    <w:rsid w:val="00145747"/>
    <w:rsid w:val="001465D2"/>
    <w:rsid w:val="00146D35"/>
    <w:rsid w:val="00181B45"/>
    <w:rsid w:val="001A6F91"/>
    <w:rsid w:val="001B027E"/>
    <w:rsid w:val="001B6178"/>
    <w:rsid w:val="001C35CE"/>
    <w:rsid w:val="001C5B2B"/>
    <w:rsid w:val="001C71F2"/>
    <w:rsid w:val="001D544C"/>
    <w:rsid w:val="001D6FBB"/>
    <w:rsid w:val="001E4D9E"/>
    <w:rsid w:val="001F6925"/>
    <w:rsid w:val="00226B36"/>
    <w:rsid w:val="002521EF"/>
    <w:rsid w:val="00262B1A"/>
    <w:rsid w:val="00273B85"/>
    <w:rsid w:val="002839F6"/>
    <w:rsid w:val="002B46B4"/>
    <w:rsid w:val="002F1B04"/>
    <w:rsid w:val="002F7861"/>
    <w:rsid w:val="003162E5"/>
    <w:rsid w:val="00317DD7"/>
    <w:rsid w:val="003344D4"/>
    <w:rsid w:val="00357BBE"/>
    <w:rsid w:val="00390095"/>
    <w:rsid w:val="00396A3D"/>
    <w:rsid w:val="003A37F2"/>
    <w:rsid w:val="003B41E9"/>
    <w:rsid w:val="003C08E7"/>
    <w:rsid w:val="003C2AE2"/>
    <w:rsid w:val="003D7C74"/>
    <w:rsid w:val="003F0733"/>
    <w:rsid w:val="00405E92"/>
    <w:rsid w:val="0042746F"/>
    <w:rsid w:val="004456CB"/>
    <w:rsid w:val="00454F61"/>
    <w:rsid w:val="0049525D"/>
    <w:rsid w:val="004B6B72"/>
    <w:rsid w:val="004C74A9"/>
    <w:rsid w:val="004D55B7"/>
    <w:rsid w:val="004F364A"/>
    <w:rsid w:val="0052064C"/>
    <w:rsid w:val="00523770"/>
    <w:rsid w:val="005459D3"/>
    <w:rsid w:val="00547A4C"/>
    <w:rsid w:val="00550CF8"/>
    <w:rsid w:val="0056219A"/>
    <w:rsid w:val="00566F21"/>
    <w:rsid w:val="00573B76"/>
    <w:rsid w:val="0057794D"/>
    <w:rsid w:val="005873AC"/>
    <w:rsid w:val="005970B2"/>
    <w:rsid w:val="005B1F07"/>
    <w:rsid w:val="005B2180"/>
    <w:rsid w:val="005D23C9"/>
    <w:rsid w:val="005F67E8"/>
    <w:rsid w:val="006513A4"/>
    <w:rsid w:val="00651DB2"/>
    <w:rsid w:val="006570C5"/>
    <w:rsid w:val="006619E1"/>
    <w:rsid w:val="00687BAE"/>
    <w:rsid w:val="00693685"/>
    <w:rsid w:val="006D0FF8"/>
    <w:rsid w:val="006E4910"/>
    <w:rsid w:val="006E55E9"/>
    <w:rsid w:val="006E76A8"/>
    <w:rsid w:val="0072052E"/>
    <w:rsid w:val="007340D6"/>
    <w:rsid w:val="0073442D"/>
    <w:rsid w:val="00750163"/>
    <w:rsid w:val="007520CA"/>
    <w:rsid w:val="00760C3D"/>
    <w:rsid w:val="00770F90"/>
    <w:rsid w:val="00780676"/>
    <w:rsid w:val="00780A5E"/>
    <w:rsid w:val="007841C0"/>
    <w:rsid w:val="0078739C"/>
    <w:rsid w:val="00794C2E"/>
    <w:rsid w:val="007A74D5"/>
    <w:rsid w:val="007B187D"/>
    <w:rsid w:val="007B1A73"/>
    <w:rsid w:val="007C77F8"/>
    <w:rsid w:val="007F31E7"/>
    <w:rsid w:val="00803F82"/>
    <w:rsid w:val="008333D1"/>
    <w:rsid w:val="008477B7"/>
    <w:rsid w:val="00852C12"/>
    <w:rsid w:val="00857493"/>
    <w:rsid w:val="00863CAD"/>
    <w:rsid w:val="00865F05"/>
    <w:rsid w:val="00887CCA"/>
    <w:rsid w:val="00893A78"/>
    <w:rsid w:val="008A1C9A"/>
    <w:rsid w:val="008A55C1"/>
    <w:rsid w:val="008E5390"/>
    <w:rsid w:val="008F369B"/>
    <w:rsid w:val="008F3EA4"/>
    <w:rsid w:val="0090391A"/>
    <w:rsid w:val="009232A8"/>
    <w:rsid w:val="0093068A"/>
    <w:rsid w:val="00951219"/>
    <w:rsid w:val="009516C8"/>
    <w:rsid w:val="00960134"/>
    <w:rsid w:val="00962B6B"/>
    <w:rsid w:val="00975C8C"/>
    <w:rsid w:val="0097724E"/>
    <w:rsid w:val="009878E8"/>
    <w:rsid w:val="009A654C"/>
    <w:rsid w:val="009D57DB"/>
    <w:rsid w:val="009E2E8A"/>
    <w:rsid w:val="009E6951"/>
    <w:rsid w:val="009F56EE"/>
    <w:rsid w:val="00A13C86"/>
    <w:rsid w:val="00A455B6"/>
    <w:rsid w:val="00A61634"/>
    <w:rsid w:val="00A74692"/>
    <w:rsid w:val="00A973A4"/>
    <w:rsid w:val="00A97727"/>
    <w:rsid w:val="00AE14D7"/>
    <w:rsid w:val="00AE19CE"/>
    <w:rsid w:val="00AF1E43"/>
    <w:rsid w:val="00B0675A"/>
    <w:rsid w:val="00B30712"/>
    <w:rsid w:val="00B3302F"/>
    <w:rsid w:val="00B41641"/>
    <w:rsid w:val="00B45C06"/>
    <w:rsid w:val="00B531B4"/>
    <w:rsid w:val="00B54176"/>
    <w:rsid w:val="00B55A8D"/>
    <w:rsid w:val="00B9159C"/>
    <w:rsid w:val="00BC0805"/>
    <w:rsid w:val="00BD3B96"/>
    <w:rsid w:val="00BD5976"/>
    <w:rsid w:val="00BD6B7E"/>
    <w:rsid w:val="00BE5A87"/>
    <w:rsid w:val="00C14BBF"/>
    <w:rsid w:val="00C16F03"/>
    <w:rsid w:val="00C17CCC"/>
    <w:rsid w:val="00C4069B"/>
    <w:rsid w:val="00C66A33"/>
    <w:rsid w:val="00C9657B"/>
    <w:rsid w:val="00CB2944"/>
    <w:rsid w:val="00CC03A0"/>
    <w:rsid w:val="00CD115C"/>
    <w:rsid w:val="00D37857"/>
    <w:rsid w:val="00D5729A"/>
    <w:rsid w:val="00D81F20"/>
    <w:rsid w:val="00D82A3A"/>
    <w:rsid w:val="00D905A2"/>
    <w:rsid w:val="00DA0217"/>
    <w:rsid w:val="00DA0388"/>
    <w:rsid w:val="00DA7A7A"/>
    <w:rsid w:val="00DB7A44"/>
    <w:rsid w:val="00DB7E58"/>
    <w:rsid w:val="00DC0176"/>
    <w:rsid w:val="00DC18D7"/>
    <w:rsid w:val="00DC1F18"/>
    <w:rsid w:val="00DE4435"/>
    <w:rsid w:val="00DF1877"/>
    <w:rsid w:val="00E22D05"/>
    <w:rsid w:val="00E35CC1"/>
    <w:rsid w:val="00E36E58"/>
    <w:rsid w:val="00E51977"/>
    <w:rsid w:val="00E52FC5"/>
    <w:rsid w:val="00E541EC"/>
    <w:rsid w:val="00E662AB"/>
    <w:rsid w:val="00E91D12"/>
    <w:rsid w:val="00E95CA3"/>
    <w:rsid w:val="00EB6E05"/>
    <w:rsid w:val="00EC2AE3"/>
    <w:rsid w:val="00ED224C"/>
    <w:rsid w:val="00EF511A"/>
    <w:rsid w:val="00F27B41"/>
    <w:rsid w:val="00F33B3E"/>
    <w:rsid w:val="00F356A9"/>
    <w:rsid w:val="00F35EF7"/>
    <w:rsid w:val="00F41C8B"/>
    <w:rsid w:val="00F42A11"/>
    <w:rsid w:val="00F44137"/>
    <w:rsid w:val="00F701C4"/>
    <w:rsid w:val="00FA243E"/>
    <w:rsid w:val="00FB1F0B"/>
    <w:rsid w:val="00FB2150"/>
    <w:rsid w:val="00FB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1B5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A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B7A44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 New Roman" w:hAnsi="Arial"/>
      <w:b/>
      <w:bCs/>
      <w:color w:val="C4262E"/>
      <w:sz w:val="40"/>
      <w:szCs w:val="24"/>
      <w:lang w:val="en-US" w:eastAsia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C7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D7C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7C7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D7C74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2E8A"/>
    <w:pPr>
      <w:spacing w:after="0" w:line="240" w:lineRule="auto"/>
      <w:jc w:val="both"/>
    </w:pPr>
    <w:rPr>
      <w:rFonts w:eastAsia="Times New Roman"/>
      <w:sz w:val="20"/>
      <w:szCs w:val="20"/>
      <w:lang w:val="en-US" w:eastAsia="sv-SE"/>
    </w:rPr>
  </w:style>
  <w:style w:type="character" w:customStyle="1" w:styleId="FootnoteTextChar">
    <w:name w:val="Footnote Text Char"/>
    <w:link w:val="FootnoteText"/>
    <w:uiPriority w:val="99"/>
    <w:semiHidden/>
    <w:rsid w:val="009E2E8A"/>
    <w:rPr>
      <w:rFonts w:eastAsia="Times New Roman"/>
      <w:lang w:val="en-US"/>
    </w:rPr>
  </w:style>
  <w:style w:type="character" w:styleId="FootnoteReference">
    <w:name w:val="footnote reference"/>
    <w:uiPriority w:val="99"/>
    <w:semiHidden/>
    <w:unhideWhenUsed/>
    <w:rsid w:val="009E2E8A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B7A44"/>
    <w:rPr>
      <w:rFonts w:ascii="Arial" w:eastAsia="Times New Roman" w:hAnsi="Arial"/>
      <w:b/>
      <w:bCs/>
      <w:color w:val="C4262E"/>
      <w:sz w:val="4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B7A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0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7D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C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803F82"/>
  </w:style>
  <w:style w:type="paragraph" w:customStyle="1" w:styleId="Default">
    <w:name w:val="Default"/>
    <w:rsid w:val="00B55A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62E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9108C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0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1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17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A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B7A44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 New Roman" w:hAnsi="Arial"/>
      <w:b/>
      <w:bCs/>
      <w:color w:val="C4262E"/>
      <w:sz w:val="40"/>
      <w:szCs w:val="24"/>
      <w:lang w:val="en-US" w:eastAsia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C7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D7C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7C7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D7C74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2E8A"/>
    <w:pPr>
      <w:spacing w:after="0" w:line="240" w:lineRule="auto"/>
      <w:jc w:val="both"/>
    </w:pPr>
    <w:rPr>
      <w:rFonts w:eastAsia="Times New Roman"/>
      <w:sz w:val="20"/>
      <w:szCs w:val="20"/>
      <w:lang w:val="en-US" w:eastAsia="sv-SE"/>
    </w:rPr>
  </w:style>
  <w:style w:type="character" w:customStyle="1" w:styleId="FootnoteTextChar">
    <w:name w:val="Footnote Text Char"/>
    <w:link w:val="FootnoteText"/>
    <w:uiPriority w:val="99"/>
    <w:semiHidden/>
    <w:rsid w:val="009E2E8A"/>
    <w:rPr>
      <w:rFonts w:eastAsia="Times New Roman"/>
      <w:lang w:val="en-US"/>
    </w:rPr>
  </w:style>
  <w:style w:type="character" w:styleId="FootnoteReference">
    <w:name w:val="footnote reference"/>
    <w:uiPriority w:val="99"/>
    <w:semiHidden/>
    <w:unhideWhenUsed/>
    <w:rsid w:val="009E2E8A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B7A44"/>
    <w:rPr>
      <w:rFonts w:ascii="Arial" w:eastAsia="Times New Roman" w:hAnsi="Arial"/>
      <w:b/>
      <w:bCs/>
      <w:color w:val="C4262E"/>
      <w:sz w:val="4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B7A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0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7D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C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803F82"/>
  </w:style>
  <w:style w:type="paragraph" w:customStyle="1" w:styleId="Default">
    <w:name w:val="Default"/>
    <w:rsid w:val="00B55A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62E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9108C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0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1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17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Gullberg</dc:creator>
  <cp:lastModifiedBy>Ebba Fåhraeus</cp:lastModifiedBy>
  <cp:revision>2</cp:revision>
  <cp:lastPrinted>2014-10-02T13:34:00Z</cp:lastPrinted>
  <dcterms:created xsi:type="dcterms:W3CDTF">2014-10-14T13:48:00Z</dcterms:created>
  <dcterms:modified xsi:type="dcterms:W3CDTF">2014-10-14T13:48:00Z</dcterms:modified>
</cp:coreProperties>
</file>