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75BBF" w14:textId="77777777" w:rsidR="000313E9" w:rsidRDefault="000313E9" w:rsidP="007A3A2F">
      <w:pPr>
        <w:pStyle w:val="titel"/>
        <w:rPr>
          <w:sz w:val="22"/>
          <w:szCs w:val="22"/>
        </w:rPr>
      </w:pPr>
    </w:p>
    <w:p w14:paraId="540A5D48" w14:textId="2DC70569"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6C27CBA1" w14:textId="77777777" w:rsidR="000313E9" w:rsidRDefault="000313E9" w:rsidP="000313E9">
      <w:pPr>
        <w:pStyle w:val="titel"/>
        <w:jc w:val="right"/>
        <w:rPr>
          <w:rFonts w:ascii="Titillium Lt" w:hAnsi="Titillium Lt" w:cs="Titillium Lt"/>
          <w:sz w:val="22"/>
          <w:szCs w:val="22"/>
        </w:rPr>
      </w:pPr>
      <w:r>
        <w:rPr>
          <w:sz w:val="22"/>
          <w:szCs w:val="22"/>
        </w:rPr>
        <w:tab/>
        <w:t xml:space="preserve">Goetheanum, Dornach, Suiza, </w:t>
      </w:r>
      <w:r>
        <w:rPr>
          <w:spacing w:val="1"/>
          <w:sz w:val="22"/>
          <w:szCs w:val="22"/>
        </w:rPr>
        <w:t>13 de diciembre de 2025</w:t>
      </w:r>
    </w:p>
    <w:p w14:paraId="4DBBDDBE" w14:textId="77777777" w:rsidR="000313E9" w:rsidRDefault="000313E9" w:rsidP="000313E9">
      <w:pPr>
        <w:pStyle w:val="titel"/>
        <w:rPr>
          <w:sz w:val="28"/>
          <w:szCs w:val="28"/>
        </w:rPr>
      </w:pPr>
    </w:p>
    <w:p w14:paraId="3B369E69" w14:textId="77777777" w:rsidR="000313E9" w:rsidRPr="000313E9" w:rsidRDefault="000313E9" w:rsidP="000313E9">
      <w:pPr>
        <w:pStyle w:val="titel"/>
        <w:spacing w:before="57"/>
        <w:rPr>
          <w:b/>
          <w:bCs/>
          <w:sz w:val="28"/>
          <w:szCs w:val="28"/>
        </w:rPr>
      </w:pPr>
      <w:r w:rsidRPr="000313E9">
        <w:rPr>
          <w:b/>
          <w:bCs/>
          <w:sz w:val="28"/>
          <w:szCs w:val="28"/>
        </w:rPr>
        <w:t xml:space="preserve">Pepinos resistentes al estrés, vacas pacíficas con cuernos </w:t>
      </w:r>
    </w:p>
    <w:p w14:paraId="3967FA90" w14:textId="77777777" w:rsidR="000313E9" w:rsidRPr="000313E9" w:rsidRDefault="000313E9" w:rsidP="000313E9">
      <w:pPr>
        <w:pStyle w:val="titel"/>
        <w:spacing w:before="57"/>
        <w:rPr>
          <w:b/>
          <w:bCs/>
          <w:sz w:val="24"/>
          <w:szCs w:val="24"/>
        </w:rPr>
      </w:pPr>
      <w:r w:rsidRPr="000313E9">
        <w:rPr>
          <w:b/>
          <w:bCs/>
          <w:sz w:val="24"/>
          <w:szCs w:val="24"/>
        </w:rPr>
        <w:t>Las investigaciones muestran las contribuciones de la agricultura biodinámica a la calidad alimentaria, el bienestar animal y la fertilidad del suelo</w:t>
      </w:r>
    </w:p>
    <w:p w14:paraId="650426AD" w14:textId="77777777" w:rsidR="000313E9" w:rsidRPr="000313E9" w:rsidRDefault="000313E9" w:rsidP="000313E9">
      <w:pPr>
        <w:pStyle w:val="body"/>
        <w:rPr>
          <w:b/>
          <w:bCs/>
        </w:rPr>
      </w:pPr>
    </w:p>
    <w:p w14:paraId="6B4C95CF" w14:textId="10BC7B8D" w:rsidR="000313E9" w:rsidRPr="000313E9" w:rsidRDefault="000313E9" w:rsidP="000313E9">
      <w:pPr>
        <w:pStyle w:val="body"/>
        <w:rPr>
          <w:rFonts w:ascii="Titillium" w:hAnsi="Titillium" w:cs="Titillium"/>
          <w:b/>
          <w:bCs/>
          <w:sz w:val="18"/>
          <w:szCs w:val="18"/>
        </w:rPr>
      </w:pPr>
      <w:r w:rsidRPr="000313E9">
        <w:rPr>
          <w:rFonts w:ascii="Titillium" w:hAnsi="Titillium" w:cs="Titillium"/>
          <w:b/>
          <w:bCs/>
          <w:spacing w:val="-1"/>
          <w:sz w:val="18"/>
          <w:szCs w:val="18"/>
        </w:rPr>
        <w:t xml:space="preserve">La agricultura biodinámica contribuye a la calidad alimentaria, el bienestar animal y la sostenibilidad ecológica. Esto se evidencia en una recopilación de estudios en la revista </w:t>
      </w:r>
      <w:r w:rsidR="00E109F5">
        <w:rPr>
          <w:rFonts w:ascii="Titillium" w:hAnsi="Titillium" w:cs="Titillium"/>
          <w:b/>
          <w:bCs/>
          <w:spacing w:val="-1"/>
          <w:sz w:val="18"/>
          <w:szCs w:val="18"/>
        </w:rPr>
        <w:t>‹</w:t>
      </w:r>
      <w:r w:rsidRPr="000313E9">
        <w:rPr>
          <w:rFonts w:ascii="Titillium" w:hAnsi="Titillium" w:cs="Titillium"/>
          <w:b/>
          <w:bCs/>
          <w:spacing w:val="-1"/>
          <w:sz w:val="18"/>
          <w:szCs w:val="18"/>
        </w:rPr>
        <w:t>Living Farms</w:t>
      </w:r>
      <w:r w:rsidR="00E109F5">
        <w:rPr>
          <w:rFonts w:ascii="Titillium" w:hAnsi="Titillium" w:cs="Titillium"/>
          <w:b/>
          <w:bCs/>
          <w:spacing w:val="-1"/>
          <w:sz w:val="18"/>
          <w:szCs w:val="18"/>
        </w:rPr>
        <w:t>›</w:t>
      </w:r>
      <w:r w:rsidRPr="000313E9">
        <w:rPr>
          <w:rFonts w:ascii="Titillium" w:hAnsi="Titillium" w:cs="Titillium"/>
          <w:b/>
          <w:bCs/>
          <w:spacing w:val="-1"/>
          <w:sz w:val="18"/>
          <w:szCs w:val="18"/>
        </w:rPr>
        <w:t xml:space="preserve"> de la Sección de Agricultura del Goetheanum.</w:t>
      </w:r>
    </w:p>
    <w:p w14:paraId="741C13AB" w14:textId="77777777" w:rsidR="000313E9" w:rsidRDefault="000313E9" w:rsidP="000313E9">
      <w:pPr>
        <w:pStyle w:val="body"/>
        <w:rPr>
          <w:rFonts w:ascii="Titillium" w:hAnsi="Titillium" w:cs="Titillium"/>
          <w:spacing w:val="1"/>
          <w:sz w:val="18"/>
          <w:szCs w:val="18"/>
        </w:rPr>
      </w:pPr>
    </w:p>
    <w:p w14:paraId="742B6F7E" w14:textId="77777777" w:rsidR="000313E9" w:rsidRDefault="000313E9" w:rsidP="000313E9">
      <w:pPr>
        <w:pStyle w:val="body"/>
        <w:spacing w:after="57"/>
        <w:rPr>
          <w:rFonts w:ascii="Titillium" w:hAnsi="Titillium" w:cs="Titillium"/>
          <w:spacing w:val="1"/>
          <w:sz w:val="18"/>
          <w:szCs w:val="18"/>
        </w:rPr>
      </w:pPr>
      <w:r>
        <w:rPr>
          <w:rFonts w:ascii="Titillium" w:hAnsi="Titillium" w:cs="Titillium"/>
          <w:spacing w:val="1"/>
          <w:sz w:val="18"/>
          <w:szCs w:val="18"/>
        </w:rPr>
        <w:t xml:space="preserve">Un ensayo de estrés de almacenamiento de pepinos muestra la calidad especial de pepinos de cultivados biodinámicamente: 865 pepinos de cultivo convencional, orgánico y biodinámico fueron cortados en rodajas, reensamblados y empaquetados herméticamente en película transparente. Tras dos semanas de almacenamiento a 23,5 grados Celsius, los pepinos biodinámicos mostraron una capacidad especialmente pronunciada para regenerarse, por ejemplo en las superficies cortadas. La colaboradora del proyecto Marjolein Doesburg-van Kleffens, investigadora asociada en Medicina Complementaria Traslacional en la Universidad de Basilea, Suiza, plantea la hipótesis de que los métodos biodinámicos conducen a «una mayor diversidad microbiana o ciertas bacterias beneficiosas que enriquecen y diversifican el microbioma». La comprobación de la hipótesis requiere una investigación más exhaustiva. </w:t>
      </w:r>
    </w:p>
    <w:p w14:paraId="41613606" w14:textId="77777777" w:rsidR="000313E9" w:rsidRDefault="000313E9" w:rsidP="000313E9">
      <w:pPr>
        <w:pStyle w:val="body"/>
        <w:spacing w:after="57"/>
        <w:rPr>
          <w:rFonts w:ascii="Titillium" w:hAnsi="Titillium" w:cs="Titillium"/>
          <w:spacing w:val="1"/>
          <w:sz w:val="18"/>
          <w:szCs w:val="18"/>
        </w:rPr>
      </w:pPr>
      <w:r>
        <w:rPr>
          <w:rFonts w:ascii="Titillium" w:hAnsi="Titillium" w:cs="Titillium"/>
          <w:spacing w:val="1"/>
          <w:sz w:val="18"/>
          <w:szCs w:val="18"/>
        </w:rPr>
        <w:t>En las praderas se pueden ver vacas con y sin cuernos. Sin embargo, se trata de mucho más que una característica externa: las vacas con cuernos alimentadas con heno presentan un metabolismo más pausado y eficiente, lo que se refleja en un ligero aumento de la temperatura corporal y una menor frecuencia cardíaca. Su leche también es rica en ácido alfa-linolénico y contiene menos ácidos grasos de cadena corta, lo que indica un estado metabólico equilibrado. Al mismo tiempo, los estudios muestran que los marcadores inflamatorios para vacas que reciben una alimentación intensiva son más altos en vacas que no tienen cuernos. Los resultados ilustran que los cuernos tienen una importancia funcional para el bienestar animal y desempeñan un papel integral en el organismo de la vaca.</w:t>
      </w:r>
    </w:p>
    <w:p w14:paraId="49626AC2" w14:textId="77777777" w:rsidR="000313E9" w:rsidRDefault="000313E9" w:rsidP="000313E9">
      <w:pPr>
        <w:pStyle w:val="body"/>
        <w:spacing w:after="57"/>
        <w:rPr>
          <w:rFonts w:ascii="Titillium" w:hAnsi="Titillium" w:cs="Titillium"/>
          <w:spacing w:val="1"/>
          <w:sz w:val="18"/>
          <w:szCs w:val="18"/>
        </w:rPr>
      </w:pPr>
      <w:r>
        <w:rPr>
          <w:rFonts w:ascii="Titillium" w:hAnsi="Titillium" w:cs="Titillium"/>
          <w:spacing w:val="1"/>
          <w:sz w:val="18"/>
          <w:szCs w:val="18"/>
        </w:rPr>
        <w:t>El ensayo a largo plazo del DOK en Therwil, Suiza, que lleva 45 años en marcha, muestra los efectos positivos del cultivo biodinámico sobre la fertilidad del suelo. El responsable del proyecto, Hans-Martin Krause, señala que fue necesario un periodo de 22 años de observación «para detectar diferencias significativas en el contenido de carbono orgánico del suelo, partiendo de una cantidad idéntica de los fertilizantes aplicados». Krause resume el resultado como sigue: «Las mediciones realizadas en las parcelas biodinámicas muestran la más alta concentración de biomasa microbiana, el mayor contenido de carbono orgánico y una mayor biodiversidad – desde microbios del suelo hasta la cantidad y diversidad de insectos.» Los suelos vivos y ricos en humus cruciales para la estabilidad climática, la salud de las plantas y la resiliencia a largo plazo en la agricultura.</w:t>
      </w:r>
    </w:p>
    <w:p w14:paraId="5FA66180" w14:textId="77777777" w:rsidR="000313E9" w:rsidRDefault="000313E9" w:rsidP="000313E9">
      <w:pPr>
        <w:pStyle w:val="body"/>
        <w:rPr>
          <w:rFonts w:ascii="Titillium" w:hAnsi="Titillium" w:cs="Titillium"/>
          <w:spacing w:val="1"/>
          <w:sz w:val="18"/>
          <w:szCs w:val="18"/>
        </w:rPr>
      </w:pPr>
      <w:r>
        <w:rPr>
          <w:rFonts w:ascii="Titillium" w:hAnsi="Titillium" w:cs="Titillium"/>
          <w:spacing w:val="1"/>
          <w:sz w:val="18"/>
          <w:szCs w:val="18"/>
        </w:rPr>
        <w:t>La revista ‹Living Farms› número 2/2025 muestra cómo la investigación biodinámica crea la base científica para una agricultura que persigue un trato respetuoso con los animales y tiene en cuenta tanto las necesidades económicas como las ecológicas y sociales.</w:t>
      </w:r>
    </w:p>
    <w:p w14:paraId="0CF76137" w14:textId="77777777" w:rsidR="000313E9" w:rsidRDefault="000313E9" w:rsidP="000313E9">
      <w:pPr>
        <w:pStyle w:val="body"/>
        <w:spacing w:after="57"/>
        <w:jc w:val="right"/>
        <w:rPr>
          <w:rFonts w:ascii="Titillium" w:hAnsi="Titillium" w:cs="Titillium"/>
          <w:sz w:val="16"/>
          <w:szCs w:val="16"/>
        </w:rPr>
      </w:pPr>
      <w:r>
        <w:rPr>
          <w:rFonts w:ascii="Titillium" w:hAnsi="Titillium" w:cs="Titillium"/>
          <w:sz w:val="18"/>
          <w:szCs w:val="18"/>
        </w:rPr>
        <w:t>(3036 caracteres/Anna Storchenegger y Sebastian Jüngel; traducido por Michael Kranawetvogl)</w:t>
      </w:r>
    </w:p>
    <w:p w14:paraId="09593C2C" w14:textId="77777777" w:rsidR="000313E9" w:rsidRDefault="000313E9" w:rsidP="000313E9">
      <w:pPr>
        <w:pStyle w:val="body"/>
        <w:spacing w:after="57"/>
        <w:rPr>
          <w:rFonts w:ascii="Titillium" w:hAnsi="Titillium" w:cs="Titillium"/>
          <w:spacing w:val="1"/>
          <w:sz w:val="14"/>
          <w:szCs w:val="14"/>
        </w:rPr>
      </w:pPr>
      <w:r>
        <w:rPr>
          <w:rFonts w:ascii="Titillium Bd" w:hAnsi="Titillium Bd" w:cs="Titillium Bd"/>
          <w:b/>
          <w:bCs/>
          <w:spacing w:val="1"/>
          <w:sz w:val="14"/>
          <w:szCs w:val="14"/>
        </w:rPr>
        <w:t xml:space="preserve">Revista ‹Living Farms› (en inglés) </w:t>
      </w:r>
      <w:r>
        <w:rPr>
          <w:rFonts w:ascii="Titillium" w:hAnsi="Titillium" w:cs="Titillium"/>
          <w:spacing w:val="1"/>
          <w:sz w:val="14"/>
          <w:szCs w:val="14"/>
        </w:rPr>
        <w:t xml:space="preserve">número 2/2025 </w:t>
      </w:r>
      <w:r>
        <w:rPr>
          <w:rFonts w:ascii="Titillium Bd" w:hAnsi="Titillium Bd" w:cs="Titillium Bd"/>
          <w:b/>
          <w:bCs/>
          <w:spacing w:val="1"/>
          <w:sz w:val="14"/>
          <w:szCs w:val="14"/>
        </w:rPr>
        <w:t xml:space="preserve">Web </w:t>
      </w:r>
      <w:r>
        <w:rPr>
          <w:rFonts w:ascii="Titillium" w:hAnsi="Titillium" w:cs="Titillium"/>
          <w:spacing w:val="1"/>
          <w:sz w:val="14"/>
          <w:szCs w:val="14"/>
        </w:rPr>
        <w:t>www.sektion-landwirtschaft.org/fileadmin/landwirtschaft/Dateien_zum_downloaden/2502_web_EN.pdf</w:t>
      </w:r>
    </w:p>
    <w:p w14:paraId="3F661882" w14:textId="77777777" w:rsidR="000313E9" w:rsidRDefault="000313E9" w:rsidP="000313E9">
      <w:pPr>
        <w:pStyle w:val="body"/>
        <w:spacing w:after="57"/>
        <w:rPr>
          <w:rFonts w:ascii="Titillium" w:hAnsi="Titillium" w:cs="Titillium"/>
          <w:spacing w:val="1"/>
          <w:sz w:val="14"/>
          <w:szCs w:val="14"/>
        </w:rPr>
      </w:pPr>
      <w:r>
        <w:rPr>
          <w:rFonts w:ascii="Titillium Bd" w:hAnsi="Titillium Bd" w:cs="Titillium Bd"/>
          <w:b/>
          <w:bCs/>
          <w:spacing w:val="1"/>
          <w:sz w:val="14"/>
          <w:szCs w:val="14"/>
        </w:rPr>
        <w:t xml:space="preserve">Ensayo con pepinos (en inglés) </w:t>
      </w:r>
      <w:r>
        <w:rPr>
          <w:rFonts w:ascii="Titillium" w:hAnsi="Titillium" w:cs="Titillium"/>
          <w:spacing w:val="1"/>
          <w:sz w:val="14"/>
          <w:szCs w:val="14"/>
        </w:rPr>
        <w:t xml:space="preserve">Marjolein Doesburg-van Kleffens, Jens-Otto Andersen, Carsten Gründemann y Jürgen Fritz: Effects of cultivation systems on the antimicrobial, colour retainment and slice healing properties of consumer ready market samples of cucumber, Cucumis sativus L. (Efectos de diferentes sistemas de cultivo sobre propiedades antimicrobianas y la capacidad de retención del color y de curación en cortes, observados en muestras de pepinos listos para el mercado, cucumis sativus L.) </w:t>
      </w:r>
      <w:r>
        <w:rPr>
          <w:rFonts w:ascii="Titillium Bd" w:hAnsi="Titillium Bd" w:cs="Titillium Bd"/>
          <w:b/>
          <w:bCs/>
          <w:spacing w:val="1"/>
          <w:sz w:val="14"/>
          <w:szCs w:val="14"/>
        </w:rPr>
        <w:t>Web</w:t>
      </w:r>
      <w:r>
        <w:rPr>
          <w:rFonts w:ascii="Titillium" w:hAnsi="Titillium" w:cs="Titillium"/>
          <w:spacing w:val="1"/>
          <w:sz w:val="14"/>
          <w:szCs w:val="14"/>
        </w:rPr>
        <w:t xml:space="preserve"> www.sciencedirect.com/science/article/pii/ S2772502225000642?via%3Dihub (2025)</w:t>
      </w:r>
    </w:p>
    <w:p w14:paraId="4AC719BA" w14:textId="77777777" w:rsidR="000313E9" w:rsidRDefault="000313E9" w:rsidP="000313E9">
      <w:pPr>
        <w:pStyle w:val="body"/>
        <w:rPr>
          <w:rFonts w:ascii="Titillium" w:hAnsi="Titillium" w:cs="Titillium"/>
          <w:spacing w:val="1"/>
          <w:sz w:val="14"/>
          <w:szCs w:val="14"/>
        </w:rPr>
      </w:pPr>
      <w:r>
        <w:rPr>
          <w:rFonts w:ascii="Titillium Bd" w:hAnsi="Titillium Bd" w:cs="Titillium Bd"/>
          <w:b/>
          <w:bCs/>
          <w:spacing w:val="1"/>
          <w:sz w:val="14"/>
          <w:szCs w:val="14"/>
        </w:rPr>
        <w:t xml:space="preserve">Cuernos de vaca 1 (en alemán) </w:t>
      </w:r>
      <w:r>
        <w:rPr>
          <w:rFonts w:ascii="Titillium" w:hAnsi="Titillium" w:cs="Titillium"/>
          <w:spacing w:val="1"/>
          <w:sz w:val="14"/>
          <w:szCs w:val="14"/>
        </w:rPr>
        <w:t xml:space="preserve">Jenifer Wohlers, Peter Stolz: Milch, Qualität und Hörner. Neue Erkenntnis durch FAS-Messungen (Leche, calidad y cuernos. Nuevos hallazgos basados en mediciones espectroscópicas), estudio publicado en: ‹Lebendige Erde› Nr. 4/2022 </w:t>
      </w:r>
      <w:r>
        <w:rPr>
          <w:rFonts w:ascii="Titillium Bd" w:hAnsi="Titillium Bd" w:cs="Titillium Bd"/>
          <w:b/>
          <w:bCs/>
          <w:spacing w:val="1"/>
          <w:sz w:val="14"/>
          <w:szCs w:val="14"/>
        </w:rPr>
        <w:t>Web</w:t>
      </w:r>
      <w:r>
        <w:rPr>
          <w:rFonts w:ascii="Titillium" w:hAnsi="Titillium" w:cs="Titillium"/>
          <w:spacing w:val="1"/>
          <w:sz w:val="14"/>
          <w:szCs w:val="14"/>
        </w:rPr>
        <w:t xml:space="preserve"> www.lebendigeerde.de/fileadmin/lebendigeerde/pdf/2022/Forschung_2022-4.pdf </w:t>
      </w:r>
    </w:p>
    <w:p w14:paraId="5332E0FE" w14:textId="77777777" w:rsidR="000313E9" w:rsidRDefault="000313E9" w:rsidP="000313E9">
      <w:pPr>
        <w:pStyle w:val="body"/>
        <w:spacing w:after="57"/>
        <w:rPr>
          <w:rFonts w:ascii="Titillium" w:hAnsi="Titillium" w:cs="Titillium"/>
          <w:spacing w:val="1"/>
          <w:sz w:val="14"/>
          <w:szCs w:val="14"/>
        </w:rPr>
      </w:pPr>
      <w:r>
        <w:rPr>
          <w:rFonts w:ascii="Titillium Bd" w:hAnsi="Titillium Bd" w:cs="Titillium Bd"/>
          <w:b/>
          <w:bCs/>
          <w:spacing w:val="1"/>
          <w:sz w:val="14"/>
          <w:szCs w:val="14"/>
        </w:rPr>
        <w:t>Cuernos de vaca 2 (en alemán)</w:t>
      </w:r>
      <w:r>
        <w:rPr>
          <w:rFonts w:ascii="Titillium" w:hAnsi="Titillium" w:cs="Titillium"/>
          <w:spacing w:val="1"/>
          <w:sz w:val="14"/>
          <w:szCs w:val="14"/>
        </w:rPr>
        <w:t xml:space="preserve"> Grupo Cría Ganadera de la Asociación para la Agricultura Biodinámica Suiza en cooperación con el Instituto de Investigación en Agricultura Ecológica </w:t>
      </w:r>
      <w:r>
        <w:rPr>
          <w:rFonts w:ascii="Titillium Bd" w:hAnsi="Titillium Bd" w:cs="Titillium Bd"/>
          <w:b/>
          <w:bCs/>
          <w:spacing w:val="1"/>
          <w:sz w:val="14"/>
          <w:szCs w:val="14"/>
        </w:rPr>
        <w:t>Web</w:t>
      </w:r>
      <w:r>
        <w:rPr>
          <w:rFonts w:ascii="Titillium" w:hAnsi="Titillium" w:cs="Titillium"/>
          <w:spacing w:val="1"/>
          <w:sz w:val="14"/>
          <w:szCs w:val="14"/>
        </w:rPr>
        <w:t xml:space="preserve"> www.fibl.org/fileadmin/documents/shop/1662-kuhhorn.pdf (2016)</w:t>
      </w:r>
    </w:p>
    <w:p w14:paraId="61EE43BE" w14:textId="77777777" w:rsidR="000313E9" w:rsidRDefault="000313E9" w:rsidP="000313E9">
      <w:pPr>
        <w:pStyle w:val="body"/>
        <w:spacing w:after="57"/>
        <w:rPr>
          <w:rFonts w:ascii="Titillium" w:hAnsi="Titillium" w:cs="Titillium"/>
          <w:spacing w:val="1"/>
          <w:sz w:val="14"/>
          <w:szCs w:val="14"/>
        </w:rPr>
      </w:pPr>
      <w:r>
        <w:rPr>
          <w:rFonts w:ascii="Titillium Bd" w:hAnsi="Titillium Bd" w:cs="Titillium Bd"/>
          <w:b/>
          <w:bCs/>
          <w:spacing w:val="1"/>
          <w:sz w:val="14"/>
          <w:szCs w:val="14"/>
        </w:rPr>
        <w:t xml:space="preserve">Ensayo de DOK (en alemán) </w:t>
      </w:r>
      <w:r>
        <w:rPr>
          <w:rFonts w:ascii="Titillium" w:hAnsi="Titillium" w:cs="Titillium"/>
          <w:spacing w:val="1"/>
          <w:sz w:val="14"/>
          <w:szCs w:val="14"/>
        </w:rPr>
        <w:t xml:space="preserve">Andreas Fliessbach, Hans-Martin Krause, Klaus Jarosch, Jochen Mayer, Astrid Oberson y Paul Mäder: El ensayo de DOK. Estudio comparativo de sistemas de cultivo orgánico y convencional a lo largo de 45 años </w:t>
      </w:r>
      <w:r>
        <w:rPr>
          <w:rFonts w:ascii="Titillium Bd" w:hAnsi="Titillium Bd" w:cs="Titillium Bd"/>
          <w:b/>
          <w:bCs/>
          <w:spacing w:val="1"/>
          <w:sz w:val="14"/>
          <w:szCs w:val="14"/>
        </w:rPr>
        <w:t>Web</w:t>
      </w:r>
      <w:r>
        <w:rPr>
          <w:rFonts w:ascii="Titillium" w:hAnsi="Titillium" w:cs="Titillium"/>
          <w:spacing w:val="1"/>
          <w:sz w:val="14"/>
          <w:szCs w:val="14"/>
        </w:rPr>
        <w:t xml:space="preserve"> www.fibl.org/de/shop/1260-dok-dossier (2024)</w:t>
      </w:r>
    </w:p>
    <w:p w14:paraId="7DBB424B" w14:textId="0CB701D8" w:rsidR="006E7E7B" w:rsidRPr="000313E9" w:rsidRDefault="000313E9" w:rsidP="000313E9">
      <w:pPr>
        <w:pStyle w:val="body"/>
        <w:rPr>
          <w:rFonts w:ascii="Titillium" w:hAnsi="Titillium" w:cs="Titillium"/>
          <w:spacing w:val="1"/>
          <w:sz w:val="14"/>
          <w:szCs w:val="14"/>
        </w:rPr>
      </w:pPr>
      <w:r>
        <w:rPr>
          <w:rFonts w:ascii="Titillium Bd" w:hAnsi="Titillium Bd" w:cs="Titillium Bd"/>
          <w:b/>
          <w:bCs/>
          <w:spacing w:val="1"/>
          <w:sz w:val="14"/>
          <w:szCs w:val="14"/>
        </w:rPr>
        <w:t>Contacto</w:t>
      </w:r>
      <w:r>
        <w:rPr>
          <w:rFonts w:ascii="Titillium" w:hAnsi="Titillium" w:cs="Titillium"/>
          <w:spacing w:val="1"/>
          <w:sz w:val="14"/>
          <w:szCs w:val="14"/>
        </w:rPr>
        <w:t xml:space="preserve"> Anna Storchenegger, anna.storchenegger@goetheanum.ch</w:t>
      </w:r>
    </w:p>
    <w:sectPr w:rsidR="006E7E7B" w:rsidRPr="000313E9" w:rsidSect="000313E9">
      <w:pgSz w:w="11906" w:h="16838"/>
      <w:pgMar w:top="1134" w:right="1418"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313E9"/>
    <w:rsid w:val="006E7E7B"/>
    <w:rsid w:val="006F57DB"/>
    <w:rsid w:val="007A3A2F"/>
    <w:rsid w:val="0081275A"/>
    <w:rsid w:val="00B90BB3"/>
    <w:rsid w:val="00D44712"/>
    <w:rsid w:val="00E109F5"/>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696</Words>
  <Characters>4389</Characters>
  <Application>Microsoft Office Word</Application>
  <DocSecurity>0</DocSecurity>
  <Lines>36</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2025-12-13T08:15:00Z</dcterms:modified>
</cp:coreProperties>
</file>