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114249BE" w14:textId="77777777" w:rsidR="00E921F4" w:rsidRDefault="00E921F4" w:rsidP="00E921F4">
      <w:pPr>
        <w:pStyle w:val="titel"/>
        <w:jc w:val="right"/>
        <w:rPr>
          <w:rFonts w:ascii="Titillium Lt" w:hAnsi="Titillium Lt" w:cs="Titillium Lt"/>
          <w:sz w:val="22"/>
          <w:szCs w:val="22"/>
        </w:rPr>
      </w:pPr>
      <w:r>
        <w:rPr>
          <w:sz w:val="22"/>
          <w:szCs w:val="22"/>
        </w:rPr>
        <w:tab/>
        <w:t>Goetheanum, Dornach, Suiza, 27 de enero de 2026</w:t>
      </w:r>
    </w:p>
    <w:p w14:paraId="3713C894" w14:textId="77777777" w:rsidR="00E921F4" w:rsidRDefault="00E921F4" w:rsidP="00E921F4">
      <w:pPr>
        <w:pStyle w:val="titel"/>
        <w:rPr>
          <w:sz w:val="28"/>
          <w:szCs w:val="28"/>
        </w:rPr>
      </w:pPr>
    </w:p>
    <w:p w14:paraId="0D02A558" w14:textId="77777777" w:rsidR="00E921F4" w:rsidRPr="00E921F4" w:rsidRDefault="00E921F4" w:rsidP="00E921F4">
      <w:pPr>
        <w:pStyle w:val="titel"/>
        <w:spacing w:before="57"/>
        <w:rPr>
          <w:b/>
          <w:bCs/>
          <w:sz w:val="28"/>
          <w:szCs w:val="28"/>
        </w:rPr>
      </w:pPr>
      <w:r w:rsidRPr="00E921F4">
        <w:rPr>
          <w:b/>
          <w:bCs/>
          <w:sz w:val="28"/>
          <w:szCs w:val="28"/>
        </w:rPr>
        <w:t>Experimentar el espíritu en la lengua</w:t>
      </w:r>
    </w:p>
    <w:p w14:paraId="398DD0B3" w14:textId="77777777" w:rsidR="00E921F4" w:rsidRPr="00E921F4" w:rsidRDefault="00E921F4" w:rsidP="00E921F4">
      <w:pPr>
        <w:pStyle w:val="titel"/>
        <w:spacing w:before="57"/>
        <w:rPr>
          <w:b/>
          <w:bCs/>
          <w:sz w:val="24"/>
          <w:szCs w:val="24"/>
        </w:rPr>
      </w:pPr>
      <w:r w:rsidRPr="00E921F4">
        <w:rPr>
          <w:b/>
          <w:bCs/>
          <w:sz w:val="24"/>
          <w:szCs w:val="24"/>
        </w:rPr>
        <w:t xml:space="preserve">La revista ‹Stil› analiza las concepciones de Rudolf Steiner sobre lengua y forma </w:t>
      </w:r>
    </w:p>
    <w:p w14:paraId="108C318E" w14:textId="77777777" w:rsidR="00E921F4" w:rsidRPr="00E921F4" w:rsidRDefault="00E921F4" w:rsidP="00E921F4">
      <w:pPr>
        <w:pStyle w:val="body"/>
        <w:rPr>
          <w:b/>
          <w:bCs/>
        </w:rPr>
      </w:pPr>
    </w:p>
    <w:p w14:paraId="6D55D5D9" w14:textId="77777777" w:rsidR="00E921F4" w:rsidRPr="00E921F4" w:rsidRDefault="00E921F4" w:rsidP="00E921F4">
      <w:pPr>
        <w:pStyle w:val="body"/>
        <w:rPr>
          <w:rFonts w:ascii="Titillium" w:hAnsi="Titillium" w:cs="Titillium"/>
          <w:b/>
          <w:bCs/>
          <w:spacing w:val="-1"/>
          <w:sz w:val="17"/>
          <w:szCs w:val="17"/>
        </w:rPr>
      </w:pPr>
      <w:r w:rsidRPr="00E921F4">
        <w:rPr>
          <w:rFonts w:ascii="Titillium" w:hAnsi="Titillium" w:cs="Titillium"/>
          <w:b/>
          <w:bCs/>
          <w:spacing w:val="-1"/>
          <w:sz w:val="17"/>
          <w:szCs w:val="17"/>
        </w:rPr>
        <w:t>Seis autores describen cómo se puede experimentar lo espiritual en las formas artísticas del habla y del lenguaje desarrolladas por Rudolf Steiner. Dependiendo del contenido, sus escritos muestran enfoques hacia lo espiritual mediante diferentes técnicas estructurales y estilísticas. Sin embargo, no es posible descubrirlos sin un pensamiento atento propio.</w:t>
      </w:r>
    </w:p>
    <w:p w14:paraId="10F9C7B1" w14:textId="77777777" w:rsidR="00E921F4" w:rsidRDefault="00E921F4" w:rsidP="00E921F4">
      <w:pPr>
        <w:pStyle w:val="body"/>
        <w:rPr>
          <w:rFonts w:ascii="Titillium" w:hAnsi="Titillium" w:cs="Titillium"/>
          <w:spacing w:val="1"/>
          <w:sz w:val="17"/>
          <w:szCs w:val="17"/>
        </w:rPr>
      </w:pPr>
    </w:p>
    <w:p w14:paraId="596E8D51" w14:textId="77777777" w:rsidR="00E921F4" w:rsidRDefault="00E921F4" w:rsidP="00E921F4">
      <w:pPr>
        <w:pStyle w:val="body"/>
        <w:spacing w:after="57"/>
        <w:rPr>
          <w:rFonts w:ascii="Titillium" w:hAnsi="Titillium" w:cs="Titillium"/>
          <w:spacing w:val="1"/>
          <w:sz w:val="17"/>
          <w:szCs w:val="17"/>
        </w:rPr>
      </w:pPr>
      <w:r>
        <w:rPr>
          <w:rFonts w:ascii="Titillium" w:hAnsi="Titillium" w:cs="Titillium"/>
          <w:spacing w:val="1"/>
          <w:sz w:val="17"/>
          <w:szCs w:val="17"/>
        </w:rPr>
        <w:t>«Vivir en el amor por la acción y dejar vivir por la comprensión de la voluntad ajena, esta es la máxima del ser humano libre.» Una frase como esta, más allá de lo que se expresa a través de las palabras, consigue un efecto a través de su ritmo intrínseco. Un análisis de seis libros de Rudolf Steiner publicado en la revista ‹Stil› muestra cómo Rudolf Steiner aprovecha el potencial del lenguaje para comunicar contenidos espirituales y facilitar una primera experiencia del espíritu que se expresa en ellos.</w:t>
      </w:r>
    </w:p>
    <w:p w14:paraId="0130493A" w14:textId="77777777" w:rsidR="00E921F4" w:rsidRDefault="00E921F4" w:rsidP="00E921F4">
      <w:pPr>
        <w:pStyle w:val="body"/>
        <w:spacing w:after="57"/>
        <w:rPr>
          <w:rFonts w:ascii="Titillium" w:hAnsi="Titillium" w:cs="Titillium"/>
          <w:spacing w:val="1"/>
          <w:sz w:val="17"/>
          <w:szCs w:val="17"/>
        </w:rPr>
      </w:pPr>
      <w:r>
        <w:rPr>
          <w:rFonts w:ascii="Titillium" w:hAnsi="Titillium" w:cs="Titillium"/>
          <w:spacing w:val="1"/>
          <w:sz w:val="17"/>
          <w:szCs w:val="17"/>
        </w:rPr>
        <w:t>Ariane Eichenberg señala que el lenguaje influye en la fisiología y actividad del cerebro humano: «Los escaneos neurológicos realizados durante la lectura de versos de Shakespeare, por ejemplo, muestran que se produce una actividad cerebral significativamente más alta y una formación mayor de circuitos sinápticos que en la lectura de textos de periódico.» Eichenberg se remite a la investigación del Centre for Research into Reading, Literature and Society (Centro de Investigación en Lectura, Literatura y Sociedad) de la Universidad de Liverpool. Los caracteres ‹muertos› de un texto poético pueden conducir a un mundo complejo de experiencias, al igual que un conjunto de notas musicales, bien interpretadas, pueden desplegarse en una sinfonía poderosa. Esto no es posible sin la actividad humana, en el primer caso a través de la interpretación reflexiva e intelectiva, en el segundo con la práctica de tocar el instrumento musical.</w:t>
      </w:r>
    </w:p>
    <w:p w14:paraId="3475DFA8" w14:textId="77777777" w:rsidR="00E921F4" w:rsidRDefault="00E921F4" w:rsidP="00E921F4">
      <w:pPr>
        <w:pStyle w:val="body"/>
        <w:spacing w:after="57"/>
        <w:rPr>
          <w:rFonts w:ascii="Titillium" w:hAnsi="Titillium" w:cs="Titillium"/>
          <w:spacing w:val="1"/>
          <w:sz w:val="17"/>
          <w:szCs w:val="17"/>
        </w:rPr>
      </w:pPr>
      <w:r>
        <w:rPr>
          <w:rFonts w:ascii="Titillium" w:hAnsi="Titillium" w:cs="Titillium"/>
          <w:spacing w:val="1"/>
          <w:sz w:val="17"/>
          <w:szCs w:val="17"/>
        </w:rPr>
        <w:t xml:space="preserve">El punto de partida son diferentes estilos, el uso de imágenes, comparaciones, neologismos o el inventario rítmico-fonético de la lengua. A esto se suman técnicas como el uso deliberado de diferentes significados de una palabra, la introducción de contextos posiblemente desconocidos y contradicciones (más o menos aparentes) que estimulan el pensamiento. La experiencia es comparable con la de adivinar un acertijo: al principio parece incomprensible, después sigue el esfuerzo de resolverlo, hasta que al final la solución parece fácil y evidente. </w:t>
      </w:r>
    </w:p>
    <w:p w14:paraId="2912029B" w14:textId="77777777" w:rsidR="00E921F4" w:rsidRDefault="00E921F4" w:rsidP="00E921F4">
      <w:pPr>
        <w:pStyle w:val="body"/>
        <w:spacing w:after="57"/>
        <w:rPr>
          <w:rFonts w:ascii="Titillium" w:hAnsi="Titillium" w:cs="Titillium"/>
          <w:spacing w:val="1"/>
          <w:sz w:val="17"/>
          <w:szCs w:val="17"/>
        </w:rPr>
      </w:pPr>
      <w:r>
        <w:rPr>
          <w:rFonts w:ascii="Titillium" w:hAnsi="Titillium" w:cs="Titillium"/>
          <w:spacing w:val="1"/>
          <w:sz w:val="17"/>
          <w:szCs w:val="17"/>
        </w:rPr>
        <w:t>Renatus Ziegler desarrolla cómo la reconstrucción interior de un texto estructurado se convierte en la experiencia de haber desarrollado por propio esfuerzo lo que se presenta en forma de conocimiento ajeno; de esta forma se puede volver a crear de manera independiente los contenidos de la ‹Teosofía›, por ejemplo. Centrándose en el libro ‹Los enigmas de la filosofía›, Eckart Förster señala que la interpretación creativa y autónoma requiere un tipo diferente de conocimiento, «una transición del pensamiento abstracto a la experiencia real» – un proceso que no se agota en la lectura única de un texto, sino que puede requerir «toda una vida».</w:t>
      </w:r>
    </w:p>
    <w:p w14:paraId="32FAB9BB" w14:textId="77777777" w:rsidR="00E921F4" w:rsidRDefault="00E921F4" w:rsidP="00E921F4">
      <w:pPr>
        <w:pStyle w:val="body"/>
        <w:spacing w:after="57"/>
        <w:rPr>
          <w:rFonts w:ascii="Titillium" w:hAnsi="Titillium" w:cs="Titillium"/>
          <w:spacing w:val="1"/>
          <w:sz w:val="17"/>
          <w:szCs w:val="17"/>
        </w:rPr>
      </w:pPr>
      <w:r>
        <w:rPr>
          <w:rFonts w:ascii="Titillium" w:hAnsi="Titillium" w:cs="Titillium"/>
          <w:spacing w:val="1"/>
          <w:sz w:val="17"/>
          <w:szCs w:val="17"/>
        </w:rPr>
        <w:t xml:space="preserve">Jaap Sijmons ve en ‹El Cristianismo como hecho místico› de Rudolf Steiner una obra «dramática». La ‹Teosofía› pretende presentar los resultados de la investigación espiritual en un «estilo sobrio y matemático», como dice el propio Rudolf Steiner. Esto requiere una «mayor actividad volitiva» del lector, que a su vez conduce a una «capacidad comprensiva, sobre todo en los esfuerzos iniciales», como comenta Christiane Haid. Ella también compara los escritos de Rudolf Steiner con obras dramáticas, en los que hay que «experimentar momentos de tensión y resolución» – a través de una viva participación pensante. La consecuencia de esto, según Christiane Haid, es que el Yo «se transforma en receptáculo para la revelación del espíritu“» </w:t>
      </w:r>
    </w:p>
    <w:p w14:paraId="57B40CB7" w14:textId="77777777" w:rsidR="00E921F4" w:rsidRDefault="00E921F4" w:rsidP="00E921F4">
      <w:pPr>
        <w:pStyle w:val="body"/>
        <w:rPr>
          <w:rFonts w:ascii="Titillium" w:hAnsi="Titillium" w:cs="Titillium"/>
          <w:spacing w:val="1"/>
          <w:sz w:val="17"/>
          <w:szCs w:val="17"/>
        </w:rPr>
      </w:pPr>
      <w:r>
        <w:rPr>
          <w:rFonts w:ascii="Titillium" w:hAnsi="Titillium" w:cs="Titillium"/>
          <w:spacing w:val="1"/>
          <w:sz w:val="17"/>
          <w:szCs w:val="17"/>
        </w:rPr>
        <w:t>Anna-Katharina Dehmelt describe varios métodos de exponer las ideas en ‹La ciencia oculta, un bosquejo›: definir los conceptos, relacionarlos entre ellos, presentarlos desde diferentes perspectivas, y contrastarlos con conceptos opuestos: «De esta forma, lo que uno ha experimentado como el propio Yo, lo vuelve a encontrar en su entorno». En otras palabras: «Lo interiormente trabajado se convierte en mundo.» De esta manera, como dice Rudolf Steiner, se inicia una primera experiencia de lo espiritual.</w:t>
      </w:r>
    </w:p>
    <w:p w14:paraId="3158BF81" w14:textId="783E0BDC" w:rsidR="00E921F4" w:rsidRDefault="00E921F4" w:rsidP="00E921F4">
      <w:pPr>
        <w:pStyle w:val="body"/>
        <w:spacing w:after="57"/>
        <w:jc w:val="right"/>
        <w:rPr>
          <w:rFonts w:ascii="Titillium" w:hAnsi="Titillium" w:cs="Titillium"/>
          <w:sz w:val="17"/>
          <w:szCs w:val="17"/>
        </w:rPr>
      </w:pPr>
      <w:r>
        <w:rPr>
          <w:rFonts w:ascii="Titillium" w:hAnsi="Titillium" w:cs="Titillium"/>
          <w:sz w:val="17"/>
          <w:szCs w:val="17"/>
        </w:rPr>
        <w:t>(4243 caracteres/S</w:t>
      </w:r>
      <w:r>
        <w:rPr>
          <w:rFonts w:ascii="Titillium" w:hAnsi="Titillium" w:cs="Titillium"/>
          <w:sz w:val="17"/>
          <w:szCs w:val="17"/>
        </w:rPr>
        <w:t xml:space="preserve">ebastian </w:t>
      </w:r>
      <w:r>
        <w:rPr>
          <w:rFonts w:ascii="Titillium" w:hAnsi="Titillium" w:cs="Titillium"/>
          <w:sz w:val="17"/>
          <w:szCs w:val="17"/>
        </w:rPr>
        <w:t>J</w:t>
      </w:r>
      <w:r>
        <w:rPr>
          <w:rFonts w:ascii="Titillium" w:hAnsi="Titillium" w:cs="Titillium"/>
          <w:sz w:val="17"/>
          <w:szCs w:val="17"/>
        </w:rPr>
        <w:t>üngel</w:t>
      </w:r>
      <w:r>
        <w:rPr>
          <w:rFonts w:ascii="Titillium" w:hAnsi="Titillium" w:cs="Titillium"/>
          <w:sz w:val="17"/>
          <w:szCs w:val="17"/>
        </w:rPr>
        <w:t>; traducido por Michael Kranawetvogl)</w:t>
      </w:r>
    </w:p>
    <w:p w14:paraId="34B79321" w14:textId="77777777" w:rsidR="00E921F4" w:rsidRDefault="00E921F4" w:rsidP="00E921F4">
      <w:pPr>
        <w:pStyle w:val="body"/>
        <w:spacing w:after="57"/>
        <w:rPr>
          <w:rFonts w:ascii="Titillium" w:hAnsi="Titillium" w:cs="Titillium"/>
          <w:spacing w:val="1"/>
          <w:sz w:val="17"/>
          <w:szCs w:val="17"/>
        </w:rPr>
      </w:pPr>
      <w:r>
        <w:rPr>
          <w:rFonts w:ascii="Titillium Bd" w:hAnsi="Titillium Bd" w:cs="Titillium Bd"/>
          <w:b/>
          <w:bCs/>
          <w:spacing w:val="1"/>
          <w:sz w:val="17"/>
          <w:szCs w:val="17"/>
        </w:rPr>
        <w:t xml:space="preserve">Revista Stil› (en alemán) </w:t>
      </w:r>
      <w:r>
        <w:rPr>
          <w:rFonts w:ascii="Titillium" w:hAnsi="Titillium" w:cs="Titillium"/>
          <w:spacing w:val="1"/>
          <w:sz w:val="17"/>
          <w:szCs w:val="17"/>
        </w:rPr>
        <w:t xml:space="preserve">Rudolf Steiner lesen und verstehen (Leer y entender a Rudolf Steiner), 96 páginas, 20 francos suizos, Sección de Literatura y Humanidades </w:t>
      </w:r>
      <w:r>
        <w:rPr>
          <w:rFonts w:ascii="Titillium Bd" w:hAnsi="Titillium Bd" w:cs="Titillium Bd"/>
          <w:b/>
          <w:bCs/>
          <w:spacing w:val="1"/>
          <w:sz w:val="17"/>
          <w:szCs w:val="17"/>
        </w:rPr>
        <w:t>Web (en alemán)</w:t>
      </w:r>
      <w:r>
        <w:rPr>
          <w:rFonts w:ascii="Titillium" w:hAnsi="Titillium" w:cs="Titillium"/>
          <w:spacing w:val="1"/>
          <w:sz w:val="17"/>
          <w:szCs w:val="17"/>
        </w:rPr>
        <w:t xml:space="preserve"> ssw.goetheanum.org/publikationen/stil</w:t>
      </w:r>
    </w:p>
    <w:p w14:paraId="0194159C" w14:textId="77777777" w:rsidR="00E921F4" w:rsidRDefault="00E921F4" w:rsidP="00E921F4">
      <w:pPr>
        <w:pStyle w:val="body"/>
        <w:rPr>
          <w:rFonts w:ascii="Titillium" w:hAnsi="Titillium" w:cs="Titillium"/>
          <w:spacing w:val="1"/>
          <w:sz w:val="17"/>
          <w:szCs w:val="17"/>
        </w:rPr>
      </w:pPr>
      <w:r>
        <w:rPr>
          <w:rFonts w:ascii="Titillium Bd" w:hAnsi="Titillium Bd" w:cs="Titillium Bd"/>
          <w:b/>
          <w:bCs/>
          <w:spacing w:val="1"/>
          <w:sz w:val="17"/>
          <w:szCs w:val="17"/>
        </w:rPr>
        <w:t xml:space="preserve">Contacto </w:t>
      </w:r>
      <w:r>
        <w:rPr>
          <w:rFonts w:ascii="Titillium" w:hAnsi="Titillium" w:cs="Titillium"/>
          <w:spacing w:val="1"/>
          <w:sz w:val="17"/>
          <w:szCs w:val="17"/>
        </w:rPr>
        <w:t>Christiane Haid, ssw@goetheanum.ch</w:t>
      </w:r>
    </w:p>
    <w:p w14:paraId="7DBB424B" w14:textId="77777777" w:rsidR="006E7E7B" w:rsidRDefault="006E7E7B"/>
    <w:sectPr w:rsidR="006E7E7B" w:rsidSect="00840009">
      <w:pgSz w:w="11906" w:h="16838"/>
      <w:pgMar w:top="1134" w:right="1701"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C3A0D"/>
    <w:rsid w:val="006E7E7B"/>
    <w:rsid w:val="006F57DB"/>
    <w:rsid w:val="007A3A2F"/>
    <w:rsid w:val="0081275A"/>
    <w:rsid w:val="00840009"/>
    <w:rsid w:val="00B90BB3"/>
    <w:rsid w:val="00E921F4"/>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655</Words>
  <Characters>4128</Characters>
  <Application>Microsoft Office Word</Application>
  <DocSecurity>0</DocSecurity>
  <Lines>34</Lines>
  <Paragraphs>9</Paragraphs>
  <ScaleCrop>false</ScaleCrop>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2020-10-31T17:28:00Z</dcterms:created>
  <dcterms:modified xsi:type="dcterms:W3CDTF">2026-01-27T10:07:00Z</dcterms:modified>
</cp:coreProperties>
</file>