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052" w:rsidRDefault="00D44592">
      <w:pPr>
        <w:rPr>
          <w:b/>
          <w:color w:val="808080"/>
          <w:sz w:val="28"/>
          <w:szCs w:val="28"/>
        </w:rPr>
      </w:pPr>
      <w:r>
        <w:rPr>
          <w:b/>
          <w:noProof/>
          <w:color w:val="808080"/>
          <w:sz w:val="28"/>
          <w:szCs w:val="28"/>
        </w:rPr>
        <w:drawing>
          <wp:anchor distT="0" distB="0" distL="114300" distR="114300" simplePos="0" relativeHeight="251657728" behindDoc="1" locked="0" layoutInCell="1" allowOverlap="1">
            <wp:simplePos x="0" y="0"/>
            <wp:positionH relativeFrom="column">
              <wp:posOffset>2286635</wp:posOffset>
            </wp:positionH>
            <wp:positionV relativeFrom="paragraph">
              <wp:posOffset>-342900</wp:posOffset>
            </wp:positionV>
            <wp:extent cx="1020445" cy="659130"/>
            <wp:effectExtent l="19050" t="0" r="8255" b="0"/>
            <wp:wrapNone/>
            <wp:docPr id="2" name="Bild 2" descr="PMS-färg,-a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S-färg,-anv"/>
                    <pic:cNvPicPr>
                      <a:picLocks noChangeAspect="1" noChangeArrowheads="1"/>
                    </pic:cNvPicPr>
                  </pic:nvPicPr>
                  <pic:blipFill>
                    <a:blip r:embed="rId5" cstate="print"/>
                    <a:srcRect/>
                    <a:stretch>
                      <a:fillRect/>
                    </a:stretch>
                  </pic:blipFill>
                  <pic:spPr bwMode="auto">
                    <a:xfrm>
                      <a:off x="0" y="0"/>
                      <a:ext cx="1020445" cy="659130"/>
                    </a:xfrm>
                    <a:prstGeom prst="rect">
                      <a:avLst/>
                    </a:prstGeom>
                    <a:noFill/>
                    <a:ln w="9525">
                      <a:noFill/>
                      <a:miter lim="800000"/>
                      <a:headEnd/>
                      <a:tailEnd/>
                    </a:ln>
                  </pic:spPr>
                </pic:pic>
              </a:graphicData>
            </a:graphic>
          </wp:anchor>
        </w:drawing>
      </w:r>
    </w:p>
    <w:p w:rsidR="00083052" w:rsidRDefault="00083052">
      <w:pPr>
        <w:rPr>
          <w:b/>
          <w:color w:val="808080"/>
          <w:sz w:val="28"/>
          <w:szCs w:val="28"/>
        </w:rPr>
      </w:pPr>
    </w:p>
    <w:p w:rsidR="00083052" w:rsidRDefault="00083052" w:rsidP="00083052">
      <w:pPr>
        <w:ind w:left="5216" w:firstLine="1304"/>
        <w:rPr>
          <w:rFonts w:ascii="Verdana" w:hAnsi="Verdana"/>
          <w:sz w:val="20"/>
          <w:szCs w:val="20"/>
        </w:rPr>
      </w:pPr>
    </w:p>
    <w:p w:rsidR="0072309E" w:rsidRDefault="0072309E" w:rsidP="0072309E">
      <w:pPr>
        <w:outlineLvl w:val="0"/>
        <w:rPr>
          <w:rFonts w:ascii="Verdana" w:hAnsi="Verdana"/>
          <w:sz w:val="20"/>
          <w:szCs w:val="20"/>
        </w:rPr>
      </w:pPr>
    </w:p>
    <w:p w:rsidR="0072309E" w:rsidRPr="0072309E" w:rsidRDefault="004A4307" w:rsidP="0072309E">
      <w:pPr>
        <w:outlineLvl w:val="0"/>
        <w:rPr>
          <w:rFonts w:ascii="Verdana" w:hAnsi="Verdana"/>
          <w:sz w:val="20"/>
          <w:szCs w:val="20"/>
        </w:rPr>
      </w:pPr>
      <w:r>
        <w:rPr>
          <w:rFonts w:ascii="Verdana" w:hAnsi="Verdana"/>
          <w:sz w:val="20"/>
          <w:szCs w:val="20"/>
        </w:rPr>
        <w:t>Göteborg 2010</w:t>
      </w:r>
      <w:r w:rsidR="0072309E" w:rsidRPr="0072309E">
        <w:rPr>
          <w:rFonts w:ascii="Verdana" w:hAnsi="Verdana"/>
          <w:sz w:val="20"/>
          <w:szCs w:val="20"/>
        </w:rPr>
        <w:t>-</w:t>
      </w:r>
      <w:r w:rsidR="00AD1D04">
        <w:rPr>
          <w:rFonts w:ascii="Verdana" w:hAnsi="Verdana"/>
          <w:sz w:val="20"/>
          <w:szCs w:val="20"/>
        </w:rPr>
        <w:t>11-08</w:t>
      </w:r>
    </w:p>
    <w:p w:rsidR="0072309E" w:rsidRPr="00D728AE" w:rsidRDefault="0072309E" w:rsidP="0072309E">
      <w:pPr>
        <w:rPr>
          <w:rFonts w:ascii="Verdana" w:hAnsi="Verdana"/>
          <w:sz w:val="20"/>
        </w:rPr>
      </w:pPr>
    </w:p>
    <w:p w:rsidR="00E77AE0" w:rsidRDefault="00E77AE0" w:rsidP="00E77AE0">
      <w:pPr>
        <w:tabs>
          <w:tab w:val="left" w:pos="1440"/>
        </w:tabs>
        <w:rPr>
          <w:rFonts w:ascii="Georgia" w:hAnsi="Georgia"/>
          <w:b/>
          <w:sz w:val="28"/>
          <w:szCs w:val="28"/>
        </w:rPr>
      </w:pPr>
    </w:p>
    <w:p w:rsidR="00E77AE0" w:rsidRDefault="00E77AE0" w:rsidP="00E77AE0">
      <w:pPr>
        <w:tabs>
          <w:tab w:val="left" w:pos="1440"/>
        </w:tabs>
        <w:rPr>
          <w:rFonts w:ascii="Verdana" w:hAnsi="Verdana"/>
          <w:b/>
          <w:sz w:val="28"/>
          <w:szCs w:val="28"/>
        </w:rPr>
      </w:pPr>
      <w:r w:rsidRPr="00980B7A">
        <w:rPr>
          <w:rFonts w:ascii="Georgia" w:hAnsi="Georgia"/>
          <w:b/>
          <w:sz w:val="28"/>
          <w:szCs w:val="28"/>
        </w:rPr>
        <w:t>Antalet jobb i Göteborgsregionen ökar</w:t>
      </w:r>
    </w:p>
    <w:p w:rsidR="00E77AE0" w:rsidRDefault="00E77AE0" w:rsidP="00E77AE0">
      <w:pPr>
        <w:rPr>
          <w:rFonts w:ascii="Verdana" w:hAnsi="Verdana"/>
          <w:sz w:val="20"/>
        </w:rPr>
      </w:pPr>
    </w:p>
    <w:p w:rsidR="00E77AE0" w:rsidRDefault="00E77AE0" w:rsidP="00E77AE0">
      <w:r>
        <w:t>Antalet jobb i Göteborgsregionen fortsätter att växa. Det visar de senaste konjunkturanalyserna från Business Region Göteborg. Enligt specialbeställd statistik från SCB ökade antalet sysselsatta med 1,7 procent under tredje kvartalet jämfört med samma kvartal ett år innan.</w:t>
      </w:r>
    </w:p>
    <w:p w:rsidR="00E77AE0" w:rsidRDefault="00E77AE0" w:rsidP="00E77AE0"/>
    <w:p w:rsidR="00E77AE0" w:rsidRDefault="00E77AE0" w:rsidP="00E77AE0">
      <w:r>
        <w:t>– Nu har vi två mätningar i rad som tydligt visar på en stadig uppgång i sysselsättningen, säger Henrik Einarsson omvärldsanalytiker på Business Region Göteborg som jobbar för ökad tillväxt och sysselsättning i Göteborgsregionen. Det bekräftar de indikationer vi fick under våren.</w:t>
      </w:r>
    </w:p>
    <w:p w:rsidR="00E77AE0" w:rsidRDefault="00E77AE0" w:rsidP="00E77AE0"/>
    <w:p w:rsidR="00E77AE0" w:rsidRDefault="00E77AE0" w:rsidP="00E77AE0">
      <w:r>
        <w:t xml:space="preserve">Bakom ökningen ligger en bred konjunkturuppgång hos regionens företag. Inte minst industriföretagen har rekryterat. </w:t>
      </w:r>
    </w:p>
    <w:p w:rsidR="00E77AE0" w:rsidRDefault="00E77AE0" w:rsidP="00E77AE0"/>
    <w:p w:rsidR="00E77AE0" w:rsidRDefault="00E77AE0" w:rsidP="00E77AE0">
      <w:r>
        <w:t xml:space="preserve">Analysen visar också att arbetslösheten nu minskar i regionen jämfört med för ett år sedan. </w:t>
      </w:r>
    </w:p>
    <w:p w:rsidR="00E77AE0" w:rsidRDefault="00E77AE0" w:rsidP="00E77AE0"/>
    <w:p w:rsidR="00E77AE0" w:rsidRDefault="00E77AE0" w:rsidP="00E77AE0">
      <w:r>
        <w:t xml:space="preserve">– Det är särskilt glädjande att även ungdomsarbetslösheten har stabiliserats och till och med minskat något jämfört med för ett år sedan, säger Henrik Einarsson. Samtidigt är nivån fortfarande betydligt högre än innan finanskrisen. </w:t>
      </w:r>
    </w:p>
    <w:p w:rsidR="00E77AE0" w:rsidRDefault="00E77AE0" w:rsidP="00E77AE0"/>
    <w:p w:rsidR="00E77AE0" w:rsidRDefault="00E77AE0" w:rsidP="00E77AE0">
      <w:r>
        <w:t>Mer information:</w:t>
      </w:r>
    </w:p>
    <w:p w:rsidR="00E77AE0" w:rsidRDefault="00E77AE0" w:rsidP="00E77AE0">
      <w:r>
        <w:t xml:space="preserve">Henrik Einarsson, omvärldsanalytiker Business Region Göteborg, </w:t>
      </w:r>
      <w:proofErr w:type="spellStart"/>
      <w:r>
        <w:t>tel</w:t>
      </w:r>
      <w:proofErr w:type="spellEnd"/>
      <w:r>
        <w:t xml:space="preserve"> 0704 41 24 19, </w:t>
      </w:r>
      <w:hyperlink r:id="rId6" w:history="1">
        <w:r w:rsidRPr="006D62BE">
          <w:rPr>
            <w:rStyle w:val="Hyperlnk"/>
          </w:rPr>
          <w:t>henrik.einarsson@businessregion.se</w:t>
        </w:r>
      </w:hyperlink>
    </w:p>
    <w:p w:rsidR="0019201B" w:rsidRPr="00E77AE0" w:rsidRDefault="008108C7" w:rsidP="00F9120E">
      <w:pPr>
        <w:rPr>
          <w:b/>
        </w:rPr>
      </w:pPr>
      <w:r>
        <w:rPr>
          <w:noProof/>
        </w:rPr>
        <w:drawing>
          <wp:inline distT="0" distB="0" distL="0" distR="0">
            <wp:extent cx="4505325" cy="2733368"/>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505228" cy="2733309"/>
                    </a:xfrm>
                    <a:prstGeom prst="rect">
                      <a:avLst/>
                    </a:prstGeom>
                    <a:noFill/>
                  </pic:spPr>
                </pic:pic>
              </a:graphicData>
            </a:graphic>
          </wp:inline>
        </w:drawing>
      </w:r>
      <w:r w:rsidR="00272D43">
        <w:t xml:space="preserve"> </w:t>
      </w:r>
      <w:r w:rsidR="00272D43">
        <w:br/>
      </w:r>
      <w:r w:rsidR="00272D43">
        <w:br/>
      </w:r>
      <w:r w:rsidR="00AC52D0" w:rsidRPr="00E77AE0">
        <w:rPr>
          <w:b/>
        </w:rPr>
        <w:t>Arbetslöshet i Göteborgsregionen</w:t>
      </w:r>
    </w:p>
    <w:p w:rsidR="00272D43" w:rsidRDefault="00272D43" w:rsidP="0072309E">
      <w:pPr>
        <w:outlineLvl w:val="0"/>
      </w:pPr>
    </w:p>
    <w:tbl>
      <w:tblPr>
        <w:tblStyle w:val="Tabellrutnt"/>
        <w:tblW w:w="0" w:type="auto"/>
        <w:tblLook w:val="04A0"/>
      </w:tblPr>
      <w:tblGrid>
        <w:gridCol w:w="2527"/>
        <w:gridCol w:w="2253"/>
        <w:gridCol w:w="2253"/>
        <w:gridCol w:w="2253"/>
      </w:tblGrid>
      <w:tr w:rsidR="007D1365" w:rsidTr="007D1365">
        <w:tc>
          <w:tcPr>
            <w:tcW w:w="2527" w:type="dxa"/>
          </w:tcPr>
          <w:p w:rsidR="007D1365" w:rsidRDefault="007D1365" w:rsidP="0072309E">
            <w:pPr>
              <w:outlineLvl w:val="0"/>
            </w:pPr>
          </w:p>
        </w:tc>
        <w:tc>
          <w:tcPr>
            <w:tcW w:w="2253" w:type="dxa"/>
          </w:tcPr>
          <w:p w:rsidR="007D1365" w:rsidRPr="00BE62B9" w:rsidRDefault="00AC52D0" w:rsidP="00BE62B9">
            <w:pPr>
              <w:jc w:val="center"/>
              <w:outlineLvl w:val="0"/>
              <w:rPr>
                <w:b/>
              </w:rPr>
            </w:pPr>
            <w:r w:rsidRPr="00BE62B9">
              <w:rPr>
                <w:b/>
              </w:rPr>
              <w:t>Okt 2010</w:t>
            </w:r>
          </w:p>
        </w:tc>
        <w:tc>
          <w:tcPr>
            <w:tcW w:w="2253" w:type="dxa"/>
          </w:tcPr>
          <w:p w:rsidR="007D1365" w:rsidRPr="00BE62B9" w:rsidRDefault="00AC52D0" w:rsidP="00BE62B9">
            <w:pPr>
              <w:jc w:val="center"/>
              <w:outlineLvl w:val="0"/>
              <w:rPr>
                <w:b/>
              </w:rPr>
            </w:pPr>
            <w:r w:rsidRPr="00BE62B9">
              <w:rPr>
                <w:b/>
              </w:rPr>
              <w:t>Okt 2009</w:t>
            </w:r>
          </w:p>
        </w:tc>
        <w:tc>
          <w:tcPr>
            <w:tcW w:w="2253" w:type="dxa"/>
          </w:tcPr>
          <w:p w:rsidR="007D1365" w:rsidRPr="00AC52D0" w:rsidRDefault="00AC52D0" w:rsidP="00BE62B9">
            <w:pPr>
              <w:jc w:val="center"/>
              <w:outlineLvl w:val="0"/>
              <w:rPr>
                <w:b/>
              </w:rPr>
            </w:pPr>
            <w:r w:rsidRPr="00AC52D0">
              <w:rPr>
                <w:b/>
              </w:rPr>
              <w:t>Förändring</w:t>
            </w:r>
          </w:p>
        </w:tc>
      </w:tr>
      <w:tr w:rsidR="007D1365" w:rsidTr="007D1365">
        <w:tc>
          <w:tcPr>
            <w:tcW w:w="2527" w:type="dxa"/>
          </w:tcPr>
          <w:p w:rsidR="007D1365" w:rsidRDefault="000E5B00" w:rsidP="000E5B00">
            <w:pPr>
              <w:outlineLvl w:val="0"/>
            </w:pPr>
            <w:r>
              <w:t>Antal</w:t>
            </w:r>
            <w:r w:rsidR="007D1365">
              <w:t xml:space="preserve"> arbetslösa </w:t>
            </w:r>
          </w:p>
        </w:tc>
        <w:tc>
          <w:tcPr>
            <w:tcW w:w="2253" w:type="dxa"/>
          </w:tcPr>
          <w:p w:rsidR="007D1365" w:rsidRDefault="000E5B00" w:rsidP="00BE62B9">
            <w:pPr>
              <w:jc w:val="center"/>
              <w:outlineLvl w:val="0"/>
            </w:pPr>
            <w:r>
              <w:t>38</w:t>
            </w:r>
            <w:r w:rsidR="00BE62B9">
              <w:t xml:space="preserve"> </w:t>
            </w:r>
            <w:r>
              <w:t>293</w:t>
            </w:r>
          </w:p>
        </w:tc>
        <w:tc>
          <w:tcPr>
            <w:tcW w:w="2253" w:type="dxa"/>
          </w:tcPr>
          <w:p w:rsidR="007D1365" w:rsidRDefault="000E5B00" w:rsidP="00BE62B9">
            <w:pPr>
              <w:jc w:val="center"/>
              <w:outlineLvl w:val="0"/>
            </w:pPr>
            <w:r>
              <w:t>38</w:t>
            </w:r>
            <w:r w:rsidR="00BE62B9">
              <w:t xml:space="preserve"> </w:t>
            </w:r>
            <w:r>
              <w:t>606</w:t>
            </w:r>
          </w:p>
        </w:tc>
        <w:tc>
          <w:tcPr>
            <w:tcW w:w="2253" w:type="dxa"/>
          </w:tcPr>
          <w:p w:rsidR="007D1365" w:rsidRPr="00AC52D0" w:rsidRDefault="000E5B00" w:rsidP="00BE62B9">
            <w:pPr>
              <w:jc w:val="center"/>
              <w:outlineLvl w:val="0"/>
              <w:rPr>
                <w:b/>
              </w:rPr>
            </w:pPr>
            <w:proofErr w:type="gramStart"/>
            <w:r w:rsidRPr="00AC52D0">
              <w:rPr>
                <w:b/>
              </w:rPr>
              <w:t>-</w:t>
            </w:r>
            <w:proofErr w:type="gramEnd"/>
            <w:r w:rsidRPr="00AC52D0">
              <w:rPr>
                <w:b/>
              </w:rPr>
              <w:t>313</w:t>
            </w:r>
          </w:p>
        </w:tc>
      </w:tr>
      <w:tr w:rsidR="007D1365" w:rsidTr="007D1365">
        <w:tc>
          <w:tcPr>
            <w:tcW w:w="2527" w:type="dxa"/>
          </w:tcPr>
          <w:p w:rsidR="007D1365" w:rsidRDefault="007D1365" w:rsidP="0072309E">
            <w:pPr>
              <w:outlineLvl w:val="0"/>
            </w:pPr>
            <w:r>
              <w:t>Antal arbetslösa ungdomar</w:t>
            </w:r>
          </w:p>
        </w:tc>
        <w:tc>
          <w:tcPr>
            <w:tcW w:w="2253" w:type="dxa"/>
          </w:tcPr>
          <w:p w:rsidR="007D1365" w:rsidRDefault="00BE62B9" w:rsidP="00BE62B9">
            <w:pPr>
              <w:jc w:val="center"/>
              <w:outlineLvl w:val="0"/>
            </w:pPr>
            <w:r>
              <w:t>8 173</w:t>
            </w:r>
          </w:p>
        </w:tc>
        <w:tc>
          <w:tcPr>
            <w:tcW w:w="2253" w:type="dxa"/>
          </w:tcPr>
          <w:p w:rsidR="007D1365" w:rsidRPr="00F9120E" w:rsidRDefault="00BE62B9" w:rsidP="00BE62B9">
            <w:pPr>
              <w:jc w:val="center"/>
              <w:outlineLvl w:val="0"/>
            </w:pPr>
            <w:r>
              <w:t>8 350</w:t>
            </w:r>
          </w:p>
        </w:tc>
        <w:tc>
          <w:tcPr>
            <w:tcW w:w="2253" w:type="dxa"/>
          </w:tcPr>
          <w:p w:rsidR="007D1365" w:rsidRPr="00AC52D0" w:rsidRDefault="00F9120E" w:rsidP="00BE62B9">
            <w:pPr>
              <w:jc w:val="center"/>
              <w:outlineLvl w:val="0"/>
              <w:rPr>
                <w:b/>
              </w:rPr>
            </w:pPr>
            <w:proofErr w:type="gramStart"/>
            <w:r w:rsidRPr="00AC52D0">
              <w:rPr>
                <w:b/>
              </w:rPr>
              <w:t>-</w:t>
            </w:r>
            <w:proofErr w:type="gramEnd"/>
            <w:r w:rsidRPr="00AC52D0">
              <w:rPr>
                <w:b/>
              </w:rPr>
              <w:t>177</w:t>
            </w:r>
          </w:p>
        </w:tc>
      </w:tr>
    </w:tbl>
    <w:p w:rsidR="00272D43" w:rsidRPr="00A64EA5" w:rsidRDefault="007D1365" w:rsidP="0072309E">
      <w:pPr>
        <w:outlineLvl w:val="0"/>
      </w:pPr>
      <w:r>
        <w:t>(avser öppet arbetslösa och i aktivitetsstöd)</w:t>
      </w:r>
    </w:p>
    <w:sectPr w:rsidR="00272D43" w:rsidRPr="00A64EA5" w:rsidSect="00083052">
      <w:pgSz w:w="11906" w:h="16838"/>
      <w:pgMar w:top="851" w:right="1418" w:bottom="62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70A8D"/>
    <w:multiLevelType w:val="hybridMultilevel"/>
    <w:tmpl w:val="42124144"/>
    <w:lvl w:ilvl="0" w:tplc="A59CE51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9C955E2"/>
    <w:multiLevelType w:val="hybridMultilevel"/>
    <w:tmpl w:val="43B6F804"/>
    <w:lvl w:ilvl="0" w:tplc="626672EC">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7A585A5F"/>
    <w:multiLevelType w:val="hybridMultilevel"/>
    <w:tmpl w:val="52C47CAC"/>
    <w:lvl w:ilvl="0" w:tplc="3B78E7C0">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7D9C0BE7"/>
    <w:multiLevelType w:val="hybridMultilevel"/>
    <w:tmpl w:val="CCF462A6"/>
    <w:lvl w:ilvl="0" w:tplc="E31C5FF6">
      <w:numFmt w:val="bullet"/>
      <w:lvlText w:val="-"/>
      <w:lvlJc w:val="left"/>
      <w:pPr>
        <w:tabs>
          <w:tab w:val="num" w:pos="720"/>
        </w:tabs>
        <w:ind w:left="720" w:hanging="360"/>
      </w:pPr>
      <w:rPr>
        <w:rFonts w:ascii="Verdana" w:eastAsia="Times New Roman" w:hAnsi="Verdana"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characterSpacingControl w:val="doNotCompress"/>
  <w:compat/>
  <w:rsids>
    <w:rsidRoot w:val="00D93818"/>
    <w:rsid w:val="000152A2"/>
    <w:rsid w:val="0002131C"/>
    <w:rsid w:val="0002578C"/>
    <w:rsid w:val="00026842"/>
    <w:rsid w:val="00033673"/>
    <w:rsid w:val="00033AF5"/>
    <w:rsid w:val="00053089"/>
    <w:rsid w:val="0005325D"/>
    <w:rsid w:val="000705A2"/>
    <w:rsid w:val="000745C7"/>
    <w:rsid w:val="00076085"/>
    <w:rsid w:val="00081A67"/>
    <w:rsid w:val="00082D74"/>
    <w:rsid w:val="00083052"/>
    <w:rsid w:val="0008533A"/>
    <w:rsid w:val="00092DF7"/>
    <w:rsid w:val="00096016"/>
    <w:rsid w:val="00096E4D"/>
    <w:rsid w:val="000A3C8C"/>
    <w:rsid w:val="000A4C54"/>
    <w:rsid w:val="000B0624"/>
    <w:rsid w:val="000D3F44"/>
    <w:rsid w:val="000E2BED"/>
    <w:rsid w:val="000E3C07"/>
    <w:rsid w:val="000E403C"/>
    <w:rsid w:val="000E5B00"/>
    <w:rsid w:val="000F0F91"/>
    <w:rsid w:val="000F5A51"/>
    <w:rsid w:val="000F7ED1"/>
    <w:rsid w:val="00112E1E"/>
    <w:rsid w:val="00113D2D"/>
    <w:rsid w:val="00115400"/>
    <w:rsid w:val="001211A7"/>
    <w:rsid w:val="00134715"/>
    <w:rsid w:val="00151122"/>
    <w:rsid w:val="00151728"/>
    <w:rsid w:val="001532D7"/>
    <w:rsid w:val="00155B0A"/>
    <w:rsid w:val="00163221"/>
    <w:rsid w:val="00173E13"/>
    <w:rsid w:val="00182E66"/>
    <w:rsid w:val="0019201B"/>
    <w:rsid w:val="00192C9A"/>
    <w:rsid w:val="00194673"/>
    <w:rsid w:val="001A2D86"/>
    <w:rsid w:val="001A4596"/>
    <w:rsid w:val="001C29CE"/>
    <w:rsid w:val="001F31C6"/>
    <w:rsid w:val="001F55B3"/>
    <w:rsid w:val="002026A3"/>
    <w:rsid w:val="00202F78"/>
    <w:rsid w:val="00210B0E"/>
    <w:rsid w:val="002143CF"/>
    <w:rsid w:val="00214806"/>
    <w:rsid w:val="00233582"/>
    <w:rsid w:val="0023474B"/>
    <w:rsid w:val="0025404E"/>
    <w:rsid w:val="00264052"/>
    <w:rsid w:val="002647F2"/>
    <w:rsid w:val="00272D43"/>
    <w:rsid w:val="00276A17"/>
    <w:rsid w:val="00286BCE"/>
    <w:rsid w:val="00292623"/>
    <w:rsid w:val="002B040E"/>
    <w:rsid w:val="002C48D3"/>
    <w:rsid w:val="002D149A"/>
    <w:rsid w:val="002D7257"/>
    <w:rsid w:val="002E0390"/>
    <w:rsid w:val="002E32EB"/>
    <w:rsid w:val="002F1AAD"/>
    <w:rsid w:val="002F6F7C"/>
    <w:rsid w:val="0032023D"/>
    <w:rsid w:val="003211FB"/>
    <w:rsid w:val="00334BDC"/>
    <w:rsid w:val="00335A44"/>
    <w:rsid w:val="0034518D"/>
    <w:rsid w:val="00345EA4"/>
    <w:rsid w:val="00352920"/>
    <w:rsid w:val="0036069F"/>
    <w:rsid w:val="00365098"/>
    <w:rsid w:val="003655E1"/>
    <w:rsid w:val="00376553"/>
    <w:rsid w:val="0039434B"/>
    <w:rsid w:val="003B4E38"/>
    <w:rsid w:val="003D109E"/>
    <w:rsid w:val="003E40F1"/>
    <w:rsid w:val="003F23EB"/>
    <w:rsid w:val="003F6FEE"/>
    <w:rsid w:val="004076E7"/>
    <w:rsid w:val="00413095"/>
    <w:rsid w:val="00415374"/>
    <w:rsid w:val="00427C24"/>
    <w:rsid w:val="00440791"/>
    <w:rsid w:val="004457FD"/>
    <w:rsid w:val="004546FA"/>
    <w:rsid w:val="0046077E"/>
    <w:rsid w:val="00480C75"/>
    <w:rsid w:val="00483CDE"/>
    <w:rsid w:val="004876E4"/>
    <w:rsid w:val="0049169F"/>
    <w:rsid w:val="00493B82"/>
    <w:rsid w:val="00494C43"/>
    <w:rsid w:val="004A4307"/>
    <w:rsid w:val="004B2145"/>
    <w:rsid w:val="004B48BB"/>
    <w:rsid w:val="004C26B0"/>
    <w:rsid w:val="004C4D2A"/>
    <w:rsid w:val="004C4EFD"/>
    <w:rsid w:val="004D0E0D"/>
    <w:rsid w:val="004E4336"/>
    <w:rsid w:val="004E4884"/>
    <w:rsid w:val="004E54CF"/>
    <w:rsid w:val="004F3E35"/>
    <w:rsid w:val="005462FF"/>
    <w:rsid w:val="005859F5"/>
    <w:rsid w:val="00587E6E"/>
    <w:rsid w:val="00597282"/>
    <w:rsid w:val="005A3B95"/>
    <w:rsid w:val="005B6DB3"/>
    <w:rsid w:val="005D0888"/>
    <w:rsid w:val="005E2D2B"/>
    <w:rsid w:val="005E7E29"/>
    <w:rsid w:val="005F7F42"/>
    <w:rsid w:val="0061017E"/>
    <w:rsid w:val="0061599A"/>
    <w:rsid w:val="0064712F"/>
    <w:rsid w:val="00652771"/>
    <w:rsid w:val="00653844"/>
    <w:rsid w:val="006565BD"/>
    <w:rsid w:val="00667A0D"/>
    <w:rsid w:val="00675A21"/>
    <w:rsid w:val="006971DE"/>
    <w:rsid w:val="006B39BB"/>
    <w:rsid w:val="006B4FD4"/>
    <w:rsid w:val="006B6F40"/>
    <w:rsid w:val="006C0B7A"/>
    <w:rsid w:val="006D12E1"/>
    <w:rsid w:val="006D2393"/>
    <w:rsid w:val="006D4B30"/>
    <w:rsid w:val="006E2A2F"/>
    <w:rsid w:val="006F2DD0"/>
    <w:rsid w:val="007022A0"/>
    <w:rsid w:val="00702B7D"/>
    <w:rsid w:val="00711CE1"/>
    <w:rsid w:val="0071670E"/>
    <w:rsid w:val="007221D7"/>
    <w:rsid w:val="0072309E"/>
    <w:rsid w:val="007240A7"/>
    <w:rsid w:val="00727F48"/>
    <w:rsid w:val="00734650"/>
    <w:rsid w:val="00736C17"/>
    <w:rsid w:val="007408E8"/>
    <w:rsid w:val="00743445"/>
    <w:rsid w:val="00774B43"/>
    <w:rsid w:val="00794D1A"/>
    <w:rsid w:val="00796D50"/>
    <w:rsid w:val="00797ABB"/>
    <w:rsid w:val="007A5B3D"/>
    <w:rsid w:val="007D1365"/>
    <w:rsid w:val="007D2F3C"/>
    <w:rsid w:val="007D4EDB"/>
    <w:rsid w:val="007E5DFC"/>
    <w:rsid w:val="007F1073"/>
    <w:rsid w:val="008026CD"/>
    <w:rsid w:val="008060F7"/>
    <w:rsid w:val="008108C7"/>
    <w:rsid w:val="008211D8"/>
    <w:rsid w:val="00823F61"/>
    <w:rsid w:val="00825673"/>
    <w:rsid w:val="00827A40"/>
    <w:rsid w:val="00843F10"/>
    <w:rsid w:val="008503A4"/>
    <w:rsid w:val="00850505"/>
    <w:rsid w:val="00860180"/>
    <w:rsid w:val="00861DE3"/>
    <w:rsid w:val="008664A6"/>
    <w:rsid w:val="008A1AFB"/>
    <w:rsid w:val="008A34C5"/>
    <w:rsid w:val="008A7B80"/>
    <w:rsid w:val="008B0937"/>
    <w:rsid w:val="008B45AA"/>
    <w:rsid w:val="008C01E2"/>
    <w:rsid w:val="008C2095"/>
    <w:rsid w:val="008D5FD6"/>
    <w:rsid w:val="008E22C3"/>
    <w:rsid w:val="008E3903"/>
    <w:rsid w:val="008E551F"/>
    <w:rsid w:val="008E79A7"/>
    <w:rsid w:val="008F1F43"/>
    <w:rsid w:val="008F5DDE"/>
    <w:rsid w:val="00900E2F"/>
    <w:rsid w:val="00934E6D"/>
    <w:rsid w:val="0094665A"/>
    <w:rsid w:val="00950CE7"/>
    <w:rsid w:val="009555C7"/>
    <w:rsid w:val="00963FEF"/>
    <w:rsid w:val="00965621"/>
    <w:rsid w:val="00967474"/>
    <w:rsid w:val="00971FAF"/>
    <w:rsid w:val="00983F39"/>
    <w:rsid w:val="00996D13"/>
    <w:rsid w:val="009A1769"/>
    <w:rsid w:val="009E1E7B"/>
    <w:rsid w:val="009E328A"/>
    <w:rsid w:val="00A017BB"/>
    <w:rsid w:val="00A01A31"/>
    <w:rsid w:val="00A025E0"/>
    <w:rsid w:val="00A171CC"/>
    <w:rsid w:val="00A215EA"/>
    <w:rsid w:val="00A26B64"/>
    <w:rsid w:val="00A33736"/>
    <w:rsid w:val="00A35A12"/>
    <w:rsid w:val="00A468D3"/>
    <w:rsid w:val="00A50452"/>
    <w:rsid w:val="00A60E86"/>
    <w:rsid w:val="00A64EA5"/>
    <w:rsid w:val="00A713ED"/>
    <w:rsid w:val="00A90F3B"/>
    <w:rsid w:val="00A9105C"/>
    <w:rsid w:val="00AC0655"/>
    <w:rsid w:val="00AC52D0"/>
    <w:rsid w:val="00AD1D04"/>
    <w:rsid w:val="00AD35B8"/>
    <w:rsid w:val="00AE1A66"/>
    <w:rsid w:val="00AF00FB"/>
    <w:rsid w:val="00B21ADC"/>
    <w:rsid w:val="00B27ABA"/>
    <w:rsid w:val="00B317C2"/>
    <w:rsid w:val="00B37AEE"/>
    <w:rsid w:val="00B5389D"/>
    <w:rsid w:val="00B63E6F"/>
    <w:rsid w:val="00B7573B"/>
    <w:rsid w:val="00B77B2B"/>
    <w:rsid w:val="00BB5A2C"/>
    <w:rsid w:val="00BC0012"/>
    <w:rsid w:val="00BC289D"/>
    <w:rsid w:val="00BE0788"/>
    <w:rsid w:val="00BE2B29"/>
    <w:rsid w:val="00BE62B9"/>
    <w:rsid w:val="00BF187C"/>
    <w:rsid w:val="00BF7ACD"/>
    <w:rsid w:val="00C04833"/>
    <w:rsid w:val="00C13245"/>
    <w:rsid w:val="00C23A87"/>
    <w:rsid w:val="00C329F6"/>
    <w:rsid w:val="00C3337B"/>
    <w:rsid w:val="00C55C80"/>
    <w:rsid w:val="00CA2668"/>
    <w:rsid w:val="00CA5EC8"/>
    <w:rsid w:val="00CB6C53"/>
    <w:rsid w:val="00CF096A"/>
    <w:rsid w:val="00CF16BB"/>
    <w:rsid w:val="00CF3877"/>
    <w:rsid w:val="00CF425A"/>
    <w:rsid w:val="00CF66FA"/>
    <w:rsid w:val="00CF7BAC"/>
    <w:rsid w:val="00D12C28"/>
    <w:rsid w:val="00D1325D"/>
    <w:rsid w:val="00D30181"/>
    <w:rsid w:val="00D32686"/>
    <w:rsid w:val="00D33946"/>
    <w:rsid w:val="00D40F0D"/>
    <w:rsid w:val="00D44592"/>
    <w:rsid w:val="00D449C6"/>
    <w:rsid w:val="00D73C49"/>
    <w:rsid w:val="00D74F3E"/>
    <w:rsid w:val="00D75F25"/>
    <w:rsid w:val="00D8420A"/>
    <w:rsid w:val="00D93818"/>
    <w:rsid w:val="00D93E8B"/>
    <w:rsid w:val="00DB2F0E"/>
    <w:rsid w:val="00DB48A8"/>
    <w:rsid w:val="00DD20DC"/>
    <w:rsid w:val="00DE132B"/>
    <w:rsid w:val="00E06C8A"/>
    <w:rsid w:val="00E0707D"/>
    <w:rsid w:val="00E151B4"/>
    <w:rsid w:val="00E16008"/>
    <w:rsid w:val="00E2134C"/>
    <w:rsid w:val="00E217DC"/>
    <w:rsid w:val="00E36189"/>
    <w:rsid w:val="00E6288F"/>
    <w:rsid w:val="00E75711"/>
    <w:rsid w:val="00E77AE0"/>
    <w:rsid w:val="00E81B3B"/>
    <w:rsid w:val="00E856A0"/>
    <w:rsid w:val="00E90755"/>
    <w:rsid w:val="00E94F11"/>
    <w:rsid w:val="00EC6903"/>
    <w:rsid w:val="00EC6F0C"/>
    <w:rsid w:val="00ED5173"/>
    <w:rsid w:val="00EE3C2C"/>
    <w:rsid w:val="00EF416E"/>
    <w:rsid w:val="00EF76E3"/>
    <w:rsid w:val="00F06ED9"/>
    <w:rsid w:val="00F12969"/>
    <w:rsid w:val="00F15065"/>
    <w:rsid w:val="00F36880"/>
    <w:rsid w:val="00F44D2C"/>
    <w:rsid w:val="00F46FBB"/>
    <w:rsid w:val="00F62302"/>
    <w:rsid w:val="00F67F9C"/>
    <w:rsid w:val="00F7645A"/>
    <w:rsid w:val="00F80A7E"/>
    <w:rsid w:val="00F83590"/>
    <w:rsid w:val="00F84040"/>
    <w:rsid w:val="00F87027"/>
    <w:rsid w:val="00F902DC"/>
    <w:rsid w:val="00F9120E"/>
    <w:rsid w:val="00F957EB"/>
    <w:rsid w:val="00FA2681"/>
    <w:rsid w:val="00FB7432"/>
    <w:rsid w:val="00FC5D3F"/>
    <w:rsid w:val="00FE573B"/>
    <w:rsid w:val="00FE76B8"/>
    <w:rsid w:val="00FF74D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085"/>
    <w:rPr>
      <w:sz w:val="24"/>
      <w:szCs w:val="24"/>
    </w:rPr>
  </w:style>
  <w:style w:type="paragraph" w:styleId="Rubrik1">
    <w:name w:val="heading 1"/>
    <w:basedOn w:val="Normal"/>
    <w:next w:val="Normal"/>
    <w:link w:val="Rubrik1Char"/>
    <w:qFormat/>
    <w:rsid w:val="001920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112E1E"/>
    <w:rPr>
      <w:color w:val="0000FF"/>
      <w:u w:val="single"/>
    </w:rPr>
  </w:style>
  <w:style w:type="paragraph" w:styleId="Dokumentversikt">
    <w:name w:val="Document Map"/>
    <w:basedOn w:val="Normal"/>
    <w:semiHidden/>
    <w:rsid w:val="000A4C54"/>
    <w:pPr>
      <w:shd w:val="clear" w:color="auto" w:fill="000080"/>
    </w:pPr>
    <w:rPr>
      <w:rFonts w:ascii="Tahoma" w:hAnsi="Tahoma" w:cs="Tahoma"/>
      <w:sz w:val="20"/>
      <w:szCs w:val="20"/>
    </w:rPr>
  </w:style>
  <w:style w:type="table" w:styleId="Tabellrutnt">
    <w:name w:val="Table Grid"/>
    <w:basedOn w:val="Normaltabell"/>
    <w:rsid w:val="004607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ubrik1Char">
    <w:name w:val="Rubrik 1 Char"/>
    <w:basedOn w:val="Standardstycketeckensnitt"/>
    <w:link w:val="Rubrik1"/>
    <w:rsid w:val="0019201B"/>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rsid w:val="00272D43"/>
    <w:rPr>
      <w:rFonts w:ascii="Tahoma" w:hAnsi="Tahoma" w:cs="Tahoma"/>
      <w:sz w:val="16"/>
      <w:szCs w:val="16"/>
    </w:rPr>
  </w:style>
  <w:style w:type="character" w:customStyle="1" w:styleId="BallongtextChar">
    <w:name w:val="Ballongtext Char"/>
    <w:basedOn w:val="Standardstycketeckensnitt"/>
    <w:link w:val="Ballongtext"/>
    <w:rsid w:val="00272D43"/>
    <w:rPr>
      <w:rFonts w:ascii="Tahoma" w:hAnsi="Tahoma" w:cs="Tahoma"/>
      <w:sz w:val="16"/>
      <w:szCs w:val="16"/>
    </w:rPr>
  </w:style>
  <w:style w:type="paragraph" w:styleId="Liststycke">
    <w:name w:val="List Paragraph"/>
    <w:basedOn w:val="Normal"/>
    <w:uiPriority w:val="34"/>
    <w:qFormat/>
    <w:rsid w:val="00F9120E"/>
    <w:pPr>
      <w:ind w:left="720"/>
      <w:contextualSpacing/>
    </w:pPr>
  </w:style>
</w:styles>
</file>

<file path=word/webSettings.xml><?xml version="1.0" encoding="utf-8"?>
<w:webSettings xmlns:r="http://schemas.openxmlformats.org/officeDocument/2006/relationships" xmlns:w="http://schemas.openxmlformats.org/wordprocessingml/2006/main">
  <w:divs>
    <w:div w:id="643313919">
      <w:bodyDiv w:val="1"/>
      <w:marLeft w:val="0"/>
      <w:marRight w:val="0"/>
      <w:marTop w:val="0"/>
      <w:marBottom w:val="0"/>
      <w:divBdr>
        <w:top w:val="none" w:sz="0" w:space="0" w:color="auto"/>
        <w:left w:val="none" w:sz="0" w:space="0" w:color="auto"/>
        <w:bottom w:val="none" w:sz="0" w:space="0" w:color="auto"/>
        <w:right w:val="none" w:sz="0" w:space="0" w:color="auto"/>
      </w:divBdr>
    </w:div>
    <w:div w:id="181301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nrik.einarsson@businessregion.s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1266</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Business Region Göteborg</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Einarsson</dc:creator>
  <cp:keywords/>
  <dc:description/>
  <cp:lastModifiedBy>Lina Skafvenstedt</cp:lastModifiedBy>
  <cp:revision>2</cp:revision>
  <cp:lastPrinted>2009-02-19T08:07:00Z</cp:lastPrinted>
  <dcterms:created xsi:type="dcterms:W3CDTF">2010-11-08T08:34:00Z</dcterms:created>
  <dcterms:modified xsi:type="dcterms:W3CDTF">2010-11-08T08:34:00Z</dcterms:modified>
</cp:coreProperties>
</file>