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3E" w:rsidRDefault="0050513E" w:rsidP="0050513E">
      <w:pPr>
        <w:rPr>
          <w:b/>
          <w:bCs/>
        </w:rPr>
      </w:pPr>
      <w:r>
        <w:rPr>
          <w:b/>
          <w:bCs/>
        </w:rPr>
        <w:t>Grundskylden falder i to kommuner – men langt de fleste skal betale mere næste år</w:t>
      </w:r>
    </w:p>
    <w:p w:rsidR="0050513E" w:rsidRDefault="0050513E" w:rsidP="0050513E">
      <w:pPr>
        <w:rPr>
          <w:b/>
          <w:bCs/>
        </w:rPr>
      </w:pPr>
    </w:p>
    <w:p w:rsidR="0050513E" w:rsidRDefault="0050513E" w:rsidP="0050513E">
      <w:r>
        <w:t>De kommunale budgetter er forhandlet på plads og dermed også de kommunale skatter herunder grundskyldspromillen. Tre kommuner sætter grundskyldspromillen ned næste år, og det betyder, at husejere i de kommuner slipper billigere i boligskat, end de ellers ville have gjort. Til trods for det, er det kun i to ud af de tre kommuner at den typiske husejer vil opleve et direkte fald i grundskylden næste år. I de fleste andre kommuner vil grundskylden ligeledes stige. Det skyldes, at efter to år hvor grundskylden har været fastlåst, får grundskylden igen lov til at stige med reguleringsprocenten, der for 2018 er fastsat til 6,5 pct. Én kommune har desuden valgt at sætte grundskyldspromillen op næste år.</w:t>
      </w:r>
    </w:p>
    <w:p w:rsidR="0050513E" w:rsidRDefault="0050513E" w:rsidP="0050513E"/>
    <w:p w:rsidR="0050513E" w:rsidRDefault="0050513E" w:rsidP="0050513E">
      <w:r>
        <w:t>Ifølge Kommunernes Landsforening KL, sænker Billund, Dragør og Høje-Taastrup kommuner grundskyldspromillen næste år, mens Holbæk sætter den i vejret. For den gennemsnitlige husejer i Høje-Taastrup betyder det, at grundskylden kun stiger med 860 kroner og ikke med 990 kroner, som der ellers var udsigt til. I Dragør kommune kan den typiske husejer glæde sig over et direkte fald i grundskylden på 640 kroner og i Billund kommune et fald på 430 kroner.</w:t>
      </w:r>
    </w:p>
    <w:p w:rsidR="0050513E" w:rsidRDefault="0050513E" w:rsidP="0050513E"/>
    <w:p w:rsidR="0050513E" w:rsidRDefault="0050513E" w:rsidP="0050513E">
      <w:r>
        <w:t>Har man derimod købt hus i Holbæk kommune, skal man af med flere penge i grundskyld næste år, end der var lagt op til. En typisk husejer i Holbæk kan se frem til en stigning på 1200 kroner og ikke på 560 kroner, som der ellers var udsigt til. Det sender Holbæk kommune ind i top 20 af de kommuner, hvor grundskylden står til at stige mest i kroner og ører i 2018 – i toppen ligger Frederiksberg kommune med en gennemsnitlig grundskyldsstigning på 2860 kroner.</w:t>
      </w:r>
    </w:p>
    <w:p w:rsidR="0050513E" w:rsidRDefault="0050513E" w:rsidP="0050513E"/>
    <w:p w:rsidR="0050513E" w:rsidRDefault="0050513E" w:rsidP="0050513E">
      <w:pPr>
        <w:rPr>
          <w:b/>
          <w:bCs/>
        </w:rPr>
      </w:pPr>
      <w:r>
        <w:rPr>
          <w:b/>
          <w:bCs/>
        </w:rPr>
        <w:t>Langt de fleste kan se frem til højere boligskat næste år</w:t>
      </w:r>
    </w:p>
    <w:p w:rsidR="0050513E" w:rsidRDefault="0050513E" w:rsidP="0050513E">
      <w:pPr>
        <w:rPr>
          <w:b/>
          <w:bCs/>
        </w:rPr>
      </w:pPr>
    </w:p>
    <w:p w:rsidR="0050513E" w:rsidRDefault="0050513E" w:rsidP="0050513E">
      <w:r>
        <w:t xml:space="preserve">For landet som helhed er der udsigt til stigende grundskyld i to tredjedele af landets kommuner i 2018. Det skyldes, at der efter to år med fastfrysning af grundskylden igen tillades en stigning i de afgiftspligtige grundværdier, der endnu ikke har ramt 2011 vurderingen.  Stigningsprocenten for 2018 er fastsat til 6,5 procent. Stigningen sker, fordi rigtig mange boligejere grundet skattestoppet ikke har betalt grundskyld af den fulde grundværdi siden 00’erne. </w:t>
      </w:r>
    </w:p>
    <w:p w:rsidR="0050513E" w:rsidRDefault="0050513E" w:rsidP="0050513E"/>
    <w:p w:rsidR="0050513E" w:rsidRDefault="0050513E" w:rsidP="0050513E">
      <w:r>
        <w:t xml:space="preserve">Den største stigning i grundskylden møder du på Frederiksberg og i Rudersdal, men også i en række vestegnskommuner kan du opleve pæne stigninger i omegnen af 1500 kroner. I en række, overvejende jyske, kommuner har grundværdierne dog allerede ramt 2011 vurderingen og det betyder, at grundskylden vil være uændret indtil der kommer nye ejendomsvurderinger i 2019.  </w:t>
      </w:r>
    </w:p>
    <w:p w:rsidR="0050513E" w:rsidRDefault="0050513E" w:rsidP="0050513E"/>
    <w:p w:rsidR="0050513E" w:rsidRDefault="0050513E" w:rsidP="0050513E">
      <w:pPr>
        <w:rPr>
          <w:b/>
          <w:bCs/>
        </w:rPr>
      </w:pPr>
      <w:r>
        <w:rPr>
          <w:b/>
          <w:bCs/>
        </w:rPr>
        <w:t>Ingen penge op af lommen i første omgang</w:t>
      </w:r>
    </w:p>
    <w:p w:rsidR="0050513E" w:rsidRDefault="0050513E" w:rsidP="0050513E">
      <w:pPr>
        <w:rPr>
          <w:b/>
          <w:bCs/>
        </w:rPr>
      </w:pPr>
    </w:p>
    <w:p w:rsidR="0050513E" w:rsidRDefault="0050513E" w:rsidP="0050513E">
      <w:pPr>
        <w:spacing w:line="252" w:lineRule="auto"/>
      </w:pPr>
      <w:r>
        <w:t xml:space="preserve">Boligskatteaftalen sikrer, at boligejerne ikke behøver hive penge op af lommen til at betale den stigende grundskyld. Stigningen i grundskylden i perioden fra 2018 og frem skal nemlig først betales den dag, man sælger sin bolig. Her skal man dog være opmærksom på, at der løber renter på den indefrosne grundskyld, hvis ikke den betales inden 2021. </w:t>
      </w:r>
    </w:p>
    <w:p w:rsidR="0050513E" w:rsidRDefault="0050513E" w:rsidP="0050513E">
      <w:pPr>
        <w:spacing w:line="252" w:lineRule="auto"/>
      </w:pPr>
    </w:p>
    <w:p w:rsidR="0050513E" w:rsidRDefault="0050513E" w:rsidP="0050513E">
      <w:pPr>
        <w:rPr>
          <w:b/>
          <w:bCs/>
        </w:rPr>
      </w:pPr>
      <w:r>
        <w:rPr>
          <w:b/>
          <w:bCs/>
        </w:rPr>
        <w:t>Vedlagt tabel med udsigten for grundskylden næste år. Hvad der sker derefter er meget usikkert, for det vil komme an på de nye ejendomsvurderinger, der træder i kraft i 2019.</w:t>
      </w:r>
    </w:p>
    <w:p w:rsidR="0050513E" w:rsidRDefault="0050513E" w:rsidP="0050513E">
      <w:pPr>
        <w:rPr>
          <w:b/>
          <w:bCs/>
        </w:rPr>
      </w:pPr>
    </w:p>
    <w:p w:rsidR="008B5A1E" w:rsidRDefault="008B5A1E">
      <w:pPr>
        <w:spacing w:after="200" w:line="276" w:lineRule="auto"/>
        <w:rPr>
          <w:noProof/>
        </w:rPr>
      </w:pPr>
      <w:r>
        <w:rPr>
          <w:noProof/>
        </w:rPr>
        <w:br w:type="page"/>
      </w:r>
    </w:p>
    <w:tbl>
      <w:tblPr>
        <w:tblW w:w="6977" w:type="dxa"/>
        <w:tblInd w:w="55" w:type="dxa"/>
        <w:tblCellMar>
          <w:left w:w="70" w:type="dxa"/>
          <w:right w:w="70" w:type="dxa"/>
        </w:tblCellMar>
        <w:tblLook w:val="04A0" w:firstRow="1" w:lastRow="0" w:firstColumn="1" w:lastColumn="0" w:noHBand="0" w:noVBand="1"/>
      </w:tblPr>
      <w:tblGrid>
        <w:gridCol w:w="1840"/>
        <w:gridCol w:w="1957"/>
        <w:gridCol w:w="1060"/>
        <w:gridCol w:w="1060"/>
        <w:gridCol w:w="1060"/>
      </w:tblGrid>
      <w:tr w:rsidR="008B5A1E" w:rsidRPr="008B5A1E" w:rsidTr="008B5A1E">
        <w:trPr>
          <w:trHeight w:val="300"/>
        </w:trPr>
        <w:tc>
          <w:tcPr>
            <w:tcW w:w="1840" w:type="dxa"/>
            <w:tcBorders>
              <w:top w:val="nil"/>
              <w:left w:val="nil"/>
              <w:bottom w:val="nil"/>
              <w:right w:val="nil"/>
            </w:tcBorders>
            <w:shd w:val="clear" w:color="000000" w:fill="C00000"/>
            <w:noWrap/>
            <w:vAlign w:val="bottom"/>
            <w:hideMark/>
          </w:tcPr>
          <w:p w:rsidR="008B5A1E" w:rsidRPr="008B5A1E" w:rsidRDefault="008B5A1E" w:rsidP="008B5A1E">
            <w:pPr>
              <w:rPr>
                <w:rFonts w:eastAsia="Times New Roman"/>
                <w:b/>
                <w:bCs/>
                <w:color w:val="FFFFFF"/>
                <w:sz w:val="20"/>
                <w:szCs w:val="20"/>
              </w:rPr>
            </w:pPr>
            <w:r w:rsidRPr="008B5A1E">
              <w:rPr>
                <w:rFonts w:eastAsia="Times New Roman"/>
                <w:b/>
                <w:bCs/>
                <w:color w:val="FFFFFF"/>
                <w:sz w:val="20"/>
                <w:szCs w:val="20"/>
              </w:rPr>
              <w:lastRenderedPageBreak/>
              <w:t>Kommune</w:t>
            </w:r>
          </w:p>
        </w:tc>
        <w:tc>
          <w:tcPr>
            <w:tcW w:w="1957" w:type="dxa"/>
            <w:tcBorders>
              <w:top w:val="nil"/>
              <w:left w:val="nil"/>
              <w:bottom w:val="nil"/>
              <w:right w:val="nil"/>
            </w:tcBorders>
            <w:shd w:val="clear" w:color="000000" w:fill="C00000"/>
            <w:noWrap/>
            <w:vAlign w:val="bottom"/>
            <w:hideMark/>
          </w:tcPr>
          <w:p w:rsidR="008B5A1E" w:rsidRPr="008B5A1E" w:rsidRDefault="008B5A1E" w:rsidP="008B5A1E">
            <w:pPr>
              <w:rPr>
                <w:rFonts w:eastAsia="Times New Roman"/>
                <w:b/>
                <w:bCs/>
                <w:color w:val="FFFFFF"/>
                <w:sz w:val="20"/>
                <w:szCs w:val="20"/>
              </w:rPr>
            </w:pPr>
            <w:r w:rsidRPr="008B5A1E">
              <w:rPr>
                <w:rFonts w:eastAsia="Times New Roman"/>
                <w:b/>
                <w:bCs/>
                <w:color w:val="FFFFFF"/>
                <w:sz w:val="20"/>
                <w:szCs w:val="20"/>
              </w:rPr>
              <w:t>Ændring 2017-2018</w:t>
            </w:r>
          </w:p>
        </w:tc>
        <w:tc>
          <w:tcPr>
            <w:tcW w:w="1060" w:type="dxa"/>
            <w:tcBorders>
              <w:top w:val="nil"/>
              <w:left w:val="nil"/>
              <w:bottom w:val="nil"/>
              <w:right w:val="nil"/>
            </w:tcBorders>
            <w:shd w:val="clear" w:color="000000" w:fill="C00000"/>
            <w:noWrap/>
            <w:vAlign w:val="bottom"/>
            <w:hideMark/>
          </w:tcPr>
          <w:p w:rsidR="008B5A1E" w:rsidRPr="008B5A1E" w:rsidRDefault="008B5A1E" w:rsidP="008B5A1E">
            <w:pPr>
              <w:jc w:val="right"/>
              <w:rPr>
                <w:rFonts w:eastAsia="Times New Roman"/>
                <w:b/>
                <w:bCs/>
                <w:color w:val="FFFFFF"/>
                <w:sz w:val="20"/>
                <w:szCs w:val="20"/>
              </w:rPr>
            </w:pPr>
            <w:r w:rsidRPr="008B5A1E">
              <w:rPr>
                <w:rFonts w:eastAsia="Times New Roman"/>
                <w:b/>
                <w:bCs/>
                <w:color w:val="FFFFFF"/>
                <w:sz w:val="20"/>
                <w:szCs w:val="20"/>
              </w:rPr>
              <w:t>2016</w:t>
            </w:r>
          </w:p>
        </w:tc>
        <w:tc>
          <w:tcPr>
            <w:tcW w:w="1060" w:type="dxa"/>
            <w:tcBorders>
              <w:top w:val="nil"/>
              <w:left w:val="nil"/>
              <w:bottom w:val="nil"/>
              <w:right w:val="nil"/>
            </w:tcBorders>
            <w:shd w:val="clear" w:color="000000" w:fill="C00000"/>
            <w:noWrap/>
            <w:vAlign w:val="bottom"/>
            <w:hideMark/>
          </w:tcPr>
          <w:p w:rsidR="008B5A1E" w:rsidRPr="008B5A1E" w:rsidRDefault="008B5A1E" w:rsidP="008B5A1E">
            <w:pPr>
              <w:jc w:val="right"/>
              <w:rPr>
                <w:rFonts w:eastAsia="Times New Roman"/>
                <w:b/>
                <w:bCs/>
                <w:color w:val="FFFFFF"/>
                <w:sz w:val="20"/>
                <w:szCs w:val="20"/>
              </w:rPr>
            </w:pPr>
            <w:r w:rsidRPr="008B5A1E">
              <w:rPr>
                <w:rFonts w:eastAsia="Times New Roman"/>
                <w:b/>
                <w:bCs/>
                <w:color w:val="FFFFFF"/>
                <w:sz w:val="20"/>
                <w:szCs w:val="20"/>
              </w:rPr>
              <w:t>2017</w:t>
            </w:r>
          </w:p>
        </w:tc>
        <w:tc>
          <w:tcPr>
            <w:tcW w:w="1060" w:type="dxa"/>
            <w:tcBorders>
              <w:top w:val="nil"/>
              <w:left w:val="nil"/>
              <w:bottom w:val="nil"/>
              <w:right w:val="nil"/>
            </w:tcBorders>
            <w:shd w:val="clear" w:color="000000" w:fill="C00000"/>
            <w:noWrap/>
            <w:vAlign w:val="bottom"/>
            <w:hideMark/>
          </w:tcPr>
          <w:p w:rsidR="008B5A1E" w:rsidRPr="008B5A1E" w:rsidRDefault="008B5A1E" w:rsidP="008B5A1E">
            <w:pPr>
              <w:jc w:val="right"/>
              <w:rPr>
                <w:rFonts w:eastAsia="Times New Roman"/>
                <w:b/>
                <w:bCs/>
                <w:color w:val="FFFFFF"/>
                <w:sz w:val="20"/>
                <w:szCs w:val="20"/>
              </w:rPr>
            </w:pPr>
            <w:r w:rsidRPr="008B5A1E">
              <w:rPr>
                <w:rFonts w:eastAsia="Times New Roman"/>
                <w:b/>
                <w:bCs/>
                <w:color w:val="FFFFFF"/>
                <w:sz w:val="20"/>
                <w:szCs w:val="20"/>
              </w:rPr>
              <w:t>2018</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Frederiksberg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2.860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45.370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44.030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46.900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Rudersdal</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2.600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39.960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39.960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42.560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København</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2.400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36.880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36.880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39.270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Hørsholm</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36.480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36.480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38.850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Lyngby-Taarbæk</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2.120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33.420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32.660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34.780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Gentofte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31.760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31.760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33.830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Helsingør</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1.850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28.880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28.390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30.230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Ballerup</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27.200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27.200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28.970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Rødovre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1.650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25.350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25.350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26.990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Hvidovre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1.540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23.640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23.640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25.170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Furesø</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1.530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23.610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23.610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25.140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Gladsaxe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1.510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23.280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23.280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24.800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Albertslund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1.500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23.050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23.050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24.550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Vallensbæk</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1.370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21.050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21.050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22.420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Allerød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1.310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20.180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20.180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21.490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Tårnby</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19.710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19.710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20.990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Glostrup</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19.170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19.170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20.420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Herlev</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19.250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19.250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20.500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Holbæk</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1.120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8.610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8.610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9.730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Aarhus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1.110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17.070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17.070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18.180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Ishøj</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17.240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17.240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18.330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proofErr w:type="spellStart"/>
            <w:r w:rsidRPr="008B5A1E">
              <w:rPr>
                <w:rFonts w:eastAsia="Times New Roman"/>
                <w:color w:val="000000"/>
              </w:rPr>
              <w:t>Egedal</w:t>
            </w:r>
            <w:proofErr w:type="spellEnd"/>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16.550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16.550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17.620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Brøndby</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15.650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15.650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16.660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Fredensborg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23.540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23.540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24.500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lastRenderedPageBreak/>
              <w:t>Hillerød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16.510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16.510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17.410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Greve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13.590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13.590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14.480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Høje-Taastrup</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860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15.240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15.240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16.100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Halsnæs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12.660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12.660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13.480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Odder</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12.580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12.580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13.390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Frederikssund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18.730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18.730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19.540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Silkeborg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11.990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11.990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12.770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Køge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11.710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11.710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12.480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Skanderborg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10.940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10.940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11.650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Kerteminde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9.030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9.030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9.620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Syddjurs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9.050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9.050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9.630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Odense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9.100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Slagelse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8.620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8.620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9.180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Favrskov</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8.390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8.390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8.940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Vordingborg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8.360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8.360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8.900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Odsherred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8.060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8.060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8.590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Svendborg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7.940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7.940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8.460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Kalundborg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7.790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7.790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8.290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Sorø</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7.890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7.890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8.400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Aalborg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10.020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10.020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10.530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Esbjerg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7.420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7.420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7.910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Randers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7.410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7.410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7.900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Viborg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6.830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6.830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7.270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Horsens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6.650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6.650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7.080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Næstved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6.420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6.420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6.840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lastRenderedPageBreak/>
              <w:t>Holstebro</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6.170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6.170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6.570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Ringkøbing-Skjern</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5.850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5.850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6.230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Herning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5.620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5.620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5.990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Faaborg-Midtfyn</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5.910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Rebild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5.250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5.250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5.590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Bornholm</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5.060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5.060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5.390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Guldborgsund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5.440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Ikast-Brande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4.850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Samsø</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4.580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4.580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4.870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Læsø</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4.490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4.490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4.790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Ærø</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4.280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4.280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4.560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Struer</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5.060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5.060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5.330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Varde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7.280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7.280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7.540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Lolland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3.940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Nordfyns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6.620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6.620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6.850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Frederikshavn</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7.980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7.980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8.110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Langeland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4.120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4.120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4.230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Ringsted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10.800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10.800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10.920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Assens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5.230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Brønderslev</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5.670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5.580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5.580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Fanø</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10.090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9.920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9.920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Faxe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8.690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8.570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8.570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Fredericia</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9.870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9.740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9.740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Gribskov</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17.910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17.760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17.760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Haderslev</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5.060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5.060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lastRenderedPageBreak/>
              <w:t>Hedensted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4.720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4.640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4.640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Hjørring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6.600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6.480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6.480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Jammerbugt</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5.010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4.950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4.950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Kolding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9.530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9.400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9.400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Lejre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14.960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14.820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14.820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Lemvig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3.900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3.870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3.870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Mariagerfjord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5.710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5.600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5.600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Middelfart</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6.120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6.020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6.020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Morsø</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3.080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3.060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3.060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Norddjurs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5.110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Nyborg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8.360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8.250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8.250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Roskilde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20.640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20.520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20.520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Skive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3.610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Solrød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20.690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20.370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20.370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Stevns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9.640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9.530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9.530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Sønderborg</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6.820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6.690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6.690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Thisted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3.730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Tønder</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3.210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3.180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3.180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Vejen</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3.650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Vejle</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10.840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10.710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10.710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Vesthimmerlands</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3.420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3.390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3.390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Aabenraa</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3.790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color w:val="000000"/>
              </w:rPr>
            </w:pPr>
            <w:r w:rsidRPr="008B5A1E">
              <w:rPr>
                <w:rFonts w:eastAsia="Times New Roman"/>
                <w:color w:val="000000"/>
              </w:rPr>
              <w:t xml:space="preserve">          3.710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Billund</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-430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4.550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4.550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4.120 </w:t>
            </w:r>
          </w:p>
        </w:tc>
      </w:tr>
      <w:tr w:rsidR="008B5A1E" w:rsidRPr="008B5A1E" w:rsidTr="008B5A1E">
        <w:trPr>
          <w:trHeight w:val="300"/>
        </w:trPr>
        <w:tc>
          <w:tcPr>
            <w:tcW w:w="184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Dragør</w:t>
            </w:r>
          </w:p>
        </w:tc>
        <w:tc>
          <w:tcPr>
            <w:tcW w:w="1957"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-640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29.210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29.080 </w:t>
            </w:r>
          </w:p>
        </w:tc>
        <w:tc>
          <w:tcPr>
            <w:tcW w:w="1060" w:type="dxa"/>
            <w:tcBorders>
              <w:top w:val="nil"/>
              <w:left w:val="nil"/>
              <w:bottom w:val="nil"/>
              <w:right w:val="nil"/>
            </w:tcBorders>
            <w:shd w:val="clear" w:color="auto" w:fill="auto"/>
            <w:noWrap/>
            <w:vAlign w:val="bottom"/>
            <w:hideMark/>
          </w:tcPr>
          <w:p w:rsidR="008B5A1E" w:rsidRPr="008B5A1E" w:rsidRDefault="008B5A1E" w:rsidP="008B5A1E">
            <w:pPr>
              <w:rPr>
                <w:rFonts w:eastAsia="Times New Roman"/>
                <w:b/>
                <w:bCs/>
                <w:color w:val="000000"/>
              </w:rPr>
            </w:pPr>
            <w:r w:rsidRPr="008B5A1E">
              <w:rPr>
                <w:rFonts w:eastAsia="Times New Roman"/>
                <w:b/>
                <w:bCs/>
                <w:color w:val="000000"/>
              </w:rPr>
              <w:t xml:space="preserve">       28.450 </w:t>
            </w:r>
          </w:p>
        </w:tc>
      </w:tr>
    </w:tbl>
    <w:p w:rsidR="00D5520D" w:rsidRPr="008B5A1E" w:rsidRDefault="00D5520D">
      <w:pPr>
        <w:rPr>
          <w:b/>
          <w:bCs/>
        </w:rPr>
      </w:pPr>
      <w:bookmarkStart w:id="0" w:name="_GoBack"/>
      <w:bookmarkEnd w:id="0"/>
    </w:p>
    <w:sectPr w:rsidR="00D5520D" w:rsidRPr="008B5A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3E"/>
    <w:rsid w:val="0050513E"/>
    <w:rsid w:val="008B5A1E"/>
    <w:rsid w:val="00D552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3E"/>
    <w:pPr>
      <w:spacing w:after="0" w:line="240" w:lineRule="auto"/>
    </w:pPr>
    <w:rPr>
      <w:rFonts w:ascii="Calibri" w:eastAsiaTheme="minorHAns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051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513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3E"/>
    <w:pPr>
      <w:spacing w:after="0" w:line="240" w:lineRule="auto"/>
    </w:pPr>
    <w:rPr>
      <w:rFonts w:ascii="Calibri" w:eastAsiaTheme="minorHAns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051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513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1982">
      <w:bodyDiv w:val="1"/>
      <w:marLeft w:val="0"/>
      <w:marRight w:val="0"/>
      <w:marTop w:val="0"/>
      <w:marBottom w:val="0"/>
      <w:divBdr>
        <w:top w:val="none" w:sz="0" w:space="0" w:color="auto"/>
        <w:left w:val="none" w:sz="0" w:space="0" w:color="auto"/>
        <w:bottom w:val="none" w:sz="0" w:space="0" w:color="auto"/>
        <w:right w:val="none" w:sz="0" w:space="0" w:color="auto"/>
      </w:divBdr>
    </w:div>
    <w:div w:id="7530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10833</Characters>
  <Application>Microsoft Office Word</Application>
  <DocSecurity>0</DocSecurity>
  <Lines>90</Lines>
  <Paragraphs>25</Paragraphs>
  <ScaleCrop>false</ScaleCrop>
  <Company>BEC</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Christian Overvad</dc:creator>
  <cp:lastModifiedBy>Anders Christian Overvad</cp:lastModifiedBy>
  <cp:revision>2</cp:revision>
  <dcterms:created xsi:type="dcterms:W3CDTF">2017-10-18T12:39:00Z</dcterms:created>
  <dcterms:modified xsi:type="dcterms:W3CDTF">2017-10-18T12:39:00Z</dcterms:modified>
</cp:coreProperties>
</file>