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F3DBC" w14:textId="77777777" w:rsidR="00296DBA" w:rsidRPr="004868D7" w:rsidRDefault="00296DBA" w:rsidP="00546C0A">
      <w:pPr>
        <w:spacing w:after="0" w:line="200" w:lineRule="exact"/>
        <w:ind w:right="85"/>
        <w:rPr>
          <w:sz w:val="20"/>
          <w:szCs w:val="20"/>
          <w:lang w:val="en-GB"/>
        </w:rPr>
      </w:pPr>
      <w:bookmarkStart w:id="0" w:name="_GoBack"/>
      <w:bookmarkEnd w:id="0"/>
    </w:p>
    <w:p w14:paraId="3DB02C84" w14:textId="77777777" w:rsidR="00296DBA" w:rsidRPr="004868D7" w:rsidRDefault="00296DBA" w:rsidP="00546C0A">
      <w:pPr>
        <w:spacing w:after="0" w:line="200" w:lineRule="exact"/>
        <w:ind w:right="85"/>
        <w:rPr>
          <w:sz w:val="20"/>
          <w:szCs w:val="20"/>
          <w:lang w:val="en-GB"/>
        </w:rPr>
      </w:pPr>
    </w:p>
    <w:p w14:paraId="2AA887EA" w14:textId="77777777" w:rsidR="00296DBA" w:rsidRPr="009B2215" w:rsidRDefault="00296DBA" w:rsidP="00546C0A">
      <w:pPr>
        <w:spacing w:before="12" w:after="0" w:line="200" w:lineRule="exact"/>
        <w:ind w:right="85"/>
        <w:rPr>
          <w:sz w:val="20"/>
          <w:szCs w:val="20"/>
        </w:rPr>
      </w:pPr>
    </w:p>
    <w:p w14:paraId="1E72EC2F" w14:textId="77777777" w:rsidR="0002587F" w:rsidRPr="00F41250" w:rsidRDefault="00F62406" w:rsidP="00546C0A">
      <w:pPr>
        <w:tabs>
          <w:tab w:val="right" w:pos="10348"/>
        </w:tabs>
        <w:spacing w:before="29" w:after="0" w:line="240" w:lineRule="auto"/>
        <w:ind w:left="1327" w:right="85"/>
        <w:jc w:val="both"/>
        <w:rPr>
          <w:rFonts w:ascii="Arial" w:eastAsia="Arial" w:hAnsi="Arial" w:cs="Arial"/>
          <w:b/>
          <w:bCs/>
          <w:sz w:val="24"/>
          <w:szCs w:val="24"/>
        </w:rPr>
      </w:pPr>
      <w:r w:rsidRPr="00097D4F">
        <w:rPr>
          <w:rFonts w:ascii="Arial" w:eastAsia="Arial" w:hAnsi="Arial" w:cs="Arial"/>
          <w:b/>
          <w:bCs/>
          <w:sz w:val="24"/>
          <w:szCs w:val="24"/>
        </w:rPr>
        <w:t>PRESS RELEASE</w:t>
      </w:r>
    </w:p>
    <w:p w14:paraId="39DB8830" w14:textId="140C57B6" w:rsidR="0002587F" w:rsidRPr="00F41250" w:rsidRDefault="00C71CB9" w:rsidP="00FD7719">
      <w:pPr>
        <w:tabs>
          <w:tab w:val="right" w:pos="10348"/>
        </w:tabs>
        <w:spacing w:before="29" w:after="0" w:line="240" w:lineRule="auto"/>
        <w:ind w:left="1327" w:right="85"/>
        <w:jc w:val="right"/>
        <w:rPr>
          <w:rFonts w:ascii="Arial" w:eastAsia="Arial" w:hAnsi="Arial" w:cs="Arial"/>
          <w:b/>
          <w:bCs/>
          <w:sz w:val="24"/>
          <w:szCs w:val="24"/>
        </w:rPr>
      </w:pPr>
      <w:r>
        <w:rPr>
          <w:rFonts w:ascii="Arial" w:eastAsia="Arial" w:hAnsi="Arial" w:cs="Arial"/>
          <w:b/>
          <w:bCs/>
          <w:sz w:val="24"/>
          <w:szCs w:val="24"/>
        </w:rPr>
        <w:t>#</w:t>
      </w:r>
      <w:proofErr w:type="spellStart"/>
      <w:r>
        <w:rPr>
          <w:rFonts w:ascii="Arial" w:eastAsia="Arial" w:hAnsi="Arial" w:cs="Arial"/>
          <w:b/>
          <w:bCs/>
          <w:sz w:val="24"/>
          <w:szCs w:val="24"/>
        </w:rPr>
        <w:t>RenaultResults</w:t>
      </w:r>
      <w:proofErr w:type="spellEnd"/>
    </w:p>
    <w:p w14:paraId="36046D5C" w14:textId="77777777" w:rsidR="004868D7" w:rsidRPr="00F41250" w:rsidRDefault="004868D7" w:rsidP="00546C0A">
      <w:pPr>
        <w:tabs>
          <w:tab w:val="right" w:pos="10348"/>
        </w:tabs>
        <w:spacing w:before="29" w:after="0" w:line="240" w:lineRule="auto"/>
        <w:ind w:left="1327" w:right="85"/>
        <w:jc w:val="both"/>
        <w:rPr>
          <w:rFonts w:ascii="Arial" w:eastAsia="Arial" w:hAnsi="Arial" w:cs="Arial"/>
          <w:sz w:val="20"/>
          <w:szCs w:val="20"/>
        </w:rPr>
      </w:pPr>
      <w:r w:rsidRPr="00097D4F">
        <w:rPr>
          <w:rFonts w:ascii="Arial" w:eastAsia="Arial" w:hAnsi="Arial" w:cs="Arial"/>
          <w:bCs/>
          <w:sz w:val="24"/>
          <w:szCs w:val="24"/>
        </w:rPr>
        <w:tab/>
      </w:r>
    </w:p>
    <w:p w14:paraId="62E426AE" w14:textId="77777777" w:rsidR="004868D7" w:rsidRPr="00F41250" w:rsidRDefault="004868D7" w:rsidP="00546C0A">
      <w:pPr>
        <w:spacing w:after="0" w:line="200" w:lineRule="exact"/>
        <w:ind w:right="85"/>
        <w:rPr>
          <w:sz w:val="20"/>
          <w:szCs w:val="20"/>
        </w:rPr>
      </w:pPr>
    </w:p>
    <w:p w14:paraId="65ACCD41" w14:textId="77777777" w:rsidR="004868D7" w:rsidRPr="00F41250" w:rsidRDefault="004868D7" w:rsidP="00546C0A">
      <w:pPr>
        <w:spacing w:before="13" w:after="0" w:line="280" w:lineRule="exact"/>
        <w:ind w:right="85"/>
        <w:rPr>
          <w:sz w:val="28"/>
          <w:szCs w:val="28"/>
        </w:rPr>
      </w:pPr>
    </w:p>
    <w:p w14:paraId="314B33F8" w14:textId="3E8CF019" w:rsidR="00033B31" w:rsidRPr="00F41250" w:rsidRDefault="00033B31" w:rsidP="00546C0A">
      <w:pPr>
        <w:spacing w:after="0" w:line="250" w:lineRule="auto"/>
        <w:ind w:left="1329" w:right="85"/>
        <w:rPr>
          <w:rFonts w:ascii="Arial" w:eastAsia="Arial" w:hAnsi="Arial" w:cs="Arial"/>
          <w:bCs/>
          <w:sz w:val="30"/>
          <w:szCs w:val="30"/>
        </w:rPr>
      </w:pPr>
      <w:r>
        <w:rPr>
          <w:rFonts w:ascii="Arial" w:eastAsia="Arial" w:hAnsi="Arial" w:cs="Arial"/>
          <w:bCs/>
          <w:sz w:val="30"/>
          <w:szCs w:val="30"/>
        </w:rPr>
        <w:t>2018 FINANCIAL RESULTS</w:t>
      </w:r>
    </w:p>
    <w:p w14:paraId="2D158683" w14:textId="77777777" w:rsidR="00033B31" w:rsidRPr="00F41250" w:rsidRDefault="00033B31" w:rsidP="00546C0A">
      <w:pPr>
        <w:spacing w:after="0" w:line="250" w:lineRule="auto"/>
        <w:ind w:left="1329" w:right="85"/>
        <w:rPr>
          <w:rFonts w:ascii="Arial" w:eastAsia="Arial" w:hAnsi="Arial" w:cs="Arial"/>
          <w:b/>
          <w:bCs/>
          <w:sz w:val="30"/>
          <w:szCs w:val="30"/>
        </w:rPr>
      </w:pPr>
    </w:p>
    <w:p w14:paraId="2DD62C21" w14:textId="63188039" w:rsidR="004C2B5A" w:rsidRPr="00F41250" w:rsidRDefault="00C0178B" w:rsidP="00351EAB">
      <w:pPr>
        <w:spacing w:after="0" w:line="250" w:lineRule="auto"/>
        <w:ind w:left="1329" w:right="368"/>
        <w:jc w:val="both"/>
        <w:rPr>
          <w:rFonts w:ascii="Arial" w:eastAsia="Arial" w:hAnsi="Arial" w:cs="Arial"/>
          <w:b/>
          <w:bCs/>
          <w:sz w:val="32"/>
          <w:szCs w:val="30"/>
        </w:rPr>
      </w:pPr>
      <w:r>
        <w:rPr>
          <w:rFonts w:ascii="Arial" w:eastAsia="Arial" w:hAnsi="Arial" w:cs="Arial"/>
          <w:b/>
          <w:bCs/>
          <w:sz w:val="32"/>
          <w:szCs w:val="30"/>
        </w:rPr>
        <w:t>Groupe Renault maintain</w:t>
      </w:r>
      <w:r w:rsidR="003B4733">
        <w:rPr>
          <w:rFonts w:ascii="Arial" w:eastAsia="Arial" w:hAnsi="Arial" w:cs="Arial"/>
          <w:b/>
          <w:bCs/>
          <w:sz w:val="32"/>
          <w:szCs w:val="30"/>
        </w:rPr>
        <w:t>ed</w:t>
      </w:r>
      <w:r>
        <w:rPr>
          <w:rFonts w:ascii="Arial" w:eastAsia="Arial" w:hAnsi="Arial" w:cs="Arial"/>
          <w:b/>
          <w:bCs/>
          <w:sz w:val="32"/>
          <w:szCs w:val="30"/>
        </w:rPr>
        <w:t xml:space="preserve"> its operating margin at </w:t>
      </w:r>
      <w:r w:rsidR="00624E6D">
        <w:rPr>
          <w:rFonts w:ascii="Arial" w:eastAsia="Arial" w:hAnsi="Arial" w:cs="Arial"/>
          <w:b/>
          <w:bCs/>
          <w:sz w:val="32"/>
          <w:szCs w:val="30"/>
        </w:rPr>
        <w:br/>
      </w:r>
      <w:r>
        <w:rPr>
          <w:rFonts w:ascii="Arial" w:eastAsia="Arial" w:hAnsi="Arial" w:cs="Arial"/>
          <w:b/>
          <w:bCs/>
          <w:sz w:val="32"/>
          <w:szCs w:val="30"/>
        </w:rPr>
        <w:t xml:space="preserve">a </w:t>
      </w:r>
      <w:r w:rsidR="00FC45B7">
        <w:rPr>
          <w:rFonts w:ascii="Arial" w:eastAsia="Arial" w:hAnsi="Arial" w:cs="Arial"/>
          <w:b/>
          <w:bCs/>
          <w:sz w:val="32"/>
          <w:szCs w:val="30"/>
        </w:rPr>
        <w:t xml:space="preserve">high </w:t>
      </w:r>
      <w:r w:rsidR="00C87049">
        <w:rPr>
          <w:rFonts w:ascii="Arial" w:eastAsia="Arial" w:hAnsi="Arial" w:cs="Arial"/>
          <w:b/>
          <w:bCs/>
          <w:sz w:val="32"/>
          <w:szCs w:val="30"/>
        </w:rPr>
        <w:t>level</w:t>
      </w:r>
      <w:r>
        <w:rPr>
          <w:rFonts w:ascii="Arial" w:eastAsia="Arial" w:hAnsi="Arial" w:cs="Arial"/>
          <w:b/>
          <w:bCs/>
          <w:sz w:val="32"/>
          <w:szCs w:val="30"/>
        </w:rPr>
        <w:t xml:space="preserve"> </w:t>
      </w:r>
      <w:r w:rsidR="00322B23">
        <w:rPr>
          <w:rFonts w:ascii="Arial" w:eastAsia="Arial" w:hAnsi="Arial" w:cs="Arial"/>
          <w:b/>
          <w:bCs/>
          <w:sz w:val="32"/>
          <w:szCs w:val="30"/>
        </w:rPr>
        <w:t>despite</w:t>
      </w:r>
      <w:r>
        <w:rPr>
          <w:rFonts w:ascii="Arial" w:eastAsia="Arial" w:hAnsi="Arial" w:cs="Arial"/>
          <w:b/>
          <w:bCs/>
          <w:sz w:val="32"/>
          <w:szCs w:val="30"/>
        </w:rPr>
        <w:t xml:space="preserve"> a more </w:t>
      </w:r>
      <w:r w:rsidR="00094ED0">
        <w:rPr>
          <w:rFonts w:ascii="Arial" w:eastAsia="Arial" w:hAnsi="Arial" w:cs="Arial"/>
          <w:b/>
          <w:bCs/>
          <w:sz w:val="32"/>
          <w:szCs w:val="30"/>
        </w:rPr>
        <w:t>challenging</w:t>
      </w:r>
      <w:r>
        <w:rPr>
          <w:rFonts w:ascii="Arial" w:eastAsia="Arial" w:hAnsi="Arial" w:cs="Arial"/>
          <w:b/>
          <w:bCs/>
          <w:sz w:val="32"/>
          <w:szCs w:val="30"/>
        </w:rPr>
        <w:t xml:space="preserve"> environment</w:t>
      </w:r>
      <w:r w:rsidR="00FC45B7">
        <w:rPr>
          <w:rFonts w:ascii="Arial" w:eastAsia="Arial" w:hAnsi="Arial" w:cs="Arial"/>
          <w:b/>
          <w:bCs/>
          <w:sz w:val="32"/>
          <w:szCs w:val="30"/>
        </w:rPr>
        <w:t xml:space="preserve"> in </w:t>
      </w:r>
      <w:r w:rsidR="00277821">
        <w:rPr>
          <w:rFonts w:ascii="Arial" w:eastAsia="Arial" w:hAnsi="Arial" w:cs="Arial"/>
          <w:b/>
          <w:bCs/>
          <w:sz w:val="32"/>
          <w:szCs w:val="30"/>
        </w:rPr>
        <w:t xml:space="preserve">the </w:t>
      </w:r>
      <w:r w:rsidR="00FC45B7">
        <w:rPr>
          <w:rFonts w:ascii="Arial" w:eastAsia="Arial" w:hAnsi="Arial" w:cs="Arial"/>
          <w:b/>
          <w:bCs/>
          <w:sz w:val="32"/>
          <w:szCs w:val="30"/>
        </w:rPr>
        <w:t>second half</w:t>
      </w:r>
    </w:p>
    <w:p w14:paraId="0C67ADFB" w14:textId="77777777" w:rsidR="00F32E8A" w:rsidRPr="00F41250" w:rsidRDefault="00F32E8A" w:rsidP="00351EAB">
      <w:pPr>
        <w:spacing w:after="0" w:line="250" w:lineRule="auto"/>
        <w:ind w:left="1329" w:right="368"/>
        <w:jc w:val="both"/>
        <w:rPr>
          <w:rFonts w:ascii="Arial" w:eastAsia="Arial" w:hAnsi="Arial" w:cs="Arial"/>
          <w:bCs/>
          <w:color w:val="808080" w:themeColor="background1" w:themeShade="80"/>
          <w:sz w:val="30"/>
          <w:szCs w:val="30"/>
        </w:rPr>
      </w:pPr>
    </w:p>
    <w:p w14:paraId="008A2E4F" w14:textId="77777777" w:rsidR="004868D7" w:rsidRPr="00F41250" w:rsidRDefault="004868D7" w:rsidP="00351EAB">
      <w:pPr>
        <w:spacing w:before="8" w:after="0" w:line="190" w:lineRule="exact"/>
        <w:ind w:right="368"/>
        <w:jc w:val="both"/>
        <w:rPr>
          <w:sz w:val="19"/>
          <w:szCs w:val="19"/>
        </w:rPr>
      </w:pPr>
    </w:p>
    <w:p w14:paraId="501F420C" w14:textId="0D98140F" w:rsidR="00F32E8A" w:rsidRPr="00F41250" w:rsidRDefault="00F32E8A" w:rsidP="00351EAB">
      <w:pPr>
        <w:spacing w:after="120" w:line="240" w:lineRule="auto"/>
        <w:ind w:left="1327" w:right="368"/>
        <w:jc w:val="both"/>
        <w:rPr>
          <w:rFonts w:ascii="Arial" w:eastAsia="Arial" w:hAnsi="Arial" w:cs="Arial"/>
          <w:b/>
          <w:bCs/>
          <w:sz w:val="26"/>
          <w:szCs w:val="26"/>
        </w:rPr>
      </w:pPr>
      <w:r w:rsidRPr="00C0178B">
        <w:rPr>
          <w:rFonts w:ascii="Arial" w:eastAsia="Arial" w:hAnsi="Arial" w:cs="Arial"/>
          <w:b/>
          <w:bCs/>
          <w:sz w:val="26"/>
          <w:szCs w:val="26"/>
        </w:rPr>
        <w:t>•</w:t>
      </w:r>
      <w:r w:rsidRPr="00C0178B">
        <w:rPr>
          <w:rFonts w:ascii="Arial" w:eastAsia="Arial" w:hAnsi="Arial" w:cs="Arial"/>
          <w:b/>
          <w:bCs/>
          <w:sz w:val="26"/>
          <w:szCs w:val="26"/>
        </w:rPr>
        <w:tab/>
        <w:t xml:space="preserve">Sales </w:t>
      </w:r>
      <w:r w:rsidR="00DD4DB6">
        <w:rPr>
          <w:rFonts w:ascii="Arial" w:eastAsia="Arial" w:hAnsi="Arial" w:cs="Arial"/>
          <w:b/>
          <w:bCs/>
          <w:sz w:val="26"/>
          <w:szCs w:val="26"/>
        </w:rPr>
        <w:t xml:space="preserve">were </w:t>
      </w:r>
      <w:r w:rsidRPr="00C0178B">
        <w:rPr>
          <w:rFonts w:ascii="Arial" w:eastAsia="Arial" w:hAnsi="Arial" w:cs="Arial"/>
          <w:b/>
          <w:bCs/>
          <w:sz w:val="26"/>
          <w:szCs w:val="26"/>
        </w:rPr>
        <w:t xml:space="preserve">up 3.2% to 3.9 million units including Jinbei </w:t>
      </w:r>
      <w:r w:rsidR="00E31D8C">
        <w:rPr>
          <w:rFonts w:ascii="Arial" w:eastAsia="Arial" w:hAnsi="Arial" w:cs="Arial"/>
          <w:b/>
          <w:bCs/>
          <w:sz w:val="26"/>
          <w:szCs w:val="26"/>
        </w:rPr>
        <w:t xml:space="preserve">and </w:t>
      </w:r>
      <w:proofErr w:type="spellStart"/>
      <w:r w:rsidRPr="00C0178B">
        <w:rPr>
          <w:rFonts w:ascii="Arial" w:eastAsia="Arial" w:hAnsi="Arial" w:cs="Arial"/>
          <w:b/>
          <w:bCs/>
          <w:sz w:val="26"/>
          <w:szCs w:val="26"/>
        </w:rPr>
        <w:t>Huasong</w:t>
      </w:r>
      <w:proofErr w:type="spellEnd"/>
      <w:r w:rsidRPr="00C0178B">
        <w:rPr>
          <w:rFonts w:ascii="Arial" w:eastAsia="Arial" w:hAnsi="Arial" w:cs="Arial"/>
          <w:b/>
          <w:bCs/>
          <w:sz w:val="26"/>
          <w:szCs w:val="26"/>
        </w:rPr>
        <w:t xml:space="preserve"> brands </w:t>
      </w:r>
      <w:r w:rsidR="006E7199">
        <w:rPr>
          <w:rFonts w:ascii="Arial" w:eastAsia="Arial" w:hAnsi="Arial" w:cs="Arial"/>
          <w:b/>
          <w:bCs/>
          <w:sz w:val="26"/>
          <w:szCs w:val="26"/>
        </w:rPr>
        <w:t>as of</w:t>
      </w:r>
      <w:r w:rsidR="00C074A4">
        <w:rPr>
          <w:rFonts w:ascii="Arial" w:eastAsia="Arial" w:hAnsi="Arial" w:cs="Arial"/>
          <w:b/>
          <w:bCs/>
          <w:sz w:val="26"/>
          <w:szCs w:val="26"/>
        </w:rPr>
        <w:t xml:space="preserve"> January 1, 2018. </w:t>
      </w:r>
    </w:p>
    <w:p w14:paraId="5A35ACC9" w14:textId="4BBA5D0D" w:rsidR="00C0178B" w:rsidRPr="00F41250" w:rsidRDefault="004868D7" w:rsidP="00351EAB">
      <w:pPr>
        <w:tabs>
          <w:tab w:val="left" w:pos="1559"/>
        </w:tabs>
        <w:spacing w:after="120" w:line="240" w:lineRule="auto"/>
        <w:ind w:left="1327" w:right="368"/>
        <w:jc w:val="both"/>
        <w:rPr>
          <w:rFonts w:ascii="Arial" w:eastAsia="Arial" w:hAnsi="Arial" w:cs="Arial"/>
          <w:b/>
          <w:bCs/>
          <w:sz w:val="26"/>
          <w:szCs w:val="26"/>
        </w:rPr>
      </w:pPr>
      <w:r w:rsidRPr="00C0178B">
        <w:rPr>
          <w:rFonts w:ascii="Arial" w:eastAsia="Arial" w:hAnsi="Arial" w:cs="Arial"/>
          <w:b/>
          <w:bCs/>
          <w:sz w:val="26"/>
          <w:szCs w:val="26"/>
        </w:rPr>
        <w:t>•</w:t>
      </w:r>
      <w:r w:rsidRPr="00C0178B">
        <w:rPr>
          <w:rFonts w:ascii="Arial" w:eastAsia="Arial" w:hAnsi="Arial" w:cs="Arial"/>
          <w:b/>
          <w:bCs/>
          <w:sz w:val="26"/>
          <w:szCs w:val="26"/>
        </w:rPr>
        <w:tab/>
        <w:t xml:space="preserve">Group revenues </w:t>
      </w:r>
      <w:r w:rsidR="006E7199">
        <w:rPr>
          <w:rFonts w:ascii="Arial" w:eastAsia="Arial" w:hAnsi="Arial" w:cs="Arial"/>
          <w:b/>
          <w:bCs/>
          <w:sz w:val="26"/>
          <w:szCs w:val="26"/>
        </w:rPr>
        <w:t xml:space="preserve">were </w:t>
      </w:r>
      <w:r w:rsidRPr="00C0178B">
        <w:rPr>
          <w:rFonts w:ascii="Arial" w:eastAsia="Arial" w:hAnsi="Arial" w:cs="Arial"/>
          <w:b/>
          <w:bCs/>
          <w:sz w:val="26"/>
          <w:szCs w:val="26"/>
        </w:rPr>
        <w:t>down % to € million. At constant exchange rates</w:t>
      </w:r>
      <w:r w:rsidR="00470DC2">
        <w:rPr>
          <w:rStyle w:val="Fotnotsreferens"/>
          <w:rFonts w:ascii="Arial" w:eastAsia="Arial" w:hAnsi="Arial" w:cs="Arial"/>
          <w:b/>
          <w:bCs/>
          <w:sz w:val="26"/>
          <w:szCs w:val="26"/>
        </w:rPr>
        <w:footnoteReference w:id="1"/>
      </w:r>
      <w:r w:rsidRPr="00C0178B">
        <w:rPr>
          <w:rFonts w:ascii="Arial" w:eastAsia="Arial" w:hAnsi="Arial" w:cs="Arial"/>
          <w:b/>
          <w:bCs/>
          <w:sz w:val="26"/>
          <w:szCs w:val="26"/>
        </w:rPr>
        <w:t>, revenues would have risen by</w:t>
      </w:r>
      <w:r w:rsidR="00D61D34">
        <w:rPr>
          <w:rFonts w:ascii="Arial" w:eastAsia="Arial" w:hAnsi="Arial" w:cs="Arial"/>
          <w:b/>
          <w:bCs/>
          <w:sz w:val="26"/>
          <w:szCs w:val="26"/>
        </w:rPr>
        <w:t xml:space="preserve"> </w:t>
      </w:r>
      <w:r w:rsidRPr="00C0178B">
        <w:rPr>
          <w:rFonts w:ascii="Arial" w:eastAsia="Arial" w:hAnsi="Arial" w:cs="Arial"/>
          <w:b/>
          <w:bCs/>
          <w:sz w:val="26"/>
          <w:szCs w:val="26"/>
        </w:rPr>
        <w:t>%.</w:t>
      </w:r>
    </w:p>
    <w:p w14:paraId="58328BEF" w14:textId="5888C716" w:rsidR="00C0178B" w:rsidRPr="00F41250" w:rsidRDefault="00C0178B" w:rsidP="00351EAB">
      <w:pPr>
        <w:tabs>
          <w:tab w:val="left" w:pos="1559"/>
        </w:tabs>
        <w:spacing w:after="120" w:line="240" w:lineRule="auto"/>
        <w:ind w:left="1327" w:right="368"/>
        <w:jc w:val="both"/>
        <w:rPr>
          <w:rFonts w:ascii="Arial" w:eastAsia="Arial" w:hAnsi="Arial" w:cs="Arial"/>
          <w:b/>
          <w:bCs/>
          <w:sz w:val="26"/>
          <w:szCs w:val="26"/>
        </w:rPr>
      </w:pPr>
      <w:r w:rsidRPr="00DD6A57">
        <w:rPr>
          <w:rFonts w:ascii="Arial" w:eastAsia="Arial" w:hAnsi="Arial" w:cs="Arial"/>
          <w:b/>
          <w:bCs/>
          <w:sz w:val="26"/>
          <w:szCs w:val="26"/>
        </w:rPr>
        <w:t>•</w:t>
      </w:r>
      <w:r w:rsidRPr="00DD6A57">
        <w:rPr>
          <w:rFonts w:ascii="Arial" w:eastAsia="Arial" w:hAnsi="Arial" w:cs="Arial"/>
          <w:b/>
          <w:bCs/>
          <w:sz w:val="26"/>
          <w:szCs w:val="26"/>
        </w:rPr>
        <w:tab/>
        <w:t>Group operating margin of €</w:t>
      </w:r>
      <w:r w:rsidR="00D600FE">
        <w:rPr>
          <w:rFonts w:ascii="Arial" w:eastAsia="Arial" w:hAnsi="Arial" w:cs="Arial"/>
          <w:b/>
          <w:bCs/>
          <w:sz w:val="26"/>
          <w:szCs w:val="26"/>
        </w:rPr>
        <w:t xml:space="preserve"> million, represent</w:t>
      </w:r>
      <w:r w:rsidR="00B83C66">
        <w:rPr>
          <w:rFonts w:ascii="Arial" w:eastAsia="Arial" w:hAnsi="Arial" w:cs="Arial"/>
          <w:b/>
          <w:bCs/>
          <w:sz w:val="26"/>
          <w:szCs w:val="26"/>
        </w:rPr>
        <w:t>ed</w:t>
      </w:r>
      <w:r w:rsidR="00D600FE">
        <w:rPr>
          <w:rFonts w:ascii="Arial" w:eastAsia="Arial" w:hAnsi="Arial" w:cs="Arial"/>
          <w:b/>
          <w:bCs/>
          <w:sz w:val="26"/>
          <w:szCs w:val="26"/>
        </w:rPr>
        <w:t xml:space="preserve"> </w:t>
      </w:r>
      <w:r w:rsidRPr="00DD6A57">
        <w:rPr>
          <w:rFonts w:ascii="Arial" w:eastAsia="Arial" w:hAnsi="Arial" w:cs="Arial"/>
          <w:b/>
          <w:bCs/>
          <w:sz w:val="26"/>
          <w:szCs w:val="26"/>
        </w:rPr>
        <w:t xml:space="preserve">% of revenues compared to % in 2017. Excluding </w:t>
      </w:r>
      <w:r w:rsidR="00B83C66" w:rsidRPr="00DD6A57">
        <w:rPr>
          <w:rFonts w:ascii="Arial" w:eastAsia="Arial" w:hAnsi="Arial" w:cs="Arial"/>
          <w:b/>
          <w:bCs/>
          <w:sz w:val="26"/>
          <w:szCs w:val="26"/>
        </w:rPr>
        <w:t>IFRS 15</w:t>
      </w:r>
      <w:r w:rsidR="00B83C66">
        <w:rPr>
          <w:rFonts w:ascii="Arial" w:eastAsia="Arial" w:hAnsi="Arial" w:cs="Arial"/>
          <w:b/>
          <w:bCs/>
          <w:sz w:val="26"/>
          <w:szCs w:val="26"/>
        </w:rPr>
        <w:t xml:space="preserve"> </w:t>
      </w:r>
      <w:r w:rsidRPr="00DD6A57">
        <w:rPr>
          <w:rFonts w:ascii="Arial" w:eastAsia="Arial" w:hAnsi="Arial" w:cs="Arial"/>
          <w:b/>
          <w:bCs/>
          <w:sz w:val="26"/>
          <w:szCs w:val="26"/>
        </w:rPr>
        <w:t>impact, the operating margin would have been %</w:t>
      </w:r>
      <w:r w:rsidR="00EC2138">
        <w:rPr>
          <w:rFonts w:ascii="Arial" w:eastAsia="Arial" w:hAnsi="Arial" w:cs="Arial"/>
          <w:b/>
          <w:bCs/>
          <w:sz w:val="26"/>
          <w:szCs w:val="26"/>
        </w:rPr>
        <w:t>,</w:t>
      </w:r>
      <w:r w:rsidR="00FC45B7">
        <w:rPr>
          <w:rFonts w:ascii="Arial" w:eastAsia="Arial" w:hAnsi="Arial" w:cs="Arial"/>
          <w:b/>
          <w:bCs/>
          <w:sz w:val="26"/>
          <w:szCs w:val="26"/>
        </w:rPr>
        <w:t xml:space="preserve"> </w:t>
      </w:r>
      <w:proofErr w:type="gramStart"/>
      <w:r w:rsidR="00FC45B7" w:rsidRPr="00FC45B7">
        <w:rPr>
          <w:rFonts w:ascii="Arial" w:eastAsia="Arial" w:hAnsi="Arial" w:cs="Arial"/>
          <w:b/>
          <w:bCs/>
          <w:sz w:val="26"/>
          <w:szCs w:val="26"/>
        </w:rPr>
        <w:t>down  points</w:t>
      </w:r>
      <w:proofErr w:type="gramEnd"/>
      <w:r w:rsidR="00FC45B7" w:rsidRPr="00FC45B7">
        <w:rPr>
          <w:rFonts w:ascii="Arial" w:eastAsia="Arial" w:hAnsi="Arial" w:cs="Arial"/>
          <w:b/>
          <w:bCs/>
          <w:sz w:val="26"/>
          <w:szCs w:val="26"/>
        </w:rPr>
        <w:t xml:space="preserve"> compared to 2017</w:t>
      </w:r>
      <w:r w:rsidRPr="00DD6A57">
        <w:rPr>
          <w:rFonts w:ascii="Arial" w:eastAsia="Arial" w:hAnsi="Arial" w:cs="Arial"/>
          <w:b/>
          <w:bCs/>
          <w:sz w:val="26"/>
          <w:szCs w:val="26"/>
        </w:rPr>
        <w:t>.</w:t>
      </w:r>
    </w:p>
    <w:p w14:paraId="262F45C3" w14:textId="5CD1322C" w:rsidR="00C0178B" w:rsidRPr="00F41250" w:rsidRDefault="00C0178B" w:rsidP="00351EAB">
      <w:pPr>
        <w:tabs>
          <w:tab w:val="left" w:pos="1559"/>
        </w:tabs>
        <w:spacing w:after="120" w:line="240" w:lineRule="auto"/>
        <w:ind w:left="1327" w:right="368"/>
        <w:jc w:val="both"/>
        <w:rPr>
          <w:rFonts w:ascii="Arial" w:eastAsia="Arial" w:hAnsi="Arial" w:cs="Arial"/>
          <w:b/>
          <w:bCs/>
          <w:sz w:val="26"/>
          <w:szCs w:val="26"/>
        </w:rPr>
      </w:pPr>
      <w:r w:rsidRPr="00C0178B">
        <w:rPr>
          <w:rFonts w:ascii="Arial" w:eastAsia="Arial" w:hAnsi="Arial" w:cs="Arial"/>
          <w:b/>
          <w:bCs/>
          <w:sz w:val="26"/>
          <w:szCs w:val="26"/>
        </w:rPr>
        <w:t>•</w:t>
      </w:r>
      <w:r w:rsidRPr="00C0178B">
        <w:rPr>
          <w:rFonts w:ascii="Arial" w:eastAsia="Arial" w:hAnsi="Arial" w:cs="Arial"/>
          <w:b/>
          <w:bCs/>
          <w:sz w:val="26"/>
          <w:szCs w:val="26"/>
        </w:rPr>
        <w:tab/>
        <w:t xml:space="preserve">Group operating income </w:t>
      </w:r>
      <w:r w:rsidR="00351EAB">
        <w:rPr>
          <w:rFonts w:ascii="Arial" w:eastAsia="Arial" w:hAnsi="Arial" w:cs="Arial"/>
          <w:b/>
          <w:bCs/>
          <w:sz w:val="26"/>
          <w:szCs w:val="26"/>
        </w:rPr>
        <w:t xml:space="preserve">stood at </w:t>
      </w:r>
      <w:r w:rsidRPr="00C0178B">
        <w:rPr>
          <w:rFonts w:ascii="Arial" w:eastAsia="Arial" w:hAnsi="Arial" w:cs="Arial"/>
          <w:b/>
          <w:bCs/>
          <w:sz w:val="26"/>
          <w:szCs w:val="26"/>
        </w:rPr>
        <w:t>€ million</w:t>
      </w:r>
      <w:r w:rsidR="00351EAB">
        <w:rPr>
          <w:rFonts w:ascii="Arial" w:eastAsia="Arial" w:hAnsi="Arial" w:cs="Arial"/>
          <w:b/>
          <w:bCs/>
          <w:sz w:val="26"/>
          <w:szCs w:val="26"/>
        </w:rPr>
        <w:t xml:space="preserve"> </w:t>
      </w:r>
      <w:r w:rsidR="00351EAB" w:rsidRPr="00351EAB">
        <w:rPr>
          <w:rFonts w:ascii="Arial" w:eastAsia="Arial" w:hAnsi="Arial" w:cs="Arial"/>
          <w:b/>
          <w:bCs/>
          <w:sz w:val="26"/>
          <w:szCs w:val="26"/>
        </w:rPr>
        <w:t xml:space="preserve">compared </w:t>
      </w:r>
      <w:r w:rsidR="00351EAB">
        <w:rPr>
          <w:rFonts w:ascii="Arial" w:eastAsia="Arial" w:hAnsi="Arial" w:cs="Arial"/>
          <w:b/>
          <w:bCs/>
          <w:sz w:val="26"/>
          <w:szCs w:val="26"/>
        </w:rPr>
        <w:t>to €</w:t>
      </w:r>
      <w:r w:rsidR="00351EAB" w:rsidRPr="00351EAB">
        <w:rPr>
          <w:rFonts w:ascii="Arial" w:eastAsia="Arial" w:hAnsi="Arial" w:cs="Arial"/>
          <w:b/>
          <w:bCs/>
          <w:sz w:val="26"/>
          <w:szCs w:val="26"/>
        </w:rPr>
        <w:t xml:space="preserve"> </w:t>
      </w:r>
      <w:r w:rsidR="00351EAB" w:rsidRPr="00C0178B">
        <w:rPr>
          <w:rFonts w:ascii="Arial" w:eastAsia="Arial" w:hAnsi="Arial" w:cs="Arial"/>
          <w:b/>
          <w:bCs/>
          <w:sz w:val="26"/>
          <w:szCs w:val="26"/>
        </w:rPr>
        <w:t>million</w:t>
      </w:r>
      <w:r w:rsidR="00E31D8C">
        <w:rPr>
          <w:rFonts w:ascii="Arial" w:eastAsia="Arial" w:hAnsi="Arial" w:cs="Arial"/>
          <w:b/>
          <w:bCs/>
          <w:sz w:val="26"/>
          <w:szCs w:val="26"/>
        </w:rPr>
        <w:t>.</w:t>
      </w:r>
      <w:r w:rsidR="00351EAB" w:rsidRPr="00351EAB">
        <w:t xml:space="preserve"> </w:t>
      </w:r>
      <w:r w:rsidR="00351EAB" w:rsidRPr="00351EAB">
        <w:rPr>
          <w:rFonts w:ascii="Arial" w:eastAsia="Arial" w:hAnsi="Arial" w:cs="Arial"/>
          <w:b/>
          <w:bCs/>
          <w:sz w:val="26"/>
          <w:szCs w:val="26"/>
        </w:rPr>
        <w:t xml:space="preserve">This decrease </w:t>
      </w:r>
      <w:r w:rsidR="00351EAB">
        <w:rPr>
          <w:rFonts w:ascii="Arial" w:eastAsia="Arial" w:hAnsi="Arial" w:cs="Arial"/>
          <w:b/>
          <w:bCs/>
          <w:sz w:val="26"/>
          <w:szCs w:val="26"/>
        </w:rPr>
        <w:t xml:space="preserve">is notably </w:t>
      </w:r>
      <w:r w:rsidR="00351EAB" w:rsidRPr="00C0178B">
        <w:rPr>
          <w:rFonts w:ascii="Arial" w:eastAsia="Arial" w:hAnsi="Arial" w:cs="Arial"/>
          <w:b/>
          <w:bCs/>
          <w:sz w:val="26"/>
          <w:szCs w:val="26"/>
        </w:rPr>
        <w:t>due to the Argentin</w:t>
      </w:r>
      <w:r w:rsidR="00351EAB">
        <w:rPr>
          <w:rFonts w:ascii="Arial" w:eastAsia="Arial" w:hAnsi="Arial" w:cs="Arial"/>
          <w:b/>
          <w:bCs/>
          <w:sz w:val="26"/>
          <w:szCs w:val="26"/>
        </w:rPr>
        <w:t>e</w:t>
      </w:r>
      <w:r w:rsidR="00351EAB" w:rsidRPr="00C0178B">
        <w:rPr>
          <w:rFonts w:ascii="Arial" w:eastAsia="Arial" w:hAnsi="Arial" w:cs="Arial"/>
          <w:b/>
          <w:bCs/>
          <w:sz w:val="26"/>
          <w:szCs w:val="26"/>
        </w:rPr>
        <w:t>a</w:t>
      </w:r>
      <w:r w:rsidR="00351EAB">
        <w:rPr>
          <w:rFonts w:ascii="Arial" w:eastAsia="Arial" w:hAnsi="Arial" w:cs="Arial"/>
          <w:b/>
          <w:bCs/>
          <w:sz w:val="26"/>
          <w:szCs w:val="26"/>
        </w:rPr>
        <w:t>n</w:t>
      </w:r>
      <w:r w:rsidR="00351EAB" w:rsidRPr="00C0178B">
        <w:rPr>
          <w:rFonts w:ascii="Arial" w:eastAsia="Arial" w:hAnsi="Arial" w:cs="Arial"/>
          <w:b/>
          <w:bCs/>
          <w:sz w:val="26"/>
          <w:szCs w:val="26"/>
        </w:rPr>
        <w:t xml:space="preserve"> crisis</w:t>
      </w:r>
      <w:r w:rsidR="00351EAB">
        <w:rPr>
          <w:rFonts w:ascii="Arial" w:eastAsia="Arial" w:hAnsi="Arial" w:cs="Arial"/>
          <w:b/>
          <w:bCs/>
          <w:sz w:val="26"/>
          <w:szCs w:val="26"/>
        </w:rPr>
        <w:t xml:space="preserve"> impact and </w:t>
      </w:r>
      <w:r w:rsidR="00351EAB" w:rsidRPr="00351EAB">
        <w:rPr>
          <w:rFonts w:ascii="Arial" w:eastAsia="Arial" w:hAnsi="Arial" w:cs="Arial"/>
          <w:b/>
          <w:bCs/>
          <w:sz w:val="26"/>
          <w:szCs w:val="26"/>
        </w:rPr>
        <w:t>provision</w:t>
      </w:r>
      <w:r w:rsidR="00351EAB">
        <w:rPr>
          <w:rFonts w:ascii="Arial" w:eastAsia="Arial" w:hAnsi="Arial" w:cs="Arial"/>
          <w:b/>
          <w:bCs/>
          <w:sz w:val="26"/>
          <w:szCs w:val="26"/>
        </w:rPr>
        <w:t>s</w:t>
      </w:r>
      <w:r w:rsidR="00351EAB" w:rsidRPr="00351EAB">
        <w:rPr>
          <w:rFonts w:ascii="Arial" w:eastAsia="Arial" w:hAnsi="Arial" w:cs="Arial"/>
          <w:b/>
          <w:bCs/>
          <w:sz w:val="26"/>
          <w:szCs w:val="26"/>
        </w:rPr>
        <w:t xml:space="preserve"> </w:t>
      </w:r>
      <w:r w:rsidR="009B6DEB" w:rsidRPr="009B6DEB">
        <w:rPr>
          <w:rFonts w:ascii="Arial" w:eastAsia="Arial" w:hAnsi="Arial" w:cs="Arial"/>
          <w:b/>
          <w:bCs/>
          <w:sz w:val="26"/>
          <w:szCs w:val="26"/>
        </w:rPr>
        <w:t xml:space="preserve">relating to the </w:t>
      </w:r>
      <w:r w:rsidR="002311F9">
        <w:rPr>
          <w:rFonts w:ascii="Arial" w:eastAsia="Arial" w:hAnsi="Arial" w:cs="Arial"/>
          <w:b/>
          <w:bCs/>
          <w:sz w:val="26"/>
          <w:szCs w:val="26"/>
        </w:rPr>
        <w:t xml:space="preserve">amendment </w:t>
      </w:r>
      <w:r w:rsidR="00845616">
        <w:rPr>
          <w:rFonts w:ascii="Arial" w:eastAsia="Arial" w:hAnsi="Arial" w:cs="Arial"/>
          <w:b/>
          <w:bCs/>
          <w:sz w:val="26"/>
          <w:szCs w:val="26"/>
        </w:rPr>
        <w:t xml:space="preserve">of the </w:t>
      </w:r>
      <w:r w:rsidR="006C3C40">
        <w:rPr>
          <w:rFonts w:ascii="Arial" w:eastAsia="Arial" w:hAnsi="Arial" w:cs="Arial"/>
          <w:b/>
          <w:bCs/>
          <w:sz w:val="26"/>
          <w:szCs w:val="26"/>
        </w:rPr>
        <w:t>“</w:t>
      </w:r>
      <w:r w:rsidR="009B6DEB" w:rsidRPr="009B6DEB">
        <w:rPr>
          <w:rFonts w:ascii="Arial" w:eastAsia="Arial" w:hAnsi="Arial" w:cs="Arial"/>
          <w:b/>
          <w:bCs/>
          <w:sz w:val="26"/>
          <w:szCs w:val="26"/>
        </w:rPr>
        <w:t>CAP 2020</w:t>
      </w:r>
      <w:r w:rsidR="009B6DEB">
        <w:rPr>
          <w:rFonts w:ascii="Arial" w:eastAsia="Arial" w:hAnsi="Arial" w:cs="Arial"/>
          <w:b/>
          <w:bCs/>
          <w:sz w:val="26"/>
          <w:szCs w:val="26"/>
        </w:rPr>
        <w:t>”</w:t>
      </w:r>
      <w:r w:rsidR="00845616">
        <w:rPr>
          <w:rFonts w:ascii="Arial" w:eastAsia="Arial" w:hAnsi="Arial" w:cs="Arial"/>
          <w:b/>
          <w:bCs/>
          <w:sz w:val="26"/>
          <w:szCs w:val="26"/>
        </w:rPr>
        <w:t xml:space="preserve"> agreement</w:t>
      </w:r>
      <w:r w:rsidR="009B6DEB" w:rsidRPr="009B6DEB">
        <w:rPr>
          <w:rFonts w:ascii="Arial" w:eastAsia="Arial" w:hAnsi="Arial" w:cs="Arial"/>
          <w:b/>
          <w:bCs/>
          <w:sz w:val="26"/>
          <w:szCs w:val="26"/>
        </w:rPr>
        <w:t xml:space="preserve"> </w:t>
      </w:r>
      <w:r w:rsidR="006C3C40">
        <w:rPr>
          <w:rFonts w:ascii="Arial" w:eastAsia="Arial" w:hAnsi="Arial" w:cs="Arial"/>
          <w:b/>
          <w:bCs/>
          <w:sz w:val="26"/>
          <w:szCs w:val="26"/>
        </w:rPr>
        <w:t xml:space="preserve">in France. </w:t>
      </w:r>
    </w:p>
    <w:p w14:paraId="7E941FEE" w14:textId="7920E573" w:rsidR="00C0178B" w:rsidRPr="00F41250" w:rsidRDefault="00C0178B" w:rsidP="00351EAB">
      <w:pPr>
        <w:tabs>
          <w:tab w:val="left" w:pos="1559"/>
        </w:tabs>
        <w:spacing w:after="120" w:line="240" w:lineRule="auto"/>
        <w:ind w:left="1327" w:right="368"/>
        <w:jc w:val="both"/>
        <w:rPr>
          <w:rFonts w:ascii="Arial" w:eastAsia="Arial" w:hAnsi="Arial" w:cs="Arial"/>
          <w:b/>
          <w:bCs/>
          <w:sz w:val="26"/>
          <w:szCs w:val="26"/>
        </w:rPr>
      </w:pPr>
      <w:r w:rsidRPr="00C0178B">
        <w:rPr>
          <w:rFonts w:ascii="Arial" w:eastAsia="Arial" w:hAnsi="Arial" w:cs="Arial"/>
          <w:b/>
          <w:bCs/>
          <w:sz w:val="26"/>
          <w:szCs w:val="26"/>
        </w:rPr>
        <w:t>•</w:t>
      </w:r>
      <w:r w:rsidRPr="00C0178B">
        <w:rPr>
          <w:rFonts w:ascii="Arial" w:eastAsia="Arial" w:hAnsi="Arial" w:cs="Arial"/>
          <w:b/>
          <w:bCs/>
          <w:sz w:val="26"/>
          <w:szCs w:val="26"/>
        </w:rPr>
        <w:tab/>
      </w:r>
      <w:r w:rsidRPr="00B73E3B">
        <w:rPr>
          <w:rFonts w:ascii="Arial" w:eastAsia="Arial" w:hAnsi="Arial" w:cs="Arial"/>
          <w:b/>
          <w:bCs/>
          <w:sz w:val="26"/>
          <w:szCs w:val="26"/>
        </w:rPr>
        <w:t>Net income of € million compared to €</w:t>
      </w:r>
      <w:r w:rsidR="00351EAB" w:rsidRPr="00B73E3B">
        <w:rPr>
          <w:rStyle w:val="Fotnotsreferens"/>
          <w:rFonts w:ascii="Arial" w:eastAsia="Arial" w:hAnsi="Arial" w:cs="Arial"/>
          <w:b/>
          <w:bCs/>
          <w:sz w:val="26"/>
          <w:szCs w:val="26"/>
        </w:rPr>
        <w:footnoteReference w:id="2"/>
      </w:r>
      <w:r w:rsidRPr="00B73E3B">
        <w:rPr>
          <w:rFonts w:ascii="Arial" w:eastAsia="Arial" w:hAnsi="Arial" w:cs="Arial"/>
          <w:b/>
          <w:bCs/>
          <w:sz w:val="26"/>
          <w:szCs w:val="26"/>
        </w:rPr>
        <w:t xml:space="preserve"> million. </w:t>
      </w:r>
      <w:r w:rsidR="00B6292C" w:rsidRPr="00EB384A">
        <w:rPr>
          <w:rFonts w:ascii="Arial" w:eastAsia="Arial" w:hAnsi="Arial" w:cs="Arial"/>
          <w:b/>
          <w:bCs/>
          <w:sz w:val="26"/>
          <w:szCs w:val="26"/>
        </w:rPr>
        <w:t>This dec</w:t>
      </w:r>
      <w:r w:rsidR="00B73E3B">
        <w:rPr>
          <w:rFonts w:ascii="Arial" w:eastAsia="Arial" w:hAnsi="Arial" w:cs="Arial"/>
          <w:b/>
          <w:bCs/>
          <w:sz w:val="26"/>
          <w:szCs w:val="26"/>
        </w:rPr>
        <w:t>line</w:t>
      </w:r>
      <w:r w:rsidR="00B6292C" w:rsidRPr="00EB384A">
        <w:rPr>
          <w:rFonts w:ascii="Arial" w:eastAsia="Arial" w:hAnsi="Arial" w:cs="Arial"/>
          <w:b/>
          <w:bCs/>
          <w:sz w:val="26"/>
          <w:szCs w:val="26"/>
        </w:rPr>
        <w:t xml:space="preserve"> came </w:t>
      </w:r>
      <w:r w:rsidR="00351EAB">
        <w:rPr>
          <w:rFonts w:ascii="Arial" w:eastAsia="Arial" w:hAnsi="Arial" w:cs="Arial"/>
          <w:b/>
          <w:bCs/>
          <w:sz w:val="26"/>
          <w:szCs w:val="26"/>
        </w:rPr>
        <w:t>mai</w:t>
      </w:r>
      <w:r w:rsidR="00B73E3B">
        <w:rPr>
          <w:rFonts w:ascii="Arial" w:eastAsia="Arial" w:hAnsi="Arial" w:cs="Arial"/>
          <w:b/>
          <w:bCs/>
          <w:sz w:val="26"/>
          <w:szCs w:val="26"/>
        </w:rPr>
        <w:t>n</w:t>
      </w:r>
      <w:r w:rsidR="00351EAB">
        <w:rPr>
          <w:rFonts w:ascii="Arial" w:eastAsia="Arial" w:hAnsi="Arial" w:cs="Arial"/>
          <w:b/>
          <w:bCs/>
          <w:sz w:val="26"/>
          <w:szCs w:val="26"/>
        </w:rPr>
        <w:t xml:space="preserve">ly </w:t>
      </w:r>
      <w:r w:rsidR="00B6292C" w:rsidRPr="00EB384A">
        <w:rPr>
          <w:rFonts w:ascii="Arial" w:eastAsia="Arial" w:hAnsi="Arial" w:cs="Arial"/>
          <w:b/>
          <w:bCs/>
          <w:sz w:val="26"/>
          <w:szCs w:val="26"/>
        </w:rPr>
        <w:t xml:space="preserve">from Nissan’s contribution, down </w:t>
      </w:r>
      <w:r w:rsidR="00B6292C">
        <w:rPr>
          <w:rFonts w:ascii="Arial" w:eastAsia="Arial" w:hAnsi="Arial" w:cs="Arial"/>
          <w:b/>
          <w:bCs/>
          <w:sz w:val="26"/>
          <w:szCs w:val="26"/>
        </w:rPr>
        <w:t>€</w:t>
      </w:r>
      <w:r w:rsidR="00B6292C" w:rsidRPr="00EB384A">
        <w:rPr>
          <w:rFonts w:ascii="Arial" w:eastAsia="Arial" w:hAnsi="Arial" w:cs="Arial"/>
          <w:b/>
          <w:bCs/>
          <w:sz w:val="26"/>
          <w:szCs w:val="26"/>
        </w:rPr>
        <w:t xml:space="preserve"> million, which notably benefited</w:t>
      </w:r>
      <w:r w:rsidR="00B83C66">
        <w:rPr>
          <w:rFonts w:ascii="Arial" w:eastAsia="Arial" w:hAnsi="Arial" w:cs="Arial"/>
          <w:b/>
          <w:bCs/>
          <w:sz w:val="26"/>
          <w:szCs w:val="26"/>
        </w:rPr>
        <w:t xml:space="preserve"> in 2017</w:t>
      </w:r>
      <w:r w:rsidR="00B6292C" w:rsidRPr="00EB384A">
        <w:rPr>
          <w:rFonts w:ascii="Arial" w:eastAsia="Arial" w:hAnsi="Arial" w:cs="Arial"/>
          <w:b/>
          <w:bCs/>
          <w:sz w:val="26"/>
          <w:szCs w:val="26"/>
        </w:rPr>
        <w:t xml:space="preserve"> from </w:t>
      </w:r>
      <w:r w:rsidR="00B83C66">
        <w:rPr>
          <w:rFonts w:ascii="Arial" w:eastAsia="Arial" w:hAnsi="Arial" w:cs="Arial"/>
          <w:b/>
          <w:bCs/>
          <w:sz w:val="26"/>
          <w:szCs w:val="26"/>
        </w:rPr>
        <w:t xml:space="preserve">a </w:t>
      </w:r>
      <w:r w:rsidR="00351EAB" w:rsidRPr="00351EAB">
        <w:rPr>
          <w:rFonts w:ascii="Arial" w:eastAsia="Arial" w:hAnsi="Arial" w:cs="Arial"/>
          <w:b/>
          <w:bCs/>
          <w:sz w:val="26"/>
          <w:szCs w:val="26"/>
        </w:rPr>
        <w:t>one-off gain</w:t>
      </w:r>
      <w:r w:rsidR="008E0951">
        <w:rPr>
          <w:rFonts w:ascii="Arial" w:eastAsia="Arial" w:hAnsi="Arial" w:cs="Arial"/>
          <w:b/>
          <w:bCs/>
          <w:sz w:val="26"/>
          <w:szCs w:val="26"/>
        </w:rPr>
        <w:t xml:space="preserve"> </w:t>
      </w:r>
      <w:r w:rsidR="00B83C66">
        <w:rPr>
          <w:rFonts w:ascii="Arial" w:eastAsia="Arial" w:hAnsi="Arial" w:cs="Arial"/>
          <w:b/>
          <w:bCs/>
          <w:sz w:val="26"/>
          <w:szCs w:val="26"/>
        </w:rPr>
        <w:t>of</w:t>
      </w:r>
      <w:r w:rsidR="00351EAB">
        <w:rPr>
          <w:rFonts w:ascii="Arial" w:eastAsia="Arial" w:hAnsi="Arial" w:cs="Arial"/>
          <w:b/>
          <w:bCs/>
          <w:sz w:val="26"/>
          <w:szCs w:val="26"/>
        </w:rPr>
        <w:t xml:space="preserve"> € million</w:t>
      </w:r>
      <w:r w:rsidR="00B6292C" w:rsidRPr="00EB384A">
        <w:rPr>
          <w:rFonts w:ascii="Arial" w:eastAsia="Arial" w:hAnsi="Arial" w:cs="Arial"/>
          <w:b/>
          <w:bCs/>
          <w:sz w:val="26"/>
          <w:szCs w:val="26"/>
        </w:rPr>
        <w:t xml:space="preserve">. </w:t>
      </w:r>
      <w:r w:rsidR="00B6292C" w:rsidRPr="005E15E1">
        <w:rPr>
          <w:rFonts w:ascii="Arial" w:eastAsia="Arial" w:hAnsi="Arial" w:cs="Arial"/>
          <w:b/>
          <w:bCs/>
          <w:sz w:val="26"/>
          <w:szCs w:val="26"/>
        </w:rPr>
        <w:t xml:space="preserve"> </w:t>
      </w:r>
    </w:p>
    <w:p w14:paraId="1399E25A" w14:textId="777AFDC4" w:rsidR="00756E3F" w:rsidRPr="00F41250" w:rsidRDefault="00C0178B" w:rsidP="00351EAB">
      <w:pPr>
        <w:tabs>
          <w:tab w:val="left" w:pos="1559"/>
        </w:tabs>
        <w:spacing w:after="120" w:line="240" w:lineRule="auto"/>
        <w:ind w:left="1327" w:right="368"/>
        <w:jc w:val="both"/>
        <w:rPr>
          <w:rFonts w:ascii="Arial" w:eastAsia="Arial" w:hAnsi="Arial" w:cs="Arial"/>
          <w:b/>
          <w:bCs/>
          <w:sz w:val="26"/>
          <w:szCs w:val="26"/>
        </w:rPr>
      </w:pPr>
      <w:r w:rsidRPr="00BA0AEA">
        <w:rPr>
          <w:rFonts w:ascii="Arial" w:eastAsia="Arial" w:hAnsi="Arial" w:cs="Arial"/>
          <w:b/>
          <w:bCs/>
          <w:sz w:val="26"/>
          <w:szCs w:val="26"/>
        </w:rPr>
        <w:t>•</w:t>
      </w:r>
      <w:r w:rsidRPr="00BA0AEA">
        <w:rPr>
          <w:rFonts w:ascii="Arial" w:eastAsia="Arial" w:hAnsi="Arial" w:cs="Arial"/>
          <w:b/>
          <w:bCs/>
          <w:sz w:val="26"/>
          <w:szCs w:val="26"/>
        </w:rPr>
        <w:tab/>
        <w:t>Positive Automotive operational free cash flow of € million.</w:t>
      </w:r>
    </w:p>
    <w:p w14:paraId="118D57F6" w14:textId="77777777" w:rsidR="00756E3F" w:rsidRPr="00F41250" w:rsidRDefault="00756E3F" w:rsidP="00351EAB">
      <w:pPr>
        <w:tabs>
          <w:tab w:val="left" w:pos="1559"/>
        </w:tabs>
        <w:spacing w:after="120" w:line="240" w:lineRule="auto"/>
        <w:ind w:left="1327" w:right="368"/>
        <w:jc w:val="both"/>
        <w:rPr>
          <w:rFonts w:ascii="Arial" w:eastAsia="Arial" w:hAnsi="Arial" w:cs="Arial"/>
          <w:b/>
          <w:bCs/>
          <w:sz w:val="26"/>
          <w:szCs w:val="26"/>
        </w:rPr>
      </w:pPr>
    </w:p>
    <w:p w14:paraId="767433DB" w14:textId="77777777" w:rsidR="004868D7" w:rsidRPr="00F41250" w:rsidRDefault="004868D7" w:rsidP="00351EAB">
      <w:pPr>
        <w:spacing w:after="0" w:line="200" w:lineRule="exact"/>
        <w:ind w:right="368"/>
        <w:rPr>
          <w:sz w:val="20"/>
          <w:szCs w:val="20"/>
        </w:rPr>
      </w:pPr>
    </w:p>
    <w:p w14:paraId="62F6614D" w14:textId="3765E7FE" w:rsidR="00C63D30" w:rsidRPr="00F41250" w:rsidRDefault="00C63D30" w:rsidP="00351EAB">
      <w:pPr>
        <w:spacing w:after="0" w:line="250" w:lineRule="auto"/>
        <w:ind w:left="1332" w:right="368"/>
        <w:jc w:val="both"/>
        <w:rPr>
          <w:rFonts w:ascii="Arial" w:hAnsi="Arial" w:cs="Arial"/>
          <w:b/>
          <w:bCs/>
          <w:i/>
          <w:iCs/>
        </w:rPr>
      </w:pPr>
      <w:r w:rsidRPr="004F5EF5">
        <w:rPr>
          <w:rFonts w:ascii="Arial" w:hAnsi="Arial" w:cs="Arial"/>
          <w:b/>
          <w:bCs/>
          <w:i/>
          <w:iCs/>
        </w:rPr>
        <w:t xml:space="preserve">"In 2018, Groupe Renault maintained its </w:t>
      </w:r>
      <w:r w:rsidR="00762410">
        <w:rPr>
          <w:rFonts w:ascii="Arial" w:hAnsi="Arial" w:cs="Arial"/>
          <w:b/>
          <w:bCs/>
          <w:i/>
          <w:iCs/>
        </w:rPr>
        <w:t>historical</w:t>
      </w:r>
      <w:r w:rsidRPr="004F5EF5">
        <w:rPr>
          <w:rFonts w:ascii="Arial" w:hAnsi="Arial" w:cs="Arial"/>
          <w:b/>
          <w:bCs/>
          <w:i/>
          <w:iCs/>
        </w:rPr>
        <w:t xml:space="preserve"> performance, despite the </w:t>
      </w:r>
      <w:r w:rsidR="00094ED0">
        <w:rPr>
          <w:rFonts w:ascii="Arial" w:hAnsi="Arial" w:cs="Arial"/>
          <w:b/>
          <w:bCs/>
          <w:i/>
          <w:iCs/>
        </w:rPr>
        <w:t xml:space="preserve">business </w:t>
      </w:r>
      <w:r w:rsidR="00094ED0" w:rsidRPr="004F5EF5">
        <w:rPr>
          <w:rFonts w:ascii="Arial" w:hAnsi="Arial" w:cs="Arial"/>
          <w:b/>
          <w:bCs/>
          <w:i/>
          <w:iCs/>
        </w:rPr>
        <w:t xml:space="preserve">environment </w:t>
      </w:r>
      <w:r w:rsidRPr="004F5EF5">
        <w:rPr>
          <w:rFonts w:ascii="Arial" w:hAnsi="Arial" w:cs="Arial"/>
          <w:b/>
          <w:bCs/>
          <w:i/>
          <w:iCs/>
        </w:rPr>
        <w:t xml:space="preserve">deterioration. The commercial and financial results demonstrate the </w:t>
      </w:r>
      <w:r w:rsidR="00F72EC6">
        <w:rPr>
          <w:rFonts w:ascii="Arial" w:hAnsi="Arial" w:cs="Arial"/>
          <w:b/>
          <w:bCs/>
          <w:i/>
          <w:iCs/>
        </w:rPr>
        <w:t>Group</w:t>
      </w:r>
      <w:r w:rsidR="00F72EC6" w:rsidRPr="004F5EF5">
        <w:rPr>
          <w:rFonts w:ascii="Arial" w:hAnsi="Arial" w:cs="Arial"/>
          <w:b/>
          <w:bCs/>
          <w:i/>
          <w:iCs/>
        </w:rPr>
        <w:t xml:space="preserve">'s </w:t>
      </w:r>
      <w:r w:rsidRPr="004F5EF5">
        <w:rPr>
          <w:rFonts w:ascii="Arial" w:hAnsi="Arial" w:cs="Arial"/>
          <w:b/>
          <w:bCs/>
          <w:i/>
          <w:iCs/>
        </w:rPr>
        <w:t xml:space="preserve">resilience and its rapid adaptation to a more </w:t>
      </w:r>
      <w:r w:rsidR="00F72EC6">
        <w:rPr>
          <w:rFonts w:ascii="Arial" w:hAnsi="Arial" w:cs="Arial"/>
          <w:b/>
          <w:bCs/>
          <w:i/>
          <w:iCs/>
        </w:rPr>
        <w:t>challenging</w:t>
      </w:r>
      <w:r w:rsidR="00F72EC6" w:rsidRPr="004F5EF5">
        <w:rPr>
          <w:rFonts w:ascii="Arial" w:hAnsi="Arial" w:cs="Arial"/>
          <w:b/>
          <w:bCs/>
          <w:i/>
          <w:iCs/>
        </w:rPr>
        <w:t xml:space="preserve"> </w:t>
      </w:r>
      <w:r w:rsidRPr="004F5EF5">
        <w:rPr>
          <w:rFonts w:ascii="Arial" w:hAnsi="Arial" w:cs="Arial"/>
          <w:b/>
          <w:bCs/>
          <w:i/>
          <w:iCs/>
        </w:rPr>
        <w:t xml:space="preserve">environment. This performance is the result of a clear strategy, increasingly stringent execution and the efforts of all Group employees," </w:t>
      </w:r>
      <w:r w:rsidRPr="00463FB3">
        <w:rPr>
          <w:rFonts w:ascii="Arial" w:hAnsi="Arial" w:cs="Arial"/>
          <w:b/>
          <w:bCs/>
          <w:iCs/>
        </w:rPr>
        <w:t xml:space="preserve">commented Thierry </w:t>
      </w:r>
      <w:proofErr w:type="spellStart"/>
      <w:r w:rsidRPr="00463FB3">
        <w:rPr>
          <w:rFonts w:ascii="Arial" w:hAnsi="Arial" w:cs="Arial"/>
          <w:b/>
          <w:bCs/>
          <w:iCs/>
        </w:rPr>
        <w:t>Bolloré</w:t>
      </w:r>
      <w:proofErr w:type="spellEnd"/>
      <w:r w:rsidRPr="00463FB3">
        <w:rPr>
          <w:rFonts w:ascii="Arial" w:hAnsi="Arial" w:cs="Arial"/>
          <w:b/>
          <w:bCs/>
          <w:iCs/>
        </w:rPr>
        <w:t>, Chief Executive Officer</w:t>
      </w:r>
      <w:r w:rsidR="00094ED0" w:rsidRPr="00463FB3">
        <w:rPr>
          <w:rFonts w:ascii="Arial" w:hAnsi="Arial" w:cs="Arial"/>
          <w:b/>
          <w:bCs/>
          <w:iCs/>
        </w:rPr>
        <w:t xml:space="preserve"> of Renault</w:t>
      </w:r>
      <w:r w:rsidRPr="004F5EF5">
        <w:rPr>
          <w:rFonts w:ascii="Arial" w:hAnsi="Arial" w:cs="Arial"/>
          <w:b/>
          <w:bCs/>
          <w:i/>
          <w:iCs/>
        </w:rPr>
        <w:t xml:space="preserve">. </w:t>
      </w:r>
    </w:p>
    <w:p w14:paraId="20FFB3D8" w14:textId="322918F2" w:rsidR="007E752E" w:rsidRDefault="007E752E">
      <w:pPr>
        <w:spacing w:after="0" w:line="250" w:lineRule="auto"/>
        <w:ind w:left="1332" w:right="368"/>
        <w:jc w:val="both"/>
        <w:rPr>
          <w:rFonts w:ascii="Arial" w:hAnsi="Arial" w:cs="Arial"/>
          <w:b/>
          <w:bCs/>
          <w:i/>
          <w:iCs/>
        </w:rPr>
      </w:pPr>
    </w:p>
    <w:p w14:paraId="6DAEBD1A" w14:textId="639977B8" w:rsidR="00351EAB" w:rsidRDefault="00351EAB">
      <w:pPr>
        <w:spacing w:after="0" w:line="250" w:lineRule="auto"/>
        <w:ind w:left="1332" w:right="368"/>
        <w:jc w:val="both"/>
        <w:rPr>
          <w:rFonts w:ascii="Arial" w:hAnsi="Arial" w:cs="Arial"/>
          <w:b/>
          <w:bCs/>
          <w:i/>
          <w:iCs/>
        </w:rPr>
      </w:pPr>
    </w:p>
    <w:p w14:paraId="1192AFA1" w14:textId="77777777" w:rsidR="00351EAB" w:rsidRPr="00F41250" w:rsidRDefault="00351EAB" w:rsidP="00351EAB">
      <w:pPr>
        <w:spacing w:after="0" w:line="250" w:lineRule="auto"/>
        <w:ind w:left="1332" w:right="368"/>
        <w:jc w:val="both"/>
        <w:rPr>
          <w:rFonts w:ascii="Arial" w:hAnsi="Arial" w:cs="Arial"/>
          <w:b/>
          <w:bCs/>
          <w:i/>
          <w:iCs/>
        </w:rPr>
      </w:pPr>
    </w:p>
    <w:p w14:paraId="0CA33C64" w14:textId="73514DCA" w:rsidR="00F32E8A" w:rsidRDefault="00F32E8A" w:rsidP="00351EAB">
      <w:pPr>
        <w:spacing w:after="0" w:line="200" w:lineRule="exact"/>
        <w:ind w:right="368"/>
        <w:rPr>
          <w:sz w:val="20"/>
          <w:szCs w:val="20"/>
        </w:rPr>
      </w:pPr>
    </w:p>
    <w:p w14:paraId="11223080" w14:textId="67AB6A8D" w:rsidR="00463FB3" w:rsidRDefault="00463FB3" w:rsidP="00351EAB">
      <w:pPr>
        <w:spacing w:after="0" w:line="200" w:lineRule="exact"/>
        <w:ind w:right="368"/>
        <w:rPr>
          <w:sz w:val="20"/>
          <w:szCs w:val="20"/>
        </w:rPr>
      </w:pPr>
    </w:p>
    <w:p w14:paraId="36238B13" w14:textId="77777777" w:rsidR="00463FB3" w:rsidRDefault="00463FB3" w:rsidP="00351EAB">
      <w:pPr>
        <w:spacing w:after="0" w:line="200" w:lineRule="exact"/>
        <w:ind w:right="368"/>
        <w:rPr>
          <w:sz w:val="20"/>
          <w:szCs w:val="20"/>
        </w:rPr>
      </w:pPr>
    </w:p>
    <w:p w14:paraId="16626758" w14:textId="58235988" w:rsidR="00B73E3B" w:rsidRDefault="00B73E3B" w:rsidP="00351EAB">
      <w:pPr>
        <w:spacing w:after="0" w:line="200" w:lineRule="exact"/>
        <w:ind w:right="368"/>
        <w:rPr>
          <w:sz w:val="20"/>
          <w:szCs w:val="20"/>
        </w:rPr>
      </w:pPr>
    </w:p>
    <w:p w14:paraId="5F2EA9F2" w14:textId="77777777" w:rsidR="00B73E3B" w:rsidRPr="00F41250" w:rsidRDefault="00B73E3B" w:rsidP="00351EAB">
      <w:pPr>
        <w:spacing w:after="0" w:line="200" w:lineRule="exact"/>
        <w:ind w:right="368"/>
        <w:rPr>
          <w:sz w:val="20"/>
          <w:szCs w:val="20"/>
        </w:rPr>
      </w:pPr>
    </w:p>
    <w:p w14:paraId="16F8B78C" w14:textId="2911DA5C" w:rsidR="006C62DE" w:rsidRPr="00F41250" w:rsidRDefault="00E01C49" w:rsidP="00351EAB">
      <w:pPr>
        <w:spacing w:after="0" w:line="250" w:lineRule="auto"/>
        <w:ind w:left="1332" w:right="368"/>
        <w:jc w:val="both"/>
        <w:rPr>
          <w:rFonts w:ascii="Arial" w:eastAsia="Arial" w:hAnsi="Arial" w:cs="Arial"/>
          <w:bCs/>
        </w:rPr>
      </w:pPr>
      <w:r w:rsidRPr="007D0E41">
        <w:rPr>
          <w:rFonts w:ascii="Arial" w:eastAsia="Arial" w:hAnsi="Arial" w:cs="Arial"/>
          <w:color w:val="000000" w:themeColor="text1"/>
        </w:rPr>
        <w:lastRenderedPageBreak/>
        <w:t xml:space="preserve">Boulogne-Billancourt, </w:t>
      </w:r>
      <w:r w:rsidR="00101CB2">
        <w:rPr>
          <w:rFonts w:ascii="Arial" w:eastAsia="Arial" w:hAnsi="Arial" w:cs="Arial"/>
          <w:color w:val="000000" w:themeColor="text1"/>
        </w:rPr>
        <w:t>February 14, 2</w:t>
      </w:r>
      <w:r w:rsidRPr="007D0E41">
        <w:rPr>
          <w:rFonts w:ascii="Arial" w:eastAsia="Arial" w:hAnsi="Arial" w:cs="Arial"/>
          <w:color w:val="000000" w:themeColor="text1"/>
        </w:rPr>
        <w:t>019</w:t>
      </w:r>
      <w:r w:rsidR="00382DC7">
        <w:rPr>
          <w:rFonts w:ascii="Arial" w:eastAsia="Arial" w:hAnsi="Arial" w:cs="Arial"/>
          <w:color w:val="000000" w:themeColor="text1"/>
        </w:rPr>
        <w:t xml:space="preserve">: </w:t>
      </w:r>
      <w:r w:rsidR="00DD6744" w:rsidRPr="00F41250">
        <w:rPr>
          <w:rFonts w:ascii="Arial" w:hAnsi="Arial" w:cs="Arial"/>
          <w:b/>
        </w:rPr>
        <w:t xml:space="preserve">Group </w:t>
      </w:r>
      <w:r w:rsidR="00F41250" w:rsidRPr="00EE5B74">
        <w:rPr>
          <w:rFonts w:ascii="Arial" w:hAnsi="Arial" w:cs="Arial"/>
          <w:b/>
        </w:rPr>
        <w:t xml:space="preserve">revenues </w:t>
      </w:r>
      <w:r w:rsidR="00101CB2">
        <w:rPr>
          <w:rFonts w:ascii="Arial" w:hAnsi="Arial" w:cs="Arial"/>
        </w:rPr>
        <w:t>reached</w:t>
      </w:r>
      <w:r w:rsidR="007A517E" w:rsidRPr="007A517E">
        <w:rPr>
          <w:rFonts w:ascii="Arial" w:hAnsi="Arial" w:cs="Arial"/>
        </w:rPr>
        <w:t xml:space="preserve"> € million (%), including € million for AVTOVAZ (%). Excluding currency</w:t>
      </w:r>
      <w:r w:rsidR="00101CB2" w:rsidRPr="00101CB2">
        <w:rPr>
          <w:rFonts w:ascii="Arial" w:hAnsi="Arial" w:cs="Arial"/>
        </w:rPr>
        <w:t xml:space="preserve"> </w:t>
      </w:r>
      <w:r w:rsidR="00101CB2" w:rsidRPr="007A517E">
        <w:rPr>
          <w:rFonts w:ascii="Arial" w:hAnsi="Arial" w:cs="Arial"/>
        </w:rPr>
        <w:t>impact</w:t>
      </w:r>
      <w:r w:rsidR="007A517E" w:rsidRPr="007A517E">
        <w:rPr>
          <w:rFonts w:ascii="Arial" w:hAnsi="Arial" w:cs="Arial"/>
        </w:rPr>
        <w:t>, Group revenues increased by %.</w:t>
      </w:r>
    </w:p>
    <w:p w14:paraId="29AECFB6" w14:textId="77777777" w:rsidR="00B056B8" w:rsidRPr="00F41250" w:rsidRDefault="00B056B8" w:rsidP="00351EAB">
      <w:pPr>
        <w:pStyle w:val="Liststycke"/>
        <w:spacing w:after="0" w:line="250" w:lineRule="auto"/>
        <w:ind w:left="1692" w:right="368"/>
        <w:jc w:val="both"/>
        <w:rPr>
          <w:rFonts w:ascii="Arial" w:hAnsi="Arial" w:cs="Arial"/>
        </w:rPr>
      </w:pPr>
    </w:p>
    <w:p w14:paraId="67FD8B28" w14:textId="4E3921F8" w:rsidR="00722525" w:rsidRDefault="0052718E" w:rsidP="00B73E3B">
      <w:pPr>
        <w:spacing w:after="0" w:line="250" w:lineRule="auto"/>
        <w:ind w:left="1332" w:right="368"/>
        <w:jc w:val="both"/>
        <w:rPr>
          <w:rFonts w:ascii="Arial" w:hAnsi="Arial" w:cs="Arial"/>
        </w:rPr>
      </w:pPr>
      <w:r w:rsidRPr="00AD6736">
        <w:rPr>
          <w:rFonts w:ascii="Arial" w:hAnsi="Arial" w:cs="Arial"/>
          <w:b/>
        </w:rPr>
        <w:t xml:space="preserve">Automotive </w:t>
      </w:r>
      <w:r w:rsidR="00F72EC6" w:rsidRPr="00AD6736">
        <w:rPr>
          <w:rFonts w:ascii="Arial" w:hAnsi="Arial" w:cs="Arial"/>
          <w:b/>
        </w:rPr>
        <w:t>excluding AVTOVAZ</w:t>
      </w:r>
      <w:r w:rsidR="00F72EC6" w:rsidRPr="00AD6736">
        <w:rPr>
          <w:rFonts w:ascii="Arial" w:hAnsi="Arial" w:cs="Arial"/>
        </w:rPr>
        <w:t xml:space="preserve"> </w:t>
      </w:r>
      <w:r w:rsidRPr="00AD6736">
        <w:rPr>
          <w:rFonts w:ascii="Arial" w:hAnsi="Arial" w:cs="Arial"/>
          <w:b/>
        </w:rPr>
        <w:t xml:space="preserve">revenues </w:t>
      </w:r>
      <w:r w:rsidR="00101CB2">
        <w:rPr>
          <w:rFonts w:ascii="Arial" w:hAnsi="Arial" w:cs="Arial"/>
        </w:rPr>
        <w:t>decreased</w:t>
      </w:r>
      <w:r w:rsidRPr="00AD6736">
        <w:rPr>
          <w:rFonts w:ascii="Arial" w:hAnsi="Arial" w:cs="Arial"/>
        </w:rPr>
        <w:t xml:space="preserve"> % to € million, </w:t>
      </w:r>
      <w:r w:rsidR="00F72EC6">
        <w:rPr>
          <w:rFonts w:ascii="Arial" w:hAnsi="Arial" w:cs="Arial"/>
        </w:rPr>
        <w:t>including</w:t>
      </w:r>
      <w:r w:rsidRPr="00AD6736">
        <w:rPr>
          <w:rFonts w:ascii="Arial" w:hAnsi="Arial" w:cs="Arial"/>
        </w:rPr>
        <w:t xml:space="preserve"> the negative impact </w:t>
      </w:r>
      <w:r w:rsidR="00101CB2">
        <w:rPr>
          <w:rFonts w:ascii="Arial" w:hAnsi="Arial" w:cs="Arial"/>
        </w:rPr>
        <w:t>from the</w:t>
      </w:r>
      <w:r w:rsidRPr="00AD6736">
        <w:rPr>
          <w:rFonts w:ascii="Arial" w:hAnsi="Arial" w:cs="Arial"/>
        </w:rPr>
        <w:t xml:space="preserve"> change in </w:t>
      </w:r>
      <w:r w:rsidR="00101CB2" w:rsidRPr="00AD6736">
        <w:rPr>
          <w:rFonts w:ascii="Arial" w:hAnsi="Arial" w:cs="Arial"/>
        </w:rPr>
        <w:t xml:space="preserve">interest rate subsidies </w:t>
      </w:r>
      <w:r w:rsidRPr="00AD6736">
        <w:rPr>
          <w:rFonts w:ascii="Arial" w:hAnsi="Arial" w:cs="Arial"/>
        </w:rPr>
        <w:t xml:space="preserve">allocation between the Automotive </w:t>
      </w:r>
      <w:r w:rsidR="00FD06CF">
        <w:rPr>
          <w:rFonts w:ascii="Arial" w:hAnsi="Arial" w:cs="Arial"/>
        </w:rPr>
        <w:t xml:space="preserve">excluding AVTOVAZ </w:t>
      </w:r>
      <w:r w:rsidRPr="00AD6736">
        <w:rPr>
          <w:rFonts w:ascii="Arial" w:hAnsi="Arial" w:cs="Arial"/>
        </w:rPr>
        <w:t xml:space="preserve">segment and </w:t>
      </w:r>
      <w:r w:rsidR="00C367EB">
        <w:rPr>
          <w:rFonts w:ascii="Arial" w:hAnsi="Arial" w:cs="Arial"/>
        </w:rPr>
        <w:t>Sales Financing</w:t>
      </w:r>
      <w:r w:rsidRPr="00AD6736">
        <w:rPr>
          <w:rFonts w:ascii="Arial" w:hAnsi="Arial" w:cs="Arial"/>
        </w:rPr>
        <w:t xml:space="preserve"> of € million. </w:t>
      </w:r>
    </w:p>
    <w:p w14:paraId="326345D8" w14:textId="0E5DC7D2" w:rsidR="007D0E41" w:rsidRPr="00F41250" w:rsidRDefault="001D6693" w:rsidP="00B73E3B">
      <w:pPr>
        <w:spacing w:after="0" w:line="250" w:lineRule="auto"/>
        <w:ind w:left="1332" w:right="368"/>
        <w:jc w:val="both"/>
        <w:rPr>
          <w:rFonts w:ascii="Arial" w:hAnsi="Arial" w:cs="Arial"/>
        </w:rPr>
      </w:pPr>
      <w:r>
        <w:rPr>
          <w:rFonts w:ascii="Arial" w:hAnsi="Arial" w:cs="Arial"/>
        </w:rPr>
        <w:t xml:space="preserve">This change mainly reflects a negative currency effect of points, </w:t>
      </w:r>
      <w:r w:rsidR="00402AE0">
        <w:rPr>
          <w:rFonts w:ascii="Arial" w:hAnsi="Arial" w:cs="Arial"/>
        </w:rPr>
        <w:t>lower</w:t>
      </w:r>
      <w:r>
        <w:rPr>
          <w:rFonts w:ascii="Arial" w:hAnsi="Arial" w:cs="Arial"/>
        </w:rPr>
        <w:t xml:space="preserve"> volumes </w:t>
      </w:r>
      <w:r w:rsidR="00463FB3">
        <w:rPr>
          <w:rFonts w:ascii="Arial" w:hAnsi="Arial" w:cs="Arial"/>
        </w:rPr>
        <w:br/>
      </w:r>
      <w:r>
        <w:rPr>
          <w:rFonts w:ascii="Arial" w:hAnsi="Arial" w:cs="Arial"/>
        </w:rPr>
        <w:t>( points) and sales to partners (points). The downturn in sales to partners was</w:t>
      </w:r>
      <w:r w:rsidR="00C367EB">
        <w:rPr>
          <w:rFonts w:ascii="Arial" w:hAnsi="Arial" w:cs="Arial"/>
        </w:rPr>
        <w:t xml:space="preserve"> mainly</w:t>
      </w:r>
      <w:r>
        <w:rPr>
          <w:rFonts w:ascii="Arial" w:hAnsi="Arial" w:cs="Arial"/>
        </w:rPr>
        <w:t xml:space="preserve"> </w:t>
      </w:r>
      <w:r w:rsidR="00C367EB">
        <w:rPr>
          <w:rFonts w:ascii="Arial" w:hAnsi="Arial" w:cs="Arial"/>
        </w:rPr>
        <w:t>the</w:t>
      </w:r>
      <w:r>
        <w:rPr>
          <w:rFonts w:ascii="Arial" w:hAnsi="Arial" w:cs="Arial"/>
        </w:rPr>
        <w:t xml:space="preserve"> result of the </w:t>
      </w:r>
      <w:r w:rsidR="004675CF">
        <w:rPr>
          <w:rFonts w:ascii="Arial" w:hAnsi="Arial" w:cs="Arial"/>
        </w:rPr>
        <w:t xml:space="preserve">Iranian market </w:t>
      </w:r>
      <w:r w:rsidR="00087911">
        <w:rPr>
          <w:rFonts w:ascii="Arial" w:hAnsi="Arial" w:cs="Arial"/>
        </w:rPr>
        <w:t xml:space="preserve">closure </w:t>
      </w:r>
      <w:r w:rsidR="004675CF">
        <w:rPr>
          <w:rFonts w:ascii="Arial" w:hAnsi="Arial" w:cs="Arial"/>
        </w:rPr>
        <w:t xml:space="preserve">and the decline </w:t>
      </w:r>
      <w:r w:rsidR="00D62D26">
        <w:rPr>
          <w:rFonts w:ascii="Arial" w:hAnsi="Arial" w:cs="Arial"/>
        </w:rPr>
        <w:t xml:space="preserve">in </w:t>
      </w:r>
      <w:r w:rsidR="00402AE0">
        <w:rPr>
          <w:rFonts w:ascii="Arial" w:hAnsi="Arial" w:cs="Arial"/>
        </w:rPr>
        <w:t xml:space="preserve">European demand for </w:t>
      </w:r>
      <w:r w:rsidR="004675CF">
        <w:rPr>
          <w:rFonts w:ascii="Arial" w:hAnsi="Arial" w:cs="Arial"/>
        </w:rPr>
        <w:t xml:space="preserve">diesel. In contrast, the price effect was positive points </w:t>
      </w:r>
      <w:r w:rsidR="00A00023">
        <w:rPr>
          <w:rFonts w:ascii="Arial" w:hAnsi="Arial" w:cs="Arial"/>
        </w:rPr>
        <w:t xml:space="preserve">thanks </w:t>
      </w:r>
      <w:r w:rsidR="004675CF">
        <w:rPr>
          <w:rFonts w:ascii="Arial" w:hAnsi="Arial" w:cs="Arial"/>
        </w:rPr>
        <w:t xml:space="preserve">to price increases in emerging countries as well as Europe. The model mix was slightly negative at points. The "Others" effect (points), including the </w:t>
      </w:r>
      <w:proofErr w:type="gramStart"/>
      <w:r w:rsidR="004675CF">
        <w:rPr>
          <w:rFonts w:ascii="Arial" w:hAnsi="Arial" w:cs="Arial"/>
        </w:rPr>
        <w:t>aforementioned change</w:t>
      </w:r>
      <w:proofErr w:type="gramEnd"/>
      <w:r w:rsidR="004675CF">
        <w:rPr>
          <w:rFonts w:ascii="Arial" w:hAnsi="Arial" w:cs="Arial"/>
        </w:rPr>
        <w:t xml:space="preserve"> in allocation, was due in particular to the strong performance of the used vehicle and spare parts activities, and </w:t>
      </w:r>
      <w:r w:rsidR="00402AE0">
        <w:rPr>
          <w:rFonts w:ascii="Arial" w:hAnsi="Arial" w:cs="Arial"/>
        </w:rPr>
        <w:t>lower</w:t>
      </w:r>
      <w:r w:rsidR="004675CF">
        <w:rPr>
          <w:rFonts w:ascii="Arial" w:hAnsi="Arial" w:cs="Arial"/>
        </w:rPr>
        <w:t xml:space="preserve"> sales with buy-back commitments. </w:t>
      </w:r>
    </w:p>
    <w:p w14:paraId="257B494F" w14:textId="77777777" w:rsidR="007D0E41" w:rsidRPr="00F41250" w:rsidRDefault="007D0E41" w:rsidP="00351EAB">
      <w:pPr>
        <w:spacing w:after="0" w:line="250" w:lineRule="auto"/>
        <w:ind w:left="1332" w:right="368"/>
        <w:jc w:val="both"/>
        <w:rPr>
          <w:rFonts w:ascii="Arial" w:hAnsi="Arial" w:cs="Arial"/>
        </w:rPr>
      </w:pPr>
    </w:p>
    <w:p w14:paraId="05B82D60" w14:textId="327CFA0C" w:rsidR="007D0E41" w:rsidRPr="00F41250" w:rsidRDefault="007D0E41" w:rsidP="00351EAB">
      <w:pPr>
        <w:spacing w:after="0" w:line="250" w:lineRule="auto"/>
        <w:ind w:left="1332" w:right="368"/>
        <w:jc w:val="both"/>
        <w:rPr>
          <w:rFonts w:ascii="Arial" w:hAnsi="Arial" w:cs="Arial"/>
        </w:rPr>
      </w:pPr>
      <w:r w:rsidRPr="00AD6736">
        <w:rPr>
          <w:rFonts w:ascii="Arial" w:hAnsi="Arial" w:cs="Arial"/>
        </w:rPr>
        <w:t xml:space="preserve">The </w:t>
      </w:r>
      <w:r w:rsidRPr="00F41250">
        <w:rPr>
          <w:rFonts w:ascii="Arial" w:hAnsi="Arial" w:cs="Arial"/>
          <w:b/>
        </w:rPr>
        <w:t>Group’s operating margin</w:t>
      </w:r>
      <w:r w:rsidRPr="00AD6736">
        <w:rPr>
          <w:rFonts w:ascii="Arial" w:hAnsi="Arial" w:cs="Arial"/>
        </w:rPr>
        <w:t xml:space="preserve"> amounted to € million and represent</w:t>
      </w:r>
      <w:r w:rsidR="00A00023">
        <w:rPr>
          <w:rFonts w:ascii="Arial" w:hAnsi="Arial" w:cs="Arial"/>
        </w:rPr>
        <w:t>ed</w:t>
      </w:r>
      <w:r w:rsidRPr="00AD6736">
        <w:rPr>
          <w:rFonts w:ascii="Arial" w:hAnsi="Arial" w:cs="Arial"/>
        </w:rPr>
        <w:t xml:space="preserve"> % of revenues.</w:t>
      </w:r>
    </w:p>
    <w:p w14:paraId="05B16EE8" w14:textId="77777777" w:rsidR="007D0E41" w:rsidRPr="00F41250" w:rsidRDefault="007D0E41" w:rsidP="00351EAB">
      <w:pPr>
        <w:spacing w:after="0" w:line="250" w:lineRule="auto"/>
        <w:ind w:left="1332" w:right="368"/>
        <w:jc w:val="both"/>
        <w:rPr>
          <w:rFonts w:ascii="Arial" w:hAnsi="Arial" w:cs="Arial"/>
        </w:rPr>
      </w:pPr>
    </w:p>
    <w:p w14:paraId="0DD9F133" w14:textId="0320EDCB" w:rsidR="007D0E41" w:rsidRPr="00F41250" w:rsidRDefault="007D0E41" w:rsidP="00BD40A1">
      <w:pPr>
        <w:tabs>
          <w:tab w:val="left" w:pos="1563"/>
        </w:tabs>
        <w:spacing w:line="250" w:lineRule="auto"/>
        <w:ind w:left="1420" w:right="368"/>
        <w:jc w:val="both"/>
        <w:rPr>
          <w:rFonts w:ascii="Arial" w:hAnsi="Arial" w:cs="Arial"/>
        </w:rPr>
      </w:pPr>
      <w:r w:rsidRPr="00AD6736">
        <w:rPr>
          <w:rFonts w:ascii="Arial" w:hAnsi="Arial" w:cs="Arial"/>
          <w:b/>
          <w:bCs/>
        </w:rPr>
        <w:t xml:space="preserve">Automotive excluding AVTOVAZ operating margin </w:t>
      </w:r>
      <w:r w:rsidRPr="00AD6736">
        <w:rPr>
          <w:rFonts w:ascii="Arial" w:hAnsi="Arial" w:cs="Arial"/>
        </w:rPr>
        <w:t>was down € million to €</w:t>
      </w:r>
      <w:r w:rsidR="00483E2F">
        <w:rPr>
          <w:rFonts w:ascii="Arial" w:hAnsi="Arial" w:cs="Arial"/>
        </w:rPr>
        <w:t xml:space="preserve"> million, </w:t>
      </w:r>
      <w:r w:rsidR="009E4DB4">
        <w:rPr>
          <w:rFonts w:ascii="Arial" w:hAnsi="Arial" w:cs="Arial"/>
        </w:rPr>
        <w:t xml:space="preserve">which </w:t>
      </w:r>
      <w:r w:rsidR="00483E2F">
        <w:rPr>
          <w:rFonts w:ascii="Arial" w:hAnsi="Arial" w:cs="Arial"/>
        </w:rPr>
        <w:t>represent</w:t>
      </w:r>
      <w:r w:rsidR="009E4DB4">
        <w:rPr>
          <w:rFonts w:ascii="Arial" w:hAnsi="Arial" w:cs="Arial"/>
        </w:rPr>
        <w:t>ed</w:t>
      </w:r>
      <w:r w:rsidR="00483E2F">
        <w:rPr>
          <w:rFonts w:ascii="Arial" w:hAnsi="Arial" w:cs="Arial"/>
        </w:rPr>
        <w:t xml:space="preserve"> % of revenues compared to % in 2017. In addition to a negative volume effect of € million, this </w:t>
      </w:r>
      <w:r w:rsidR="00A00023">
        <w:rPr>
          <w:rFonts w:ascii="Arial" w:hAnsi="Arial" w:cs="Arial"/>
        </w:rPr>
        <w:t>decrease was</w:t>
      </w:r>
      <w:r w:rsidR="00483E2F">
        <w:rPr>
          <w:rFonts w:ascii="Arial" w:hAnsi="Arial" w:cs="Arial"/>
        </w:rPr>
        <w:t xml:space="preserve"> largely explained by an unfavorable environment, both in respect of currency, with an impact of € million, and raw materials</w:t>
      </w:r>
      <w:r w:rsidR="00402AE0">
        <w:rPr>
          <w:rFonts w:ascii="Arial" w:hAnsi="Arial" w:cs="Arial"/>
        </w:rPr>
        <w:t xml:space="preserve"> </w:t>
      </w:r>
      <w:r w:rsidR="00A00023">
        <w:rPr>
          <w:rFonts w:ascii="Arial" w:hAnsi="Arial" w:cs="Arial"/>
        </w:rPr>
        <w:t>(</w:t>
      </w:r>
      <w:r w:rsidR="00483E2F">
        <w:rPr>
          <w:rFonts w:ascii="Arial" w:hAnsi="Arial" w:cs="Arial"/>
        </w:rPr>
        <w:t>€million</w:t>
      </w:r>
      <w:r w:rsidR="00A00023">
        <w:rPr>
          <w:rFonts w:ascii="Arial" w:hAnsi="Arial" w:cs="Arial"/>
        </w:rPr>
        <w:t>)</w:t>
      </w:r>
      <w:r w:rsidR="00483E2F">
        <w:rPr>
          <w:rFonts w:ascii="Arial" w:hAnsi="Arial" w:cs="Arial"/>
        </w:rPr>
        <w:t xml:space="preserve">. To offset these negative effects, the Group pursued its cost management policy </w:t>
      </w:r>
      <w:r w:rsidR="00402AE0">
        <w:rPr>
          <w:rFonts w:ascii="Arial" w:hAnsi="Arial" w:cs="Arial"/>
        </w:rPr>
        <w:t>resulting in a positive</w:t>
      </w:r>
      <w:r w:rsidR="00483E2F">
        <w:rPr>
          <w:rFonts w:ascii="Arial" w:hAnsi="Arial" w:cs="Arial"/>
        </w:rPr>
        <w:t xml:space="preserve"> € million from </w:t>
      </w:r>
      <w:proofErr w:type="spellStart"/>
      <w:r w:rsidR="00483E2F">
        <w:rPr>
          <w:rFonts w:ascii="Arial" w:hAnsi="Arial" w:cs="Arial"/>
        </w:rPr>
        <w:t>Monozukuri</w:t>
      </w:r>
      <w:proofErr w:type="spellEnd"/>
      <w:r w:rsidR="00D6694E" w:rsidRPr="00AD6736">
        <w:rPr>
          <w:rStyle w:val="Fotnotsreferens"/>
          <w:rFonts w:ascii="Arial" w:hAnsi="Arial" w:cs="Arial"/>
        </w:rPr>
        <w:footnoteReference w:id="3"/>
      </w:r>
      <w:r w:rsidR="0018614C">
        <w:rPr>
          <w:rFonts w:ascii="Arial" w:hAnsi="Arial" w:cs="Arial"/>
        </w:rPr>
        <w:t xml:space="preserve"> </w:t>
      </w:r>
      <w:r w:rsidR="00D6694E">
        <w:rPr>
          <w:rFonts w:ascii="Arial" w:hAnsi="Arial" w:cs="Arial"/>
        </w:rPr>
        <w:t>and</w:t>
      </w:r>
      <w:r w:rsidR="0018614C">
        <w:rPr>
          <w:rFonts w:ascii="Arial" w:hAnsi="Arial" w:cs="Arial"/>
        </w:rPr>
        <w:t xml:space="preserve"> </w:t>
      </w:r>
      <w:r w:rsidR="004119BB" w:rsidRPr="004119BB">
        <w:rPr>
          <w:rFonts w:ascii="Arial" w:hAnsi="Arial" w:cs="Arial"/>
        </w:rPr>
        <w:t xml:space="preserve">price increases leading to </w:t>
      </w:r>
      <w:r w:rsidR="004119BB">
        <w:rPr>
          <w:rFonts w:ascii="Arial" w:hAnsi="Arial" w:cs="Arial"/>
        </w:rPr>
        <w:t xml:space="preserve">a </w:t>
      </w:r>
      <w:r w:rsidR="004119BB" w:rsidRPr="004119BB">
        <w:rPr>
          <w:rFonts w:ascii="Arial" w:hAnsi="Arial" w:cs="Arial"/>
        </w:rPr>
        <w:t>positive mix</w:t>
      </w:r>
      <w:r w:rsidR="004119BB">
        <w:rPr>
          <w:rFonts w:ascii="Arial" w:hAnsi="Arial" w:cs="Arial"/>
        </w:rPr>
        <w:t>/</w:t>
      </w:r>
      <w:r w:rsidR="004119BB" w:rsidRPr="004119BB">
        <w:rPr>
          <w:rFonts w:ascii="Arial" w:hAnsi="Arial" w:cs="Arial"/>
        </w:rPr>
        <w:t>price</w:t>
      </w:r>
      <w:r w:rsidR="004119BB">
        <w:rPr>
          <w:rFonts w:ascii="Arial" w:hAnsi="Arial" w:cs="Arial"/>
        </w:rPr>
        <w:t>/</w:t>
      </w:r>
      <w:r w:rsidR="004119BB" w:rsidRPr="004119BB">
        <w:rPr>
          <w:rFonts w:ascii="Arial" w:hAnsi="Arial" w:cs="Arial"/>
        </w:rPr>
        <w:t xml:space="preserve">enrichment effect of € million. </w:t>
      </w:r>
      <w:r w:rsidR="00D61D34">
        <w:rPr>
          <w:rFonts w:ascii="Arial" w:hAnsi="Arial" w:cs="Arial"/>
        </w:rPr>
        <w:t xml:space="preserve"> </w:t>
      </w:r>
    </w:p>
    <w:p w14:paraId="7D06D724" w14:textId="237F15EB" w:rsidR="007D0E41" w:rsidRPr="00F41250" w:rsidRDefault="0052718E" w:rsidP="00351EAB">
      <w:pPr>
        <w:spacing w:after="0" w:line="250" w:lineRule="auto"/>
        <w:ind w:left="1349" w:right="368"/>
        <w:jc w:val="both"/>
        <w:rPr>
          <w:rFonts w:ascii="Arial" w:hAnsi="Arial" w:cs="Arial"/>
        </w:rPr>
      </w:pPr>
      <w:r w:rsidRPr="00AD6736">
        <w:rPr>
          <w:rFonts w:ascii="Arial" w:hAnsi="Arial" w:cs="Arial"/>
        </w:rPr>
        <w:t xml:space="preserve">The </w:t>
      </w:r>
      <w:r w:rsidRPr="00AD6736">
        <w:rPr>
          <w:rFonts w:ascii="Arial" w:hAnsi="Arial" w:cs="Arial"/>
          <w:b/>
          <w:bCs/>
        </w:rPr>
        <w:t xml:space="preserve">AVTOVAZ operating margin </w:t>
      </w:r>
      <w:r w:rsidR="00DC5778">
        <w:rPr>
          <w:rFonts w:ascii="Arial" w:hAnsi="Arial" w:cs="Arial"/>
          <w:b/>
          <w:bCs/>
        </w:rPr>
        <w:t xml:space="preserve">contribution </w:t>
      </w:r>
      <w:r w:rsidR="00402AE0">
        <w:rPr>
          <w:rFonts w:ascii="Arial" w:hAnsi="Arial" w:cs="Arial"/>
        </w:rPr>
        <w:t>rose</w:t>
      </w:r>
      <w:r w:rsidR="00E92797" w:rsidRPr="00AD6736">
        <w:rPr>
          <w:rFonts w:ascii="Arial" w:hAnsi="Arial" w:cs="Arial"/>
        </w:rPr>
        <w:t xml:space="preserve"> to € million, compared to €</w:t>
      </w:r>
      <w:r w:rsidR="00D61D34">
        <w:rPr>
          <w:rFonts w:ascii="Arial" w:hAnsi="Arial" w:cs="Arial"/>
        </w:rPr>
        <w:t xml:space="preserve"> </w:t>
      </w:r>
      <w:r w:rsidR="00E92797" w:rsidRPr="00AD6736">
        <w:rPr>
          <w:rFonts w:ascii="Arial" w:hAnsi="Arial" w:cs="Arial"/>
        </w:rPr>
        <w:t>million in 2017, and mark</w:t>
      </w:r>
      <w:r w:rsidR="00A00023">
        <w:rPr>
          <w:rFonts w:ascii="Arial" w:hAnsi="Arial" w:cs="Arial"/>
        </w:rPr>
        <w:t>ed</w:t>
      </w:r>
      <w:r w:rsidR="00E92797" w:rsidRPr="00AD6736">
        <w:rPr>
          <w:rFonts w:ascii="Arial" w:hAnsi="Arial" w:cs="Arial"/>
        </w:rPr>
        <w:t xml:space="preserve"> a new stage in the company's recovery</w:t>
      </w:r>
      <w:r w:rsidR="001F539C">
        <w:rPr>
          <w:rFonts w:ascii="Arial" w:hAnsi="Arial" w:cs="Arial"/>
        </w:rPr>
        <w:t xml:space="preserve"> thanks to </w:t>
      </w:r>
      <w:r w:rsidR="001F539C" w:rsidRPr="001F539C">
        <w:rPr>
          <w:rFonts w:ascii="Arial" w:hAnsi="Arial" w:cs="Arial"/>
        </w:rPr>
        <w:t>the success of its recently launched models in a recovering market</w:t>
      </w:r>
      <w:r w:rsidR="001F539C">
        <w:rPr>
          <w:rFonts w:ascii="Arial" w:hAnsi="Arial" w:cs="Arial"/>
        </w:rPr>
        <w:t xml:space="preserve"> and</w:t>
      </w:r>
      <w:r w:rsidR="001F539C" w:rsidRPr="001F539C">
        <w:rPr>
          <w:rFonts w:ascii="Arial" w:hAnsi="Arial" w:cs="Arial"/>
        </w:rPr>
        <w:t xml:space="preserve"> efforts to streamline costs</w:t>
      </w:r>
      <w:r w:rsidR="001F539C">
        <w:rPr>
          <w:rFonts w:ascii="Arial" w:hAnsi="Arial" w:cs="Arial"/>
        </w:rPr>
        <w:t>. In addition, AVTOVAZ benefited</w:t>
      </w:r>
      <w:r w:rsidR="002F361F">
        <w:rPr>
          <w:rFonts w:ascii="Arial" w:hAnsi="Arial" w:cs="Arial"/>
        </w:rPr>
        <w:t>,</w:t>
      </w:r>
      <w:r w:rsidR="001F539C">
        <w:rPr>
          <w:rFonts w:ascii="Arial" w:hAnsi="Arial" w:cs="Arial"/>
        </w:rPr>
        <w:t xml:space="preserve"> in 2018</w:t>
      </w:r>
      <w:r w:rsidR="002F361F">
        <w:rPr>
          <w:rFonts w:ascii="Arial" w:hAnsi="Arial" w:cs="Arial"/>
        </w:rPr>
        <w:t>,</w:t>
      </w:r>
      <w:r w:rsidR="001F539C">
        <w:rPr>
          <w:rFonts w:ascii="Arial" w:hAnsi="Arial" w:cs="Arial"/>
        </w:rPr>
        <w:t xml:space="preserve"> from </w:t>
      </w:r>
      <w:r w:rsidR="001F539C" w:rsidRPr="001F539C">
        <w:rPr>
          <w:rFonts w:ascii="Arial" w:hAnsi="Arial" w:cs="Arial"/>
        </w:rPr>
        <w:t>positive non</w:t>
      </w:r>
      <w:r w:rsidR="001F539C">
        <w:rPr>
          <w:rFonts w:ascii="Arial" w:hAnsi="Arial" w:cs="Arial"/>
        </w:rPr>
        <w:t>-</w:t>
      </w:r>
      <w:r w:rsidR="001F539C" w:rsidRPr="001F539C">
        <w:rPr>
          <w:rFonts w:ascii="Arial" w:hAnsi="Arial" w:cs="Arial"/>
        </w:rPr>
        <w:t xml:space="preserve">recurring </w:t>
      </w:r>
      <w:r w:rsidR="00A00023">
        <w:rPr>
          <w:rFonts w:ascii="Arial" w:hAnsi="Arial" w:cs="Arial"/>
        </w:rPr>
        <w:t>effects</w:t>
      </w:r>
      <w:r w:rsidR="001F539C" w:rsidRPr="001F539C">
        <w:rPr>
          <w:rFonts w:ascii="Arial" w:hAnsi="Arial" w:cs="Arial"/>
        </w:rPr>
        <w:t>.</w:t>
      </w:r>
    </w:p>
    <w:p w14:paraId="0A7877F8" w14:textId="77777777" w:rsidR="007D0E41" w:rsidRPr="00F41250" w:rsidRDefault="007D0E41" w:rsidP="00351EAB">
      <w:pPr>
        <w:spacing w:after="0" w:line="250" w:lineRule="auto"/>
        <w:ind w:left="1349" w:right="368"/>
        <w:jc w:val="both"/>
        <w:rPr>
          <w:rFonts w:ascii="Arial" w:hAnsi="Arial" w:cs="Arial"/>
        </w:rPr>
      </w:pPr>
    </w:p>
    <w:p w14:paraId="5256838A" w14:textId="2830D7D1" w:rsidR="007D0E41" w:rsidRPr="00F41250" w:rsidRDefault="007D0E41" w:rsidP="00351EAB">
      <w:pPr>
        <w:spacing w:line="250" w:lineRule="auto"/>
        <w:ind w:left="1349" w:right="368"/>
        <w:jc w:val="both"/>
        <w:rPr>
          <w:rFonts w:ascii="Arial" w:hAnsi="Arial" w:cs="Arial"/>
        </w:rPr>
      </w:pPr>
      <w:r w:rsidRPr="00F41250">
        <w:rPr>
          <w:rFonts w:ascii="Arial" w:hAnsi="Arial" w:cs="Arial"/>
          <w:b/>
        </w:rPr>
        <w:t>Sales Financing</w:t>
      </w:r>
      <w:r w:rsidRPr="00AD6736">
        <w:rPr>
          <w:rFonts w:ascii="Arial" w:hAnsi="Arial" w:cs="Arial"/>
        </w:rPr>
        <w:t xml:space="preserve"> </w:t>
      </w:r>
      <w:r w:rsidRPr="00F41250">
        <w:rPr>
          <w:rFonts w:ascii="Arial" w:hAnsi="Arial" w:cs="Arial"/>
        </w:rPr>
        <w:t>contributed €</w:t>
      </w:r>
      <w:r w:rsidRPr="00AD6736">
        <w:rPr>
          <w:rFonts w:ascii="Arial" w:hAnsi="Arial" w:cs="Arial"/>
        </w:rPr>
        <w:t xml:space="preserve"> million to the Group’s operating margin, compared to € million in</w:t>
      </w:r>
      <w:r w:rsidRPr="00AD6736">
        <w:rPr>
          <w:rFonts w:ascii="Arial" w:hAnsi="Arial" w:cs="Arial"/>
          <w:vertAlign w:val="superscript"/>
        </w:rPr>
        <w:t xml:space="preserve"> </w:t>
      </w:r>
      <w:r w:rsidRPr="00F41250">
        <w:rPr>
          <w:rFonts w:ascii="Arial" w:hAnsi="Arial" w:cs="Arial"/>
        </w:rPr>
        <w:t>2017</w:t>
      </w:r>
      <w:r w:rsidR="006B70A0" w:rsidRPr="00AD6736">
        <w:rPr>
          <w:rFonts w:ascii="Arial" w:hAnsi="Arial" w:cs="Arial"/>
        </w:rPr>
        <w:t xml:space="preserve">. This rise of nearly % </w:t>
      </w:r>
      <w:r w:rsidR="002A42C1">
        <w:rPr>
          <w:rFonts w:ascii="Arial" w:hAnsi="Arial" w:cs="Arial"/>
        </w:rPr>
        <w:t>was</w:t>
      </w:r>
      <w:r w:rsidR="006B70A0" w:rsidRPr="00AD6736">
        <w:rPr>
          <w:rFonts w:ascii="Arial" w:hAnsi="Arial" w:cs="Arial"/>
        </w:rPr>
        <w:t xml:space="preserve"> </w:t>
      </w:r>
      <w:r w:rsidR="00382DC7">
        <w:rPr>
          <w:rFonts w:ascii="Arial" w:hAnsi="Arial" w:cs="Arial"/>
        </w:rPr>
        <w:t xml:space="preserve">notably </w:t>
      </w:r>
      <w:r w:rsidR="006B70A0" w:rsidRPr="00AD6736">
        <w:rPr>
          <w:rFonts w:ascii="Arial" w:hAnsi="Arial" w:cs="Arial"/>
        </w:rPr>
        <w:t xml:space="preserve">due to the </w:t>
      </w:r>
      <w:r w:rsidR="002A42C1">
        <w:rPr>
          <w:rFonts w:ascii="Arial" w:hAnsi="Arial" w:cs="Arial"/>
        </w:rPr>
        <w:t>good</w:t>
      </w:r>
      <w:r w:rsidR="002A42C1" w:rsidRPr="00AD6736">
        <w:rPr>
          <w:rFonts w:ascii="Arial" w:hAnsi="Arial" w:cs="Arial"/>
        </w:rPr>
        <w:t xml:space="preserve"> </w:t>
      </w:r>
      <w:r w:rsidR="006B70A0" w:rsidRPr="00AD6736">
        <w:rPr>
          <w:rFonts w:ascii="Arial" w:hAnsi="Arial" w:cs="Arial"/>
        </w:rPr>
        <w:t>commercial performance in recent years.</w:t>
      </w:r>
    </w:p>
    <w:p w14:paraId="5C01367F" w14:textId="1E61BD55" w:rsidR="007D0E41" w:rsidRPr="00F41250" w:rsidRDefault="007D0E41" w:rsidP="00351EAB">
      <w:pPr>
        <w:spacing w:after="0" w:line="250" w:lineRule="auto"/>
        <w:ind w:left="1349" w:right="368"/>
        <w:jc w:val="both"/>
        <w:rPr>
          <w:rFonts w:ascii="Arial" w:hAnsi="Arial" w:cs="Arial"/>
        </w:rPr>
      </w:pPr>
      <w:r w:rsidRPr="00F41250">
        <w:rPr>
          <w:rFonts w:ascii="Arial" w:hAnsi="Arial" w:cs="Arial"/>
          <w:b/>
        </w:rPr>
        <w:t>Other</w:t>
      </w:r>
      <w:r w:rsidRPr="00AD6736">
        <w:rPr>
          <w:rFonts w:ascii="Arial" w:hAnsi="Arial" w:cs="Arial"/>
        </w:rPr>
        <w:t xml:space="preserve"> </w:t>
      </w:r>
      <w:r w:rsidRPr="00AD6736">
        <w:rPr>
          <w:rFonts w:ascii="Arial" w:hAnsi="Arial" w:cs="Arial"/>
          <w:b/>
          <w:bCs/>
        </w:rPr>
        <w:t>operating income and expense</w:t>
      </w:r>
      <w:r w:rsidR="00793C6D">
        <w:rPr>
          <w:rFonts w:ascii="Arial" w:hAnsi="Arial" w:cs="Arial"/>
          <w:b/>
          <w:bCs/>
        </w:rPr>
        <w:t>s</w:t>
      </w:r>
      <w:r w:rsidRPr="00AD6736">
        <w:rPr>
          <w:rFonts w:ascii="Arial" w:hAnsi="Arial" w:cs="Arial"/>
          <w:b/>
          <w:bCs/>
        </w:rPr>
        <w:t xml:space="preserve"> amounted</w:t>
      </w:r>
      <w:r w:rsidRPr="00AD6736">
        <w:rPr>
          <w:rFonts w:ascii="Arial" w:hAnsi="Arial" w:cs="Arial"/>
        </w:rPr>
        <w:t xml:space="preserve"> to € million (compared </w:t>
      </w:r>
      <w:r w:rsidR="00463FB3">
        <w:rPr>
          <w:rFonts w:ascii="Arial" w:hAnsi="Arial" w:cs="Arial"/>
        </w:rPr>
        <w:br/>
      </w:r>
      <w:r w:rsidRPr="00AD6736">
        <w:rPr>
          <w:rFonts w:ascii="Arial" w:hAnsi="Arial" w:cs="Arial"/>
        </w:rPr>
        <w:t>to</w:t>
      </w:r>
      <w:r w:rsidR="00D61D34">
        <w:rPr>
          <w:rFonts w:ascii="Arial" w:hAnsi="Arial" w:cs="Arial"/>
        </w:rPr>
        <w:t xml:space="preserve"> </w:t>
      </w:r>
      <w:r w:rsidRPr="00AD6736">
        <w:rPr>
          <w:rFonts w:ascii="Arial" w:hAnsi="Arial" w:cs="Arial"/>
        </w:rPr>
        <w:t>€ million in 2017). This sharp deterioration stem</w:t>
      </w:r>
      <w:r w:rsidR="002A42C1">
        <w:rPr>
          <w:rFonts w:ascii="Arial" w:hAnsi="Arial" w:cs="Arial"/>
        </w:rPr>
        <w:t>med</w:t>
      </w:r>
      <w:r w:rsidRPr="00AD6736">
        <w:rPr>
          <w:rFonts w:ascii="Arial" w:hAnsi="Arial" w:cs="Arial"/>
        </w:rPr>
        <w:t xml:space="preserve"> mainly from two factors: on the one hand, the consequences of the Argentin</w:t>
      </w:r>
      <w:r w:rsidR="007F1D48">
        <w:rPr>
          <w:rFonts w:ascii="Arial" w:hAnsi="Arial" w:cs="Arial"/>
        </w:rPr>
        <w:t>ean</w:t>
      </w:r>
      <w:r w:rsidRPr="00AD6736">
        <w:rPr>
          <w:rFonts w:ascii="Arial" w:hAnsi="Arial" w:cs="Arial"/>
        </w:rPr>
        <w:t xml:space="preserve"> crisis for more than € million, and on the other hand, restructuring expenses, mainly relating to the </w:t>
      </w:r>
      <w:r w:rsidR="002311F9">
        <w:rPr>
          <w:rFonts w:ascii="Arial" w:hAnsi="Arial" w:cs="Arial"/>
        </w:rPr>
        <w:t>amendment</w:t>
      </w:r>
      <w:r w:rsidR="005F67CD">
        <w:rPr>
          <w:rFonts w:ascii="Arial" w:hAnsi="Arial" w:cs="Arial"/>
        </w:rPr>
        <w:t xml:space="preserve"> of the “</w:t>
      </w:r>
      <w:proofErr w:type="spellStart"/>
      <w:r w:rsidR="005F67CD" w:rsidRPr="002311F9">
        <w:rPr>
          <w:rFonts w:ascii="Arial" w:hAnsi="Arial" w:cs="Arial"/>
        </w:rPr>
        <w:t>Contrat</w:t>
      </w:r>
      <w:proofErr w:type="spellEnd"/>
      <w:r w:rsidR="005F67CD" w:rsidRPr="002311F9">
        <w:rPr>
          <w:rFonts w:ascii="Arial" w:hAnsi="Arial" w:cs="Arial"/>
        </w:rPr>
        <w:t xml:space="preserve"> </w:t>
      </w:r>
      <w:proofErr w:type="spellStart"/>
      <w:r w:rsidR="005F67CD" w:rsidRPr="002311F9">
        <w:rPr>
          <w:rFonts w:ascii="Arial" w:hAnsi="Arial" w:cs="Arial"/>
        </w:rPr>
        <w:t>d’Activité</w:t>
      </w:r>
      <w:proofErr w:type="spellEnd"/>
      <w:r w:rsidR="005F67CD" w:rsidRPr="002311F9">
        <w:rPr>
          <w:rFonts w:ascii="Arial" w:hAnsi="Arial" w:cs="Arial"/>
        </w:rPr>
        <w:t xml:space="preserve"> pour </w:t>
      </w:r>
      <w:proofErr w:type="spellStart"/>
      <w:r w:rsidR="005F67CD" w:rsidRPr="002311F9">
        <w:rPr>
          <w:rFonts w:ascii="Arial" w:hAnsi="Arial" w:cs="Arial"/>
        </w:rPr>
        <w:t>une</w:t>
      </w:r>
      <w:proofErr w:type="spellEnd"/>
      <w:r w:rsidR="005F67CD" w:rsidRPr="002311F9">
        <w:rPr>
          <w:rFonts w:ascii="Arial" w:hAnsi="Arial" w:cs="Arial"/>
        </w:rPr>
        <w:t xml:space="preserve"> Performance durable CAP 2020</w:t>
      </w:r>
      <w:r w:rsidR="005F67CD">
        <w:rPr>
          <w:rFonts w:ascii="Arial" w:hAnsi="Arial" w:cs="Arial"/>
        </w:rPr>
        <w:t>”</w:t>
      </w:r>
      <w:r w:rsidR="006C3C40" w:rsidRPr="00463FB3">
        <w:rPr>
          <w:rFonts w:ascii="Arial" w:eastAsia="Arial" w:hAnsi="Arial" w:cs="Arial"/>
          <w:bCs/>
          <w:szCs w:val="20"/>
        </w:rPr>
        <w:t xml:space="preserve"> in France</w:t>
      </w:r>
      <w:r w:rsidRPr="00AD6736">
        <w:rPr>
          <w:rFonts w:ascii="Arial" w:hAnsi="Arial" w:cs="Arial"/>
        </w:rPr>
        <w:t xml:space="preserve">, </w:t>
      </w:r>
      <w:r w:rsidR="00A57FC2">
        <w:rPr>
          <w:rFonts w:ascii="Arial" w:hAnsi="Arial" w:cs="Arial"/>
        </w:rPr>
        <w:t>for</w:t>
      </w:r>
      <w:r w:rsidR="00A57FC2" w:rsidRPr="00AD6736">
        <w:rPr>
          <w:rFonts w:ascii="Arial" w:hAnsi="Arial" w:cs="Arial"/>
        </w:rPr>
        <w:t xml:space="preserve"> </w:t>
      </w:r>
      <w:r w:rsidRPr="00AD6736">
        <w:rPr>
          <w:rFonts w:ascii="Arial" w:hAnsi="Arial" w:cs="Arial"/>
        </w:rPr>
        <w:t>nearly € million.</w:t>
      </w:r>
    </w:p>
    <w:p w14:paraId="35949F86" w14:textId="77777777" w:rsidR="007D0E41" w:rsidRPr="00F41250" w:rsidRDefault="007D0E41" w:rsidP="00351EAB">
      <w:pPr>
        <w:spacing w:after="0" w:line="250" w:lineRule="auto"/>
        <w:ind w:left="1349" w:right="368"/>
        <w:jc w:val="both"/>
        <w:rPr>
          <w:rFonts w:ascii="Arial" w:hAnsi="Arial" w:cs="Arial"/>
        </w:rPr>
      </w:pPr>
    </w:p>
    <w:p w14:paraId="21B8950C" w14:textId="13349569" w:rsidR="007D0E41" w:rsidRPr="00F41250" w:rsidRDefault="007D0E41" w:rsidP="00351EAB">
      <w:pPr>
        <w:spacing w:after="0" w:line="250" w:lineRule="auto"/>
        <w:ind w:left="1349" w:right="368"/>
        <w:jc w:val="both"/>
        <w:rPr>
          <w:rFonts w:ascii="Arial" w:hAnsi="Arial" w:cs="Arial"/>
        </w:rPr>
      </w:pPr>
      <w:r w:rsidRPr="00B508E5">
        <w:rPr>
          <w:rFonts w:ascii="Arial" w:hAnsi="Arial" w:cs="Arial"/>
        </w:rPr>
        <w:t xml:space="preserve">The </w:t>
      </w:r>
      <w:r w:rsidRPr="00B73E3B">
        <w:rPr>
          <w:rFonts w:ascii="Arial" w:hAnsi="Arial" w:cs="Arial"/>
          <w:b/>
        </w:rPr>
        <w:t>Group’s</w:t>
      </w:r>
      <w:r w:rsidRPr="00AD6736">
        <w:rPr>
          <w:rFonts w:ascii="Arial" w:hAnsi="Arial" w:cs="Arial"/>
          <w:b/>
        </w:rPr>
        <w:t xml:space="preserve"> operating</w:t>
      </w:r>
      <w:r w:rsidRPr="00AD6736">
        <w:rPr>
          <w:rFonts w:ascii="Arial" w:hAnsi="Arial" w:cs="Arial"/>
        </w:rPr>
        <w:t xml:space="preserve"> </w:t>
      </w:r>
      <w:r w:rsidRPr="00B508E5">
        <w:rPr>
          <w:rFonts w:ascii="Arial" w:hAnsi="Arial" w:cs="Arial"/>
          <w:b/>
        </w:rPr>
        <w:t>income</w:t>
      </w:r>
      <w:r w:rsidRPr="00AD6736">
        <w:rPr>
          <w:rFonts w:ascii="Arial" w:hAnsi="Arial" w:cs="Arial"/>
        </w:rPr>
        <w:t xml:space="preserve"> came to €</w:t>
      </w:r>
      <w:r w:rsidR="00D61D34">
        <w:rPr>
          <w:rFonts w:ascii="Arial" w:hAnsi="Arial" w:cs="Arial"/>
        </w:rPr>
        <w:t xml:space="preserve"> </w:t>
      </w:r>
      <w:r w:rsidRPr="00AD6736">
        <w:rPr>
          <w:rFonts w:ascii="Arial" w:hAnsi="Arial" w:cs="Arial"/>
        </w:rPr>
        <w:t>million, compared to €</w:t>
      </w:r>
      <w:r w:rsidR="00D61D34">
        <w:rPr>
          <w:rFonts w:ascii="Arial" w:hAnsi="Arial" w:cs="Arial"/>
        </w:rPr>
        <w:t xml:space="preserve"> </w:t>
      </w:r>
      <w:r w:rsidRPr="00AD6736">
        <w:rPr>
          <w:rFonts w:ascii="Arial" w:hAnsi="Arial" w:cs="Arial"/>
        </w:rPr>
        <w:t>million in 2017.</w:t>
      </w:r>
    </w:p>
    <w:p w14:paraId="413ABE22" w14:textId="77777777" w:rsidR="00DD24D7" w:rsidRPr="00F41250" w:rsidRDefault="00DD24D7" w:rsidP="00351EAB">
      <w:pPr>
        <w:spacing w:after="0" w:line="250" w:lineRule="auto"/>
        <w:ind w:left="1349" w:right="368"/>
        <w:jc w:val="both"/>
        <w:rPr>
          <w:rFonts w:ascii="Arial" w:hAnsi="Arial" w:cs="Arial"/>
        </w:rPr>
      </w:pPr>
    </w:p>
    <w:p w14:paraId="059CF0DA" w14:textId="1B7A5A52" w:rsidR="009E781C" w:rsidRPr="00F41250" w:rsidRDefault="002E35EE" w:rsidP="00351EAB">
      <w:pPr>
        <w:spacing w:after="0" w:line="250" w:lineRule="auto"/>
        <w:ind w:left="1349" w:right="368"/>
        <w:jc w:val="both"/>
        <w:rPr>
          <w:rFonts w:ascii="Arial" w:hAnsi="Arial" w:cs="Arial"/>
        </w:rPr>
      </w:pPr>
      <w:r>
        <w:rPr>
          <w:rFonts w:ascii="Arial" w:hAnsi="Arial" w:cs="Arial"/>
          <w:b/>
        </w:rPr>
        <w:t>F</w:t>
      </w:r>
      <w:r w:rsidR="009E781C" w:rsidRPr="00F41250">
        <w:rPr>
          <w:rFonts w:ascii="Arial" w:hAnsi="Arial" w:cs="Arial"/>
          <w:b/>
          <w:bCs/>
        </w:rPr>
        <w:t xml:space="preserve">inancial </w:t>
      </w:r>
      <w:r w:rsidR="009E781C" w:rsidRPr="00F41250">
        <w:rPr>
          <w:rFonts w:ascii="Arial" w:hAnsi="Arial" w:cs="Arial"/>
          <w:b/>
        </w:rPr>
        <w:t>income</w:t>
      </w:r>
      <w:r w:rsidR="009E781C" w:rsidRPr="00AD6736">
        <w:rPr>
          <w:rFonts w:ascii="Arial" w:hAnsi="Arial" w:cs="Arial"/>
        </w:rPr>
        <w:t xml:space="preserve"> amounted to €</w:t>
      </w:r>
      <w:r w:rsidR="00D61D34">
        <w:rPr>
          <w:rFonts w:ascii="Arial" w:hAnsi="Arial" w:cs="Arial"/>
        </w:rPr>
        <w:t xml:space="preserve"> </w:t>
      </w:r>
      <w:r w:rsidR="009E781C" w:rsidRPr="00AD6736">
        <w:rPr>
          <w:rFonts w:ascii="Arial" w:hAnsi="Arial" w:cs="Arial"/>
        </w:rPr>
        <w:t>million, compared to € million in 2017 (</w:t>
      </w:r>
      <w:r w:rsidR="002A42C1" w:rsidRPr="002A42C1">
        <w:rPr>
          <w:rFonts w:ascii="Arial" w:hAnsi="Arial" w:cs="Arial"/>
        </w:rPr>
        <w:t xml:space="preserve">after </w:t>
      </w:r>
      <w:proofErr w:type="gramStart"/>
      <w:r w:rsidR="002A42C1" w:rsidRPr="002A42C1">
        <w:rPr>
          <w:rFonts w:ascii="Arial" w:hAnsi="Arial" w:cs="Arial"/>
        </w:rPr>
        <w:t>taking into account</w:t>
      </w:r>
      <w:proofErr w:type="gramEnd"/>
      <w:r w:rsidR="002A42C1" w:rsidRPr="002A42C1">
        <w:rPr>
          <w:rFonts w:ascii="Arial" w:hAnsi="Arial" w:cs="Arial"/>
        </w:rPr>
        <w:t xml:space="preserve"> the change in the </w:t>
      </w:r>
      <w:r w:rsidR="002A42C1">
        <w:rPr>
          <w:rFonts w:ascii="Arial" w:hAnsi="Arial" w:cs="Arial"/>
        </w:rPr>
        <w:t xml:space="preserve">accounting </w:t>
      </w:r>
      <w:r w:rsidR="002A42C1" w:rsidRPr="002A42C1">
        <w:rPr>
          <w:rFonts w:ascii="Arial" w:hAnsi="Arial" w:cs="Arial"/>
        </w:rPr>
        <w:t xml:space="preserve">method </w:t>
      </w:r>
      <w:r w:rsidR="009E781C" w:rsidRPr="00AD6736">
        <w:rPr>
          <w:rFonts w:ascii="Arial" w:hAnsi="Arial" w:cs="Arial"/>
        </w:rPr>
        <w:t xml:space="preserve">for redeemable shares). </w:t>
      </w:r>
      <w:r w:rsidR="002E249C">
        <w:rPr>
          <w:rFonts w:ascii="Arial" w:hAnsi="Arial" w:cs="Arial"/>
        </w:rPr>
        <w:t>I</w:t>
      </w:r>
      <w:r w:rsidR="009E781C" w:rsidRPr="00AD6736">
        <w:rPr>
          <w:rFonts w:ascii="Arial" w:hAnsi="Arial" w:cs="Arial"/>
        </w:rPr>
        <w:t>mprovement</w:t>
      </w:r>
      <w:r w:rsidR="002E249C">
        <w:rPr>
          <w:rFonts w:ascii="Arial" w:hAnsi="Arial" w:cs="Arial"/>
        </w:rPr>
        <w:t>s</w:t>
      </w:r>
      <w:r w:rsidR="009E781C" w:rsidRPr="00AD6736">
        <w:rPr>
          <w:rFonts w:ascii="Arial" w:hAnsi="Arial" w:cs="Arial"/>
        </w:rPr>
        <w:t xml:space="preserve"> in the Group's </w:t>
      </w:r>
      <w:r w:rsidR="002A42C1">
        <w:rPr>
          <w:rFonts w:ascii="Arial" w:hAnsi="Arial" w:cs="Arial"/>
        </w:rPr>
        <w:t xml:space="preserve">funding </w:t>
      </w:r>
      <w:r w:rsidR="009E781C" w:rsidRPr="00AD6736">
        <w:rPr>
          <w:rFonts w:ascii="Arial" w:hAnsi="Arial" w:cs="Arial"/>
        </w:rPr>
        <w:t xml:space="preserve">cost allowed it to absorb </w:t>
      </w:r>
      <w:r w:rsidR="00A57FC2">
        <w:rPr>
          <w:rFonts w:ascii="Arial" w:hAnsi="Arial" w:cs="Arial"/>
        </w:rPr>
        <w:t xml:space="preserve">a </w:t>
      </w:r>
      <w:r w:rsidR="009E781C" w:rsidRPr="00AD6736">
        <w:rPr>
          <w:rFonts w:ascii="Arial" w:hAnsi="Arial" w:cs="Arial"/>
        </w:rPr>
        <w:t xml:space="preserve">€ million </w:t>
      </w:r>
      <w:r w:rsidR="00CA19E0">
        <w:rPr>
          <w:rFonts w:ascii="Arial" w:hAnsi="Arial" w:cs="Arial"/>
        </w:rPr>
        <w:t xml:space="preserve">expense </w:t>
      </w:r>
      <w:r w:rsidR="009E781C" w:rsidRPr="00AD6736">
        <w:rPr>
          <w:rFonts w:ascii="Arial" w:hAnsi="Arial" w:cs="Arial"/>
        </w:rPr>
        <w:t xml:space="preserve">relating </w:t>
      </w:r>
      <w:r w:rsidR="009E781C" w:rsidRPr="00BB2909">
        <w:rPr>
          <w:rFonts w:ascii="Arial" w:hAnsi="Arial" w:cs="Arial"/>
        </w:rPr>
        <w:t xml:space="preserve">to </w:t>
      </w:r>
      <w:r w:rsidR="002F2662" w:rsidRPr="00B73E3B">
        <w:rPr>
          <w:rFonts w:ascii="Arial" w:hAnsi="Arial" w:cs="Arial"/>
        </w:rPr>
        <w:t xml:space="preserve">the application of accounting rules </w:t>
      </w:r>
      <w:r w:rsidR="00BB2909" w:rsidRPr="00BB2909">
        <w:rPr>
          <w:rFonts w:ascii="Arial" w:hAnsi="Arial" w:cs="Arial"/>
        </w:rPr>
        <w:t>linked to Argentina's hyperinflation situation</w:t>
      </w:r>
      <w:r w:rsidR="002F2662">
        <w:rPr>
          <w:rFonts w:ascii="Arial" w:hAnsi="Arial" w:cs="Arial"/>
        </w:rPr>
        <w:t xml:space="preserve">. </w:t>
      </w:r>
    </w:p>
    <w:p w14:paraId="08E34ABF" w14:textId="12B73DC8" w:rsidR="00162E19" w:rsidRDefault="00162E19" w:rsidP="00351EAB">
      <w:pPr>
        <w:spacing w:after="0" w:line="250" w:lineRule="auto"/>
        <w:ind w:right="368"/>
        <w:jc w:val="both"/>
        <w:rPr>
          <w:rFonts w:ascii="Arial" w:hAnsi="Arial" w:cs="Arial"/>
        </w:rPr>
      </w:pPr>
    </w:p>
    <w:p w14:paraId="1AC9E492" w14:textId="77777777" w:rsidR="00162E19" w:rsidRPr="00F41250" w:rsidRDefault="00162E19" w:rsidP="00351EAB">
      <w:pPr>
        <w:spacing w:after="0" w:line="250" w:lineRule="auto"/>
        <w:ind w:right="368"/>
        <w:jc w:val="both"/>
        <w:rPr>
          <w:rFonts w:ascii="Arial" w:hAnsi="Arial" w:cs="Arial"/>
        </w:rPr>
      </w:pPr>
    </w:p>
    <w:p w14:paraId="241AC136" w14:textId="0EDF8E06" w:rsidR="006E7ABB" w:rsidRDefault="007D0E41" w:rsidP="00463FB3">
      <w:pPr>
        <w:ind w:left="1349" w:right="368"/>
        <w:jc w:val="both"/>
        <w:rPr>
          <w:rFonts w:ascii="Arial" w:hAnsi="Arial" w:cs="Arial"/>
          <w:b/>
        </w:rPr>
      </w:pPr>
      <w:r w:rsidRPr="00E802A9">
        <w:rPr>
          <w:rFonts w:ascii="Arial" w:hAnsi="Arial" w:cs="Arial"/>
        </w:rPr>
        <w:t xml:space="preserve">The </w:t>
      </w:r>
      <w:r w:rsidRPr="00E802A9">
        <w:rPr>
          <w:rFonts w:ascii="Arial" w:hAnsi="Arial" w:cs="Arial"/>
          <w:b/>
          <w:bCs/>
        </w:rPr>
        <w:t>contribution of associated</w:t>
      </w:r>
      <w:r w:rsidRPr="00E802A9">
        <w:rPr>
          <w:rFonts w:ascii="Arial" w:hAnsi="Arial" w:cs="Arial"/>
        </w:rPr>
        <w:t xml:space="preserve"> </w:t>
      </w:r>
      <w:r w:rsidRPr="00F41250">
        <w:rPr>
          <w:rFonts w:ascii="Arial" w:hAnsi="Arial" w:cs="Arial"/>
          <w:b/>
        </w:rPr>
        <w:t>companies</w:t>
      </w:r>
      <w:r w:rsidRPr="00E802A9">
        <w:rPr>
          <w:rFonts w:ascii="Arial" w:hAnsi="Arial" w:cs="Arial"/>
        </w:rPr>
        <w:t>, primarily Nissan, came to €</w:t>
      </w:r>
      <w:r w:rsidR="00634237" w:rsidRPr="00E802A9">
        <w:rPr>
          <w:rFonts w:ascii="Arial" w:hAnsi="Arial" w:cs="Arial"/>
        </w:rPr>
        <w:t xml:space="preserve"> million, compared to € million in 2017. </w:t>
      </w:r>
      <w:r w:rsidR="00093600">
        <w:rPr>
          <w:rFonts w:ascii="Arial" w:hAnsi="Arial" w:cs="Arial"/>
        </w:rPr>
        <w:t xml:space="preserve">In 2017, </w:t>
      </w:r>
      <w:r w:rsidR="00634237" w:rsidRPr="00E802A9">
        <w:rPr>
          <w:rFonts w:ascii="Arial" w:hAnsi="Arial" w:cs="Arial"/>
        </w:rPr>
        <w:t>Nissan's contribution include</w:t>
      </w:r>
      <w:r w:rsidR="00093600">
        <w:rPr>
          <w:rFonts w:ascii="Arial" w:hAnsi="Arial" w:cs="Arial"/>
        </w:rPr>
        <w:t xml:space="preserve">d </w:t>
      </w:r>
      <w:r w:rsidR="00634237" w:rsidRPr="00E802A9">
        <w:rPr>
          <w:rFonts w:ascii="Arial" w:hAnsi="Arial" w:cs="Arial"/>
        </w:rPr>
        <w:t>a non-recurring income of € million linked to the</w:t>
      </w:r>
      <w:r w:rsidR="00DB1BCB">
        <w:rPr>
          <w:rFonts w:ascii="Arial" w:hAnsi="Arial" w:cs="Arial"/>
        </w:rPr>
        <w:t xml:space="preserve"> USA </w:t>
      </w:r>
      <w:r w:rsidR="00634237" w:rsidRPr="00E802A9">
        <w:rPr>
          <w:rFonts w:ascii="Arial" w:hAnsi="Arial" w:cs="Arial"/>
        </w:rPr>
        <w:t xml:space="preserve">tax reform voted at the end of 2017 and sale of its interest in the equipment manufacturer Calsonic </w:t>
      </w:r>
      <w:proofErr w:type="spellStart"/>
      <w:r w:rsidR="00634237" w:rsidRPr="00E802A9">
        <w:rPr>
          <w:rFonts w:ascii="Arial" w:hAnsi="Arial" w:cs="Arial"/>
        </w:rPr>
        <w:t>Kansei</w:t>
      </w:r>
      <w:proofErr w:type="spellEnd"/>
      <w:r w:rsidR="00634237" w:rsidRPr="00E802A9">
        <w:rPr>
          <w:rFonts w:ascii="Arial" w:hAnsi="Arial" w:cs="Arial"/>
        </w:rPr>
        <w:t>.</w:t>
      </w:r>
    </w:p>
    <w:p w14:paraId="2F60836E" w14:textId="0B871C2C" w:rsidR="003831D4" w:rsidRPr="00BD40A1" w:rsidRDefault="003831D4" w:rsidP="00BD40A1">
      <w:pPr>
        <w:ind w:left="629" w:right="368" w:firstLine="720"/>
        <w:rPr>
          <w:rFonts w:ascii="Arial" w:hAnsi="Arial" w:cs="Arial"/>
        </w:rPr>
      </w:pPr>
      <w:r w:rsidRPr="003C6C25">
        <w:rPr>
          <w:rFonts w:ascii="Arial" w:hAnsi="Arial" w:cs="Arial"/>
          <w:b/>
        </w:rPr>
        <w:lastRenderedPageBreak/>
        <w:t>Current and deferred taxes</w:t>
      </w:r>
      <w:r w:rsidRPr="003C6C25">
        <w:rPr>
          <w:rFonts w:ascii="Arial" w:hAnsi="Arial" w:cs="Arial"/>
        </w:rPr>
        <w:t xml:space="preserve"> showed an expense of </w:t>
      </w:r>
      <w:r w:rsidR="00144BC2" w:rsidRPr="00A0390C">
        <w:rPr>
          <w:rFonts w:ascii="Arial" w:hAnsi="Arial" w:cs="Arial"/>
        </w:rPr>
        <w:t>€</w:t>
      </w:r>
      <w:r w:rsidR="006E7ABB" w:rsidRPr="00A0390C">
        <w:rPr>
          <w:rFonts w:ascii="Arial" w:hAnsi="Arial" w:cs="Arial"/>
        </w:rPr>
        <w:t xml:space="preserve"> </w:t>
      </w:r>
      <w:r w:rsidRPr="00E802A9">
        <w:rPr>
          <w:rFonts w:ascii="Arial" w:hAnsi="Arial" w:cs="Arial"/>
        </w:rPr>
        <w:t>million.</w:t>
      </w:r>
    </w:p>
    <w:p w14:paraId="249ED619" w14:textId="323F1D64" w:rsidR="007D0E41" w:rsidRPr="00F41250" w:rsidRDefault="007D0E41" w:rsidP="00351EAB">
      <w:pPr>
        <w:spacing w:after="0" w:line="250" w:lineRule="auto"/>
        <w:ind w:left="1349" w:right="368"/>
        <w:jc w:val="both"/>
        <w:rPr>
          <w:rFonts w:ascii="Arial" w:hAnsi="Arial" w:cs="Arial"/>
        </w:rPr>
      </w:pPr>
      <w:r w:rsidRPr="00F41250">
        <w:rPr>
          <w:rFonts w:ascii="Arial" w:hAnsi="Arial" w:cs="Arial"/>
          <w:b/>
        </w:rPr>
        <w:t xml:space="preserve">Net </w:t>
      </w:r>
      <w:r w:rsidRPr="00F41250">
        <w:rPr>
          <w:rFonts w:ascii="Arial" w:hAnsi="Arial" w:cs="Arial"/>
          <w:b/>
          <w:bCs/>
        </w:rPr>
        <w:t>i</w:t>
      </w:r>
      <w:r w:rsidRPr="00E802A9">
        <w:rPr>
          <w:rFonts w:ascii="Arial" w:hAnsi="Arial" w:cs="Arial"/>
          <w:b/>
          <w:bCs/>
        </w:rPr>
        <w:t xml:space="preserve">ncome </w:t>
      </w:r>
      <w:r w:rsidRPr="00E802A9">
        <w:rPr>
          <w:rFonts w:ascii="Arial" w:hAnsi="Arial" w:cs="Arial"/>
        </w:rPr>
        <w:t xml:space="preserve">amounted </w:t>
      </w:r>
      <w:r w:rsidRPr="00A0390C">
        <w:rPr>
          <w:rFonts w:ascii="Arial" w:hAnsi="Arial" w:cs="Arial"/>
        </w:rPr>
        <w:t>to €</w:t>
      </w:r>
      <w:r w:rsidR="0003114B" w:rsidRPr="00E802A9">
        <w:rPr>
          <w:rFonts w:ascii="Arial" w:hAnsi="Arial" w:cs="Arial"/>
        </w:rPr>
        <w:t xml:space="preserve"> million, and net income, Group share, to </w:t>
      </w:r>
      <w:r w:rsidR="0003114B" w:rsidRPr="00A0390C">
        <w:rPr>
          <w:rFonts w:ascii="Arial" w:hAnsi="Arial" w:cs="Arial"/>
        </w:rPr>
        <w:t>€</w:t>
      </w:r>
      <w:r w:rsidR="00B05B9A">
        <w:rPr>
          <w:rFonts w:ascii="Arial" w:hAnsi="Arial" w:cs="Arial"/>
        </w:rPr>
        <w:t xml:space="preserve"> million (</w:t>
      </w:r>
      <w:r w:rsidR="0003114B" w:rsidRPr="00F41250">
        <w:rPr>
          <w:rFonts w:ascii="Arial" w:hAnsi="Arial" w:cs="Arial"/>
        </w:rPr>
        <w:t>€</w:t>
      </w:r>
      <w:r w:rsidR="0080726A" w:rsidRPr="00E802A9">
        <w:rPr>
          <w:rFonts w:ascii="Arial" w:hAnsi="Arial" w:cs="Arial"/>
        </w:rPr>
        <w:t xml:space="preserve"> per share compared to </w:t>
      </w:r>
      <w:r w:rsidR="006E60E0" w:rsidRPr="00F41250">
        <w:rPr>
          <w:rFonts w:ascii="Arial" w:hAnsi="Arial" w:cs="Arial"/>
        </w:rPr>
        <w:t>€</w:t>
      </w:r>
      <w:r w:rsidR="00B05B9A">
        <w:rPr>
          <w:rFonts w:ascii="Arial" w:hAnsi="Arial" w:cs="Arial"/>
        </w:rPr>
        <w:t xml:space="preserve"> per share in 2017). </w:t>
      </w:r>
    </w:p>
    <w:p w14:paraId="7C884D54" w14:textId="77777777" w:rsidR="007D0E41" w:rsidRPr="00F41250" w:rsidRDefault="007D0E41" w:rsidP="00351EAB">
      <w:pPr>
        <w:spacing w:after="0" w:line="250" w:lineRule="auto"/>
        <w:ind w:left="1349" w:right="368"/>
        <w:jc w:val="both"/>
        <w:rPr>
          <w:rFonts w:ascii="Arial" w:hAnsi="Arial" w:cs="Arial"/>
        </w:rPr>
      </w:pPr>
    </w:p>
    <w:p w14:paraId="140B7DF7" w14:textId="70A4808A" w:rsidR="007D0E41" w:rsidRPr="00F41250" w:rsidRDefault="007D0E41" w:rsidP="00351EAB">
      <w:pPr>
        <w:spacing w:after="0" w:line="250" w:lineRule="auto"/>
        <w:ind w:left="1349" w:right="368"/>
        <w:jc w:val="both"/>
        <w:rPr>
          <w:rFonts w:ascii="Arial" w:hAnsi="Arial" w:cs="Arial"/>
        </w:rPr>
      </w:pPr>
      <w:r w:rsidRPr="00B508E5">
        <w:rPr>
          <w:rFonts w:ascii="Arial" w:hAnsi="Arial" w:cs="Arial"/>
          <w:b/>
        </w:rPr>
        <w:t>Automotive operational free cash flow</w:t>
      </w:r>
      <w:r w:rsidR="006E7ABB">
        <w:rPr>
          <w:rFonts w:ascii="Arial" w:hAnsi="Arial" w:cs="Arial"/>
          <w:b/>
        </w:rPr>
        <w:t>,</w:t>
      </w:r>
      <w:r w:rsidRPr="00B508E5">
        <w:rPr>
          <w:rFonts w:ascii="Arial" w:hAnsi="Arial" w:cs="Arial"/>
          <w:b/>
        </w:rPr>
        <w:t xml:space="preserve"> including AVTOVAZ</w:t>
      </w:r>
      <w:r w:rsidR="006E7ABB">
        <w:rPr>
          <w:rFonts w:ascii="Arial" w:hAnsi="Arial" w:cs="Arial"/>
          <w:b/>
        </w:rPr>
        <w:t xml:space="preserve"> </w:t>
      </w:r>
      <w:r w:rsidR="006E7ABB" w:rsidRPr="00B62211">
        <w:rPr>
          <w:rFonts w:ascii="Arial" w:hAnsi="Arial" w:cs="Arial"/>
        </w:rPr>
        <w:t>for € million</w:t>
      </w:r>
      <w:r w:rsidR="006E7ABB">
        <w:rPr>
          <w:rFonts w:ascii="Arial" w:hAnsi="Arial" w:cs="Arial"/>
          <w:b/>
        </w:rPr>
        <w:t>,</w:t>
      </w:r>
      <w:r w:rsidRPr="007D0E41">
        <w:rPr>
          <w:rFonts w:ascii="Arial" w:hAnsi="Arial" w:cs="Arial"/>
        </w:rPr>
        <w:t xml:space="preserve"> was positive at € million after </w:t>
      </w:r>
      <w:proofErr w:type="gramStart"/>
      <w:r w:rsidRPr="007D0E41">
        <w:rPr>
          <w:rFonts w:ascii="Arial" w:hAnsi="Arial" w:cs="Arial"/>
        </w:rPr>
        <w:t>taking into account</w:t>
      </w:r>
      <w:proofErr w:type="gramEnd"/>
      <w:r w:rsidRPr="007D0E41">
        <w:rPr>
          <w:rFonts w:ascii="Arial" w:hAnsi="Arial" w:cs="Arial"/>
        </w:rPr>
        <w:t xml:space="preserve"> a positive change in working capital requirements</w:t>
      </w:r>
      <w:r w:rsidR="006E7ABB">
        <w:rPr>
          <w:rFonts w:ascii="Arial" w:hAnsi="Arial" w:cs="Arial"/>
        </w:rPr>
        <w:t xml:space="preserve"> excluding AVTOVAZ</w:t>
      </w:r>
      <w:r w:rsidRPr="007D0E41">
        <w:rPr>
          <w:rFonts w:ascii="Arial" w:hAnsi="Arial" w:cs="Arial"/>
        </w:rPr>
        <w:t xml:space="preserve"> </w:t>
      </w:r>
      <w:r w:rsidR="00104FB5">
        <w:rPr>
          <w:rFonts w:ascii="Arial" w:hAnsi="Arial" w:cs="Arial"/>
        </w:rPr>
        <w:t>for</w:t>
      </w:r>
      <w:r w:rsidR="00104FB5" w:rsidRPr="007D0E41">
        <w:rPr>
          <w:rFonts w:ascii="Arial" w:hAnsi="Arial" w:cs="Arial"/>
        </w:rPr>
        <w:t xml:space="preserve"> </w:t>
      </w:r>
      <w:r w:rsidRPr="007D0E41">
        <w:rPr>
          <w:rFonts w:ascii="Arial" w:hAnsi="Arial" w:cs="Arial"/>
        </w:rPr>
        <w:t xml:space="preserve">€ million and an increase in </w:t>
      </w:r>
      <w:r w:rsidR="006E7ABB">
        <w:rPr>
          <w:rFonts w:ascii="Arial" w:hAnsi="Arial" w:cs="Arial"/>
        </w:rPr>
        <w:t xml:space="preserve">total </w:t>
      </w:r>
      <w:r w:rsidRPr="007D0E41">
        <w:rPr>
          <w:rFonts w:ascii="Arial" w:hAnsi="Arial" w:cs="Arial"/>
        </w:rPr>
        <w:t>investments</w:t>
      </w:r>
      <w:r w:rsidR="006E7ABB">
        <w:rPr>
          <w:rFonts w:ascii="Arial" w:hAnsi="Arial" w:cs="Arial"/>
        </w:rPr>
        <w:t xml:space="preserve"> excluding AVTOVAZ</w:t>
      </w:r>
      <w:r w:rsidRPr="007D0E41">
        <w:rPr>
          <w:rFonts w:ascii="Arial" w:hAnsi="Arial" w:cs="Arial"/>
        </w:rPr>
        <w:t xml:space="preserve"> </w:t>
      </w:r>
      <w:r w:rsidR="00104FB5">
        <w:rPr>
          <w:rFonts w:ascii="Arial" w:hAnsi="Arial" w:cs="Arial"/>
        </w:rPr>
        <w:t>for</w:t>
      </w:r>
      <w:r w:rsidR="00104FB5" w:rsidRPr="007D0E41">
        <w:rPr>
          <w:rFonts w:ascii="Arial" w:hAnsi="Arial" w:cs="Arial"/>
        </w:rPr>
        <w:t xml:space="preserve"> </w:t>
      </w:r>
      <w:r w:rsidRPr="007D0E41">
        <w:rPr>
          <w:rFonts w:ascii="Arial" w:hAnsi="Arial" w:cs="Arial"/>
        </w:rPr>
        <w:t>€ million.</w:t>
      </w:r>
    </w:p>
    <w:p w14:paraId="17EC1652" w14:textId="7800C632" w:rsidR="007D0E41" w:rsidRPr="00F41250" w:rsidRDefault="00144BC2" w:rsidP="00351EAB">
      <w:pPr>
        <w:spacing w:after="0" w:line="250" w:lineRule="auto"/>
        <w:ind w:left="1349" w:right="368"/>
        <w:jc w:val="both"/>
        <w:rPr>
          <w:rFonts w:ascii="Arial" w:hAnsi="Arial" w:cs="Arial"/>
        </w:rPr>
      </w:pPr>
      <w:r>
        <w:rPr>
          <w:rFonts w:ascii="Arial" w:hAnsi="Arial" w:cs="Arial"/>
        </w:rPr>
        <w:t xml:space="preserve"> </w:t>
      </w:r>
    </w:p>
    <w:p w14:paraId="5720F3FF" w14:textId="04726E37" w:rsidR="007D0E41" w:rsidRPr="00F41250" w:rsidRDefault="007D0E41" w:rsidP="00351EAB">
      <w:pPr>
        <w:spacing w:after="0" w:line="250" w:lineRule="auto"/>
        <w:ind w:left="1349" w:right="368"/>
        <w:jc w:val="both"/>
        <w:rPr>
          <w:rFonts w:ascii="Arial" w:hAnsi="Arial" w:cs="Arial"/>
        </w:rPr>
      </w:pPr>
      <w:r w:rsidRPr="007D0E41">
        <w:rPr>
          <w:rFonts w:ascii="Arial" w:hAnsi="Arial" w:cs="Arial"/>
        </w:rPr>
        <w:t xml:space="preserve">At December 31, 2018, total inventories (including the independent network) represented </w:t>
      </w:r>
      <w:r w:rsidR="00463FB3">
        <w:rPr>
          <w:rFonts w:ascii="Arial" w:hAnsi="Arial" w:cs="Arial"/>
        </w:rPr>
        <w:br/>
      </w:r>
      <w:r w:rsidRPr="007D0E41">
        <w:rPr>
          <w:rFonts w:ascii="Arial" w:hAnsi="Arial" w:cs="Arial"/>
        </w:rPr>
        <w:t>days of sales, compared to days at end December 2017. This sharp rise primarily reflect</w:t>
      </w:r>
      <w:r w:rsidR="00AA5637">
        <w:rPr>
          <w:rFonts w:ascii="Arial" w:hAnsi="Arial" w:cs="Arial"/>
        </w:rPr>
        <w:t>ed</w:t>
      </w:r>
      <w:r w:rsidRPr="007D0E41">
        <w:rPr>
          <w:rFonts w:ascii="Arial" w:hAnsi="Arial" w:cs="Arial"/>
        </w:rPr>
        <w:t xml:space="preserve"> weak </w:t>
      </w:r>
      <w:r w:rsidRPr="00323997">
        <w:rPr>
          <w:rFonts w:ascii="Arial" w:hAnsi="Arial" w:cs="Arial"/>
        </w:rPr>
        <w:t xml:space="preserve">sales </w:t>
      </w:r>
      <w:r w:rsidRPr="007D0E41">
        <w:rPr>
          <w:rFonts w:ascii="Arial" w:hAnsi="Arial" w:cs="Arial"/>
        </w:rPr>
        <w:t>in the 4</w:t>
      </w:r>
      <w:r w:rsidR="00144BC2" w:rsidRPr="00E802A9">
        <w:rPr>
          <w:rFonts w:ascii="Arial" w:hAnsi="Arial" w:cs="Arial"/>
          <w:vertAlign w:val="superscript"/>
        </w:rPr>
        <w:t>th</w:t>
      </w:r>
      <w:r w:rsidR="00144BC2">
        <w:rPr>
          <w:rFonts w:ascii="Arial" w:hAnsi="Arial" w:cs="Arial"/>
        </w:rPr>
        <w:t xml:space="preserve"> quarter of 2018.</w:t>
      </w:r>
    </w:p>
    <w:p w14:paraId="263D5DEC" w14:textId="77777777" w:rsidR="00B056B8" w:rsidRPr="00F41250" w:rsidRDefault="00B056B8" w:rsidP="00351EAB">
      <w:pPr>
        <w:spacing w:after="0" w:line="250" w:lineRule="auto"/>
        <w:ind w:left="1349" w:right="368"/>
        <w:jc w:val="both"/>
        <w:rPr>
          <w:rFonts w:ascii="Arial" w:hAnsi="Arial" w:cs="Arial"/>
        </w:rPr>
      </w:pPr>
    </w:p>
    <w:p w14:paraId="1B48E9DF" w14:textId="3E13D56D" w:rsidR="00B056B8" w:rsidRPr="00F41250" w:rsidRDefault="00B056B8" w:rsidP="00351EAB">
      <w:pPr>
        <w:spacing w:after="0" w:line="250" w:lineRule="auto"/>
        <w:ind w:left="1349" w:right="368"/>
        <w:jc w:val="both"/>
        <w:rPr>
          <w:rFonts w:ascii="Arial" w:hAnsi="Arial" w:cs="Arial"/>
        </w:rPr>
      </w:pPr>
      <w:r w:rsidRPr="00B056B8">
        <w:rPr>
          <w:rFonts w:ascii="Arial" w:hAnsi="Arial" w:cs="Arial"/>
        </w:rPr>
        <w:t xml:space="preserve">A </w:t>
      </w:r>
      <w:r w:rsidRPr="00360F0F">
        <w:rPr>
          <w:rFonts w:ascii="Arial" w:hAnsi="Arial" w:cs="Arial"/>
          <w:b/>
        </w:rPr>
        <w:t>dividend</w:t>
      </w:r>
      <w:r w:rsidRPr="00B056B8">
        <w:rPr>
          <w:rFonts w:ascii="Arial" w:hAnsi="Arial" w:cs="Arial"/>
        </w:rPr>
        <w:t xml:space="preserve"> </w:t>
      </w:r>
      <w:r w:rsidR="0003114B" w:rsidRPr="00F41250">
        <w:rPr>
          <w:rFonts w:ascii="Arial" w:hAnsi="Arial" w:cs="Arial"/>
        </w:rPr>
        <w:t>of</w:t>
      </w:r>
      <w:r w:rsidRPr="00B056B8">
        <w:rPr>
          <w:rFonts w:ascii="Arial" w:hAnsi="Arial" w:cs="Arial"/>
        </w:rPr>
        <w:t xml:space="preserve"> </w:t>
      </w:r>
      <w:r w:rsidRPr="00F41250">
        <w:rPr>
          <w:rFonts w:ascii="Arial" w:hAnsi="Arial" w:cs="Arial"/>
          <w:highlight w:val="yellow"/>
        </w:rPr>
        <w:t>€XX</w:t>
      </w:r>
      <w:r w:rsidRPr="00B056B8">
        <w:rPr>
          <w:rFonts w:ascii="Arial" w:hAnsi="Arial" w:cs="Arial"/>
        </w:rPr>
        <w:t xml:space="preserve"> per share, versus €3.55 last year, will be submitted for approval at the</w:t>
      </w:r>
      <w:r w:rsidR="00422548">
        <w:rPr>
          <w:rFonts w:ascii="Arial" w:hAnsi="Arial" w:cs="Arial"/>
        </w:rPr>
        <w:t xml:space="preserve"> </w:t>
      </w:r>
      <w:r w:rsidRPr="00B056B8">
        <w:rPr>
          <w:rFonts w:ascii="Arial" w:hAnsi="Arial" w:cs="Arial"/>
        </w:rPr>
        <w:t>Shareholders’ Annual General Meeting.</w:t>
      </w:r>
    </w:p>
    <w:p w14:paraId="5740E042" w14:textId="77777777" w:rsidR="00B056B8" w:rsidRPr="00F41250" w:rsidRDefault="00B056B8" w:rsidP="00351EAB">
      <w:pPr>
        <w:spacing w:after="0" w:line="250" w:lineRule="auto"/>
        <w:ind w:left="1349" w:right="368"/>
        <w:jc w:val="both"/>
        <w:rPr>
          <w:rFonts w:ascii="Arial" w:hAnsi="Arial" w:cs="Arial"/>
        </w:rPr>
      </w:pPr>
    </w:p>
    <w:p w14:paraId="6EE8326B" w14:textId="77777777" w:rsidR="007D0E41" w:rsidRPr="00F41250" w:rsidRDefault="007D0E41" w:rsidP="00351EAB">
      <w:pPr>
        <w:spacing w:after="0" w:line="250" w:lineRule="auto"/>
        <w:ind w:left="1349" w:right="368"/>
        <w:jc w:val="both"/>
        <w:rPr>
          <w:rFonts w:ascii="Arial" w:hAnsi="Arial" w:cs="Arial"/>
        </w:rPr>
      </w:pPr>
    </w:p>
    <w:p w14:paraId="5CE32908" w14:textId="0DEA1B67" w:rsidR="007D0E41" w:rsidRPr="00F41250" w:rsidRDefault="009E781C" w:rsidP="00351EAB">
      <w:pPr>
        <w:spacing w:after="0" w:line="250" w:lineRule="auto"/>
        <w:ind w:left="1349" w:right="368"/>
        <w:jc w:val="both"/>
        <w:rPr>
          <w:rFonts w:ascii="Arial" w:hAnsi="Arial" w:cs="Arial"/>
          <w:b/>
          <w:sz w:val="28"/>
        </w:rPr>
      </w:pPr>
      <w:r w:rsidRPr="00360F0F">
        <w:rPr>
          <w:rFonts w:ascii="Arial" w:hAnsi="Arial" w:cs="Arial"/>
          <w:b/>
          <w:sz w:val="28"/>
        </w:rPr>
        <w:t>2019 OUTLOOK</w:t>
      </w:r>
    </w:p>
    <w:p w14:paraId="11AA02FB" w14:textId="77777777" w:rsidR="00360F0F" w:rsidRPr="00F41250" w:rsidRDefault="00360F0F" w:rsidP="00351EAB">
      <w:pPr>
        <w:spacing w:after="0" w:line="250" w:lineRule="auto"/>
        <w:ind w:left="1349" w:right="368"/>
        <w:jc w:val="both"/>
        <w:rPr>
          <w:rFonts w:ascii="Arial" w:hAnsi="Arial" w:cs="Arial"/>
        </w:rPr>
      </w:pPr>
    </w:p>
    <w:p w14:paraId="578181B1" w14:textId="3D325F3C" w:rsidR="00360F0F" w:rsidRPr="00F41250" w:rsidRDefault="00F3528D" w:rsidP="00BD40A1">
      <w:pPr>
        <w:spacing w:after="0" w:line="250" w:lineRule="auto"/>
        <w:ind w:left="1349" w:right="368"/>
        <w:jc w:val="both"/>
        <w:rPr>
          <w:rFonts w:ascii="Arial" w:hAnsi="Arial" w:cs="Arial"/>
        </w:rPr>
      </w:pPr>
      <w:r>
        <w:rPr>
          <w:rFonts w:ascii="Arial" w:hAnsi="Arial" w:cs="Arial"/>
        </w:rPr>
        <w:t xml:space="preserve">In 2019, both the </w:t>
      </w:r>
      <w:r w:rsidR="00624E6D">
        <w:rPr>
          <w:rFonts w:ascii="Arial" w:hAnsi="Arial" w:cs="Arial"/>
        </w:rPr>
        <w:t>g</w:t>
      </w:r>
      <w:r>
        <w:rPr>
          <w:rFonts w:ascii="Arial" w:hAnsi="Arial" w:cs="Arial"/>
        </w:rPr>
        <w:t>lobal and European market are expected to be stable</w:t>
      </w:r>
      <w:r w:rsidR="005C660D">
        <w:rPr>
          <w:rStyle w:val="Fotnotsreferens"/>
          <w:rFonts w:ascii="Arial" w:hAnsi="Arial" w:cs="Arial"/>
        </w:rPr>
        <w:footnoteReference w:id="4"/>
      </w:r>
      <w:r>
        <w:rPr>
          <w:rFonts w:ascii="Arial" w:hAnsi="Arial" w:cs="Arial"/>
        </w:rPr>
        <w:t xml:space="preserve"> compared to 2018.</w:t>
      </w:r>
    </w:p>
    <w:p w14:paraId="52E954F3" w14:textId="666C4807" w:rsidR="005E4B17" w:rsidRPr="00F41250" w:rsidRDefault="005E4B17" w:rsidP="00351EAB">
      <w:pPr>
        <w:spacing w:after="0" w:line="250" w:lineRule="auto"/>
        <w:ind w:left="1349" w:right="368"/>
        <w:jc w:val="both"/>
        <w:rPr>
          <w:rFonts w:ascii="Arial" w:hAnsi="Arial" w:cs="Arial"/>
        </w:rPr>
      </w:pPr>
      <w:r>
        <w:rPr>
          <w:rFonts w:ascii="Arial" w:hAnsi="Arial" w:cs="Arial"/>
        </w:rPr>
        <w:t>At</w:t>
      </w:r>
      <w:r w:rsidR="00104FB5">
        <w:rPr>
          <w:rFonts w:ascii="Arial" w:hAnsi="Arial" w:cs="Arial"/>
        </w:rPr>
        <w:t xml:space="preserve"> </w:t>
      </w:r>
      <w:r>
        <w:rPr>
          <w:rFonts w:ascii="Arial" w:hAnsi="Arial" w:cs="Arial"/>
        </w:rPr>
        <w:t xml:space="preserve">international level, </w:t>
      </w:r>
      <w:r w:rsidR="00B5081B">
        <w:rPr>
          <w:rFonts w:ascii="Arial" w:hAnsi="Arial" w:cs="Arial"/>
        </w:rPr>
        <w:t>the Russian market</w:t>
      </w:r>
      <w:r>
        <w:rPr>
          <w:rFonts w:ascii="Arial" w:hAnsi="Arial" w:cs="Arial"/>
        </w:rPr>
        <w:t xml:space="preserve"> is expected to grow by at least % and </w:t>
      </w:r>
      <w:r w:rsidR="00B5081B">
        <w:rPr>
          <w:rFonts w:ascii="Arial" w:hAnsi="Arial" w:cs="Arial"/>
        </w:rPr>
        <w:t xml:space="preserve">the </w:t>
      </w:r>
      <w:r>
        <w:rPr>
          <w:rFonts w:ascii="Arial" w:hAnsi="Arial" w:cs="Arial"/>
        </w:rPr>
        <w:t>Brazil</w:t>
      </w:r>
      <w:r w:rsidR="00B5081B">
        <w:rPr>
          <w:rFonts w:ascii="Arial" w:hAnsi="Arial" w:cs="Arial"/>
        </w:rPr>
        <w:t>ian market</w:t>
      </w:r>
      <w:r>
        <w:rPr>
          <w:rFonts w:ascii="Arial" w:hAnsi="Arial" w:cs="Arial"/>
        </w:rPr>
        <w:t xml:space="preserve"> by</w:t>
      </w:r>
      <w:r w:rsidR="00D61D34">
        <w:rPr>
          <w:rFonts w:ascii="Arial" w:hAnsi="Arial" w:cs="Arial"/>
        </w:rPr>
        <w:t xml:space="preserve"> </w:t>
      </w:r>
      <w:r>
        <w:rPr>
          <w:rFonts w:ascii="Arial" w:hAnsi="Arial" w:cs="Arial"/>
        </w:rPr>
        <w:t>%.</w:t>
      </w:r>
    </w:p>
    <w:p w14:paraId="60380380" w14:textId="77777777" w:rsidR="0067796E" w:rsidRPr="00F41250" w:rsidRDefault="0067796E" w:rsidP="00351EAB">
      <w:pPr>
        <w:spacing w:after="0" w:line="250" w:lineRule="auto"/>
        <w:ind w:left="1349" w:right="368"/>
        <w:jc w:val="both"/>
        <w:rPr>
          <w:rFonts w:ascii="Arial" w:hAnsi="Arial" w:cs="Arial"/>
        </w:rPr>
      </w:pPr>
    </w:p>
    <w:p w14:paraId="5AB6776C" w14:textId="731835F2" w:rsidR="0067796E" w:rsidRDefault="00762410" w:rsidP="00BD40A1">
      <w:pPr>
        <w:spacing w:after="0" w:line="250" w:lineRule="auto"/>
        <w:ind w:left="1349" w:right="368"/>
        <w:jc w:val="both"/>
        <w:rPr>
          <w:rFonts w:ascii="Arial" w:hAnsi="Arial" w:cs="Arial"/>
        </w:rPr>
      </w:pPr>
      <w:r>
        <w:rPr>
          <w:rFonts w:ascii="Arial" w:hAnsi="Arial" w:cs="Arial"/>
        </w:rPr>
        <w:t>Within this context</w:t>
      </w:r>
      <w:r w:rsidR="0067796E" w:rsidRPr="00520ED4">
        <w:rPr>
          <w:rFonts w:ascii="Arial" w:hAnsi="Arial" w:cs="Arial"/>
        </w:rPr>
        <w:t>, Groupe Renault is aiming to:</w:t>
      </w:r>
    </w:p>
    <w:p w14:paraId="02DA710A" w14:textId="77777777" w:rsidR="00BD40A1" w:rsidRPr="00F41250" w:rsidRDefault="00BD40A1" w:rsidP="00BD40A1">
      <w:pPr>
        <w:spacing w:after="0" w:line="250" w:lineRule="auto"/>
        <w:ind w:left="1349" w:right="368"/>
        <w:jc w:val="both"/>
        <w:rPr>
          <w:rFonts w:ascii="Arial" w:hAnsi="Arial" w:cs="Arial"/>
        </w:rPr>
      </w:pPr>
    </w:p>
    <w:p w14:paraId="25104F64" w14:textId="0AEC6727" w:rsidR="0067796E" w:rsidRPr="00F41250" w:rsidRDefault="00A741F4" w:rsidP="00351EAB">
      <w:pPr>
        <w:spacing w:after="0" w:line="250" w:lineRule="auto"/>
        <w:ind w:left="1349" w:right="368"/>
        <w:jc w:val="both"/>
        <w:rPr>
          <w:rFonts w:ascii="Arial" w:hAnsi="Arial" w:cs="Arial"/>
        </w:rPr>
      </w:pPr>
      <w:r>
        <w:rPr>
          <w:rFonts w:ascii="Arial" w:hAnsi="Arial" w:cs="Arial"/>
        </w:rPr>
        <w:t>- increase revenues (at con</w:t>
      </w:r>
      <w:r w:rsidR="00F41250">
        <w:rPr>
          <w:rFonts w:ascii="Arial" w:hAnsi="Arial" w:cs="Arial"/>
        </w:rPr>
        <w:t>stant scope and exchange rates</w:t>
      </w:r>
      <w:r w:rsidR="002B2A05">
        <w:rPr>
          <w:rStyle w:val="Fotnotsreferens"/>
          <w:rFonts w:ascii="Arial" w:hAnsi="Arial" w:cs="Arial"/>
        </w:rPr>
        <w:footnoteReference w:id="5"/>
      </w:r>
      <w:r w:rsidR="00F41250">
        <w:rPr>
          <w:rFonts w:ascii="Arial" w:hAnsi="Arial" w:cs="Arial"/>
        </w:rPr>
        <w:t>)</w:t>
      </w:r>
    </w:p>
    <w:p w14:paraId="7DC26B0B" w14:textId="34FADC7B" w:rsidR="0067796E" w:rsidRPr="00F41250" w:rsidRDefault="00A741F4" w:rsidP="00351EAB">
      <w:pPr>
        <w:spacing w:after="0" w:line="250" w:lineRule="auto"/>
        <w:ind w:left="1349" w:right="368"/>
        <w:jc w:val="both"/>
        <w:rPr>
          <w:rFonts w:ascii="Arial" w:hAnsi="Arial" w:cs="Arial"/>
        </w:rPr>
      </w:pPr>
      <w:r>
        <w:rPr>
          <w:rFonts w:ascii="Arial" w:hAnsi="Arial" w:cs="Arial"/>
        </w:rPr>
        <w:t>- achieve a Grou</w:t>
      </w:r>
      <w:r w:rsidR="00F41250">
        <w:rPr>
          <w:rFonts w:ascii="Arial" w:hAnsi="Arial" w:cs="Arial"/>
        </w:rPr>
        <w:t xml:space="preserve">p operating margin of </w:t>
      </w:r>
    </w:p>
    <w:p w14:paraId="26917C49" w14:textId="23F882F7" w:rsidR="0067796E" w:rsidRPr="00F41250" w:rsidRDefault="0067796E" w:rsidP="00351EAB">
      <w:pPr>
        <w:spacing w:after="0" w:line="250" w:lineRule="auto"/>
        <w:ind w:left="1349" w:right="368"/>
        <w:jc w:val="both"/>
        <w:rPr>
          <w:rFonts w:ascii="Arial" w:hAnsi="Arial" w:cs="Arial"/>
        </w:rPr>
      </w:pPr>
      <w:r w:rsidRPr="00520ED4">
        <w:rPr>
          <w:rFonts w:ascii="Arial" w:hAnsi="Arial" w:cs="Arial"/>
        </w:rPr>
        <w:t xml:space="preserve">- generate a positive Automotive operational </w:t>
      </w:r>
      <w:r w:rsidRPr="00463FB3">
        <w:rPr>
          <w:rFonts w:ascii="Arial" w:hAnsi="Arial" w:cs="Arial"/>
          <w:i/>
        </w:rPr>
        <w:t>free cash flow</w:t>
      </w:r>
    </w:p>
    <w:p w14:paraId="2ABE8FEE" w14:textId="0D90E8AA" w:rsidR="00520ED4" w:rsidRPr="00F41250" w:rsidRDefault="00520ED4" w:rsidP="00BB32BC">
      <w:pPr>
        <w:spacing w:after="0" w:line="250" w:lineRule="auto"/>
        <w:ind w:right="85"/>
        <w:jc w:val="both"/>
        <w:rPr>
          <w:rFonts w:ascii="Arial" w:hAnsi="Arial" w:cs="Arial"/>
          <w:i/>
        </w:rPr>
      </w:pPr>
    </w:p>
    <w:p w14:paraId="6BA46577" w14:textId="77777777" w:rsidR="00520ED4" w:rsidRPr="00F41250" w:rsidRDefault="00520ED4" w:rsidP="00520ED4">
      <w:pPr>
        <w:spacing w:after="0" w:line="250" w:lineRule="auto"/>
        <w:ind w:right="85"/>
        <w:jc w:val="both"/>
        <w:rPr>
          <w:rFonts w:ascii="Arial" w:hAnsi="Arial" w:cs="Arial"/>
          <w:i/>
          <w:highlight w:val="yellow"/>
        </w:rPr>
      </w:pPr>
    </w:p>
    <w:p w14:paraId="1CD5756D" w14:textId="77777777" w:rsidR="007D0E41" w:rsidRPr="00F41250" w:rsidRDefault="007D0E41" w:rsidP="00520ED4">
      <w:pPr>
        <w:widowControl/>
        <w:spacing w:after="0" w:line="240" w:lineRule="auto"/>
        <w:jc w:val="both"/>
        <w:textAlignment w:val="top"/>
        <w:rPr>
          <w:rFonts w:ascii="Arial" w:eastAsia="Times New Roman" w:hAnsi="Arial" w:cs="Arial"/>
          <w:bCs/>
          <w:sz w:val="20"/>
          <w:szCs w:val="20"/>
          <w:lang w:eastAsia="fr-FR"/>
        </w:rPr>
      </w:pPr>
    </w:p>
    <w:p w14:paraId="44069F5A" w14:textId="77777777" w:rsidR="007D0E41" w:rsidRPr="00F41250" w:rsidRDefault="007D0E41" w:rsidP="007D0E41">
      <w:pPr>
        <w:widowControl/>
        <w:spacing w:after="0" w:line="240" w:lineRule="auto"/>
        <w:jc w:val="both"/>
        <w:textAlignment w:val="top"/>
        <w:rPr>
          <w:rFonts w:ascii="Arial" w:eastAsia="Times New Roman" w:hAnsi="Arial" w:cs="Arial"/>
          <w:bCs/>
          <w:sz w:val="20"/>
          <w:szCs w:val="20"/>
          <w:lang w:eastAsia="fr-FR"/>
        </w:rPr>
      </w:pPr>
    </w:p>
    <w:p w14:paraId="4D1C27D8" w14:textId="77777777" w:rsidR="007D0E41" w:rsidRPr="00F41250" w:rsidRDefault="007D0E41" w:rsidP="007D0E41">
      <w:pPr>
        <w:rPr>
          <w:rFonts w:ascii="Arial" w:eastAsia="Times New Roman" w:hAnsi="Arial" w:cs="Arial"/>
          <w:bCs/>
          <w:sz w:val="20"/>
          <w:szCs w:val="20"/>
          <w:lang w:eastAsia="fr-FR"/>
        </w:rPr>
      </w:pPr>
      <w:r>
        <w:rPr>
          <w:rFonts w:ascii="Arial" w:eastAsia="Times New Roman" w:hAnsi="Arial" w:cs="Arial"/>
          <w:bCs/>
          <w:sz w:val="20"/>
          <w:szCs w:val="20"/>
        </w:rPr>
        <w:br w:type="page"/>
      </w:r>
    </w:p>
    <w:p w14:paraId="0B8A1FF8" w14:textId="10F838DE" w:rsidR="007D0E41" w:rsidRPr="007D0E41" w:rsidRDefault="00D3666C" w:rsidP="00422548">
      <w:pPr>
        <w:widowControl/>
        <w:spacing w:before="225" w:after="225" w:line="240" w:lineRule="auto"/>
        <w:ind w:left="567" w:right="85"/>
        <w:jc w:val="both"/>
        <w:textAlignment w:val="top"/>
        <w:rPr>
          <w:rFonts w:ascii="Arial" w:eastAsia="Times New Roman" w:hAnsi="Arial" w:cs="Arial"/>
          <w:b/>
          <w:bCs/>
          <w:sz w:val="28"/>
          <w:szCs w:val="26"/>
          <w:lang w:val="fr-FR" w:eastAsia="fr-FR"/>
        </w:rPr>
      </w:pPr>
      <w:r>
        <w:rPr>
          <w:rFonts w:ascii="Arial" w:eastAsia="Times New Roman" w:hAnsi="Arial" w:cs="Arial"/>
          <w:b/>
          <w:bCs/>
          <w:sz w:val="28"/>
          <w:szCs w:val="26"/>
        </w:rPr>
        <w:lastRenderedPageBreak/>
        <w:t xml:space="preserve">GROUPE RENAULT CONSOLIDATED RESULTS </w:t>
      </w:r>
    </w:p>
    <w:p w14:paraId="1D676CBD" w14:textId="5BDC784E" w:rsidR="007D0E41" w:rsidRPr="00422548" w:rsidRDefault="007D0E41" w:rsidP="00422548">
      <w:pPr>
        <w:spacing w:after="0" w:line="240" w:lineRule="auto"/>
        <w:ind w:left="567"/>
        <w:rPr>
          <w:rFonts w:ascii="Arial" w:hAnsi="Arial" w:cs="Arial"/>
          <w:b/>
          <w:sz w:val="20"/>
        </w:rPr>
      </w:pPr>
      <w:r w:rsidRPr="00422548">
        <w:rPr>
          <w:rFonts w:ascii="Arial" w:hAnsi="Arial" w:cs="Arial"/>
          <w:b/>
          <w:sz w:val="20"/>
        </w:rPr>
        <w:t>A</w:t>
      </w:r>
      <w:r w:rsidR="00422548">
        <w:rPr>
          <w:rFonts w:ascii="Arial" w:hAnsi="Arial" w:cs="Arial"/>
          <w:b/>
          <w:sz w:val="20"/>
        </w:rPr>
        <w:t xml:space="preserve">ddition Information </w:t>
      </w:r>
    </w:p>
    <w:p w14:paraId="23C34D3A" w14:textId="38FB1198" w:rsidR="00BD5149" w:rsidRPr="00D50D38" w:rsidRDefault="00BD5149" w:rsidP="00422548">
      <w:pPr>
        <w:spacing w:after="0" w:line="240" w:lineRule="auto"/>
        <w:ind w:left="567" w:right="85"/>
        <w:jc w:val="both"/>
        <w:rPr>
          <w:rFonts w:ascii="Arial" w:hAnsi="Arial" w:cs="Arial"/>
          <w:sz w:val="20"/>
          <w:szCs w:val="20"/>
        </w:rPr>
      </w:pPr>
      <w:r w:rsidRPr="00D50D38">
        <w:rPr>
          <w:rFonts w:ascii="Arial" w:hAnsi="Arial" w:cs="Arial"/>
          <w:sz w:val="20"/>
          <w:szCs w:val="20"/>
        </w:rPr>
        <w:t xml:space="preserve">The consolidated financial statements of Groupe Renault and the company accounts of Renault SA at December 31, 2018 were approved by the Board of Directors on February 13, 2019. </w:t>
      </w:r>
    </w:p>
    <w:p w14:paraId="16767740" w14:textId="0EBF149B" w:rsidR="00BD5149" w:rsidRPr="00D50D38" w:rsidRDefault="00BD5149" w:rsidP="00422548">
      <w:pPr>
        <w:spacing w:after="0" w:line="240" w:lineRule="auto"/>
        <w:ind w:left="567" w:right="85"/>
        <w:jc w:val="both"/>
        <w:rPr>
          <w:rFonts w:ascii="Arial" w:hAnsi="Arial" w:cs="Arial"/>
          <w:sz w:val="20"/>
          <w:szCs w:val="20"/>
        </w:rPr>
      </w:pPr>
      <w:r w:rsidRPr="00D50D38">
        <w:rPr>
          <w:rFonts w:ascii="Arial" w:hAnsi="Arial" w:cs="Arial"/>
          <w:sz w:val="20"/>
          <w:szCs w:val="20"/>
        </w:rPr>
        <w:t xml:space="preserve">The Group’s statutory auditors have conducted an audit of these financial statements and their report will be issued </w:t>
      </w:r>
      <w:r w:rsidR="000E24BF">
        <w:rPr>
          <w:rFonts w:ascii="Arial" w:hAnsi="Arial" w:cs="Arial"/>
          <w:sz w:val="20"/>
          <w:szCs w:val="20"/>
        </w:rPr>
        <w:t xml:space="preserve">on </w:t>
      </w:r>
      <w:r w:rsidR="000148E1">
        <w:rPr>
          <w:rFonts w:ascii="Arial" w:hAnsi="Arial" w:cs="Arial"/>
          <w:sz w:val="20"/>
          <w:szCs w:val="20"/>
        </w:rPr>
        <w:t xml:space="preserve">March </w:t>
      </w:r>
      <w:r w:rsidR="000E24BF">
        <w:rPr>
          <w:rFonts w:ascii="Arial" w:hAnsi="Arial" w:cs="Arial"/>
          <w:sz w:val="20"/>
          <w:szCs w:val="20"/>
        </w:rPr>
        <w:t>16</w:t>
      </w:r>
      <w:r w:rsidR="000148E1">
        <w:rPr>
          <w:rFonts w:ascii="Arial" w:hAnsi="Arial" w:cs="Arial"/>
          <w:sz w:val="20"/>
          <w:szCs w:val="20"/>
        </w:rPr>
        <w:t>,</w:t>
      </w:r>
      <w:r w:rsidR="002311F9">
        <w:rPr>
          <w:rFonts w:ascii="Arial" w:hAnsi="Arial" w:cs="Arial"/>
          <w:sz w:val="20"/>
          <w:szCs w:val="20"/>
        </w:rPr>
        <w:t xml:space="preserve"> </w:t>
      </w:r>
      <w:r w:rsidR="00162E19">
        <w:rPr>
          <w:rFonts w:ascii="Arial" w:hAnsi="Arial" w:cs="Arial"/>
          <w:sz w:val="20"/>
          <w:szCs w:val="20"/>
        </w:rPr>
        <w:t>2019</w:t>
      </w:r>
      <w:r w:rsidRPr="00D50D38">
        <w:rPr>
          <w:rFonts w:ascii="Arial" w:hAnsi="Arial" w:cs="Arial"/>
          <w:sz w:val="20"/>
          <w:szCs w:val="20"/>
        </w:rPr>
        <w:t>.</w:t>
      </w:r>
    </w:p>
    <w:p w14:paraId="7C33C4F7" w14:textId="12DEBA5B" w:rsidR="00690324" w:rsidRPr="00D50D38" w:rsidRDefault="00BD5149" w:rsidP="00422548">
      <w:pPr>
        <w:spacing w:after="0" w:line="240" w:lineRule="auto"/>
        <w:ind w:left="567" w:right="85"/>
        <w:jc w:val="both"/>
        <w:rPr>
          <w:rFonts w:ascii="Arial" w:hAnsi="Arial" w:cs="Arial"/>
          <w:sz w:val="20"/>
          <w:szCs w:val="20"/>
        </w:rPr>
      </w:pPr>
      <w:r w:rsidRPr="00D50D38">
        <w:rPr>
          <w:rFonts w:ascii="Arial" w:hAnsi="Arial" w:cs="Arial"/>
          <w:sz w:val="20"/>
          <w:szCs w:val="20"/>
        </w:rPr>
        <w:t>The earnings report, with a complete analysis of the financial results in 2018, is available at www.group.renault.com in the "Finance" section.</w:t>
      </w:r>
    </w:p>
    <w:p w14:paraId="7953FA07" w14:textId="6D746597" w:rsidR="00C71CB9" w:rsidRDefault="00C71CB9" w:rsidP="00422548">
      <w:pPr>
        <w:spacing w:before="8" w:after="0" w:line="240" w:lineRule="exact"/>
        <w:ind w:left="567" w:right="85"/>
        <w:jc w:val="both"/>
        <w:rPr>
          <w:rStyle w:val="Stark"/>
          <w:rFonts w:ascii="Arial" w:hAnsi="Arial" w:cs="Arial"/>
          <w:b w:val="0"/>
          <w:sz w:val="20"/>
          <w:szCs w:val="20"/>
          <w:highlight w:val="yellow"/>
        </w:rPr>
      </w:pPr>
    </w:p>
    <w:p w14:paraId="256A5535" w14:textId="7085204C" w:rsidR="00463FB3" w:rsidRDefault="00463FB3" w:rsidP="00422548">
      <w:pPr>
        <w:spacing w:before="8" w:after="0" w:line="240" w:lineRule="exact"/>
        <w:ind w:left="567" w:right="85"/>
        <w:jc w:val="both"/>
        <w:rPr>
          <w:rStyle w:val="Stark"/>
          <w:rFonts w:ascii="Arial" w:hAnsi="Arial" w:cs="Arial"/>
          <w:b w:val="0"/>
          <w:sz w:val="20"/>
          <w:szCs w:val="20"/>
          <w:highlight w:val="yellow"/>
        </w:rPr>
      </w:pPr>
    </w:p>
    <w:p w14:paraId="3E34FBA5" w14:textId="77777777" w:rsidR="00463FB3" w:rsidRPr="00F41250" w:rsidRDefault="00463FB3" w:rsidP="00422548">
      <w:pPr>
        <w:spacing w:before="8" w:after="0" w:line="240" w:lineRule="exact"/>
        <w:ind w:left="567" w:right="85"/>
        <w:jc w:val="both"/>
        <w:rPr>
          <w:rStyle w:val="Stark"/>
          <w:rFonts w:ascii="Arial" w:hAnsi="Arial" w:cs="Arial"/>
          <w:b w:val="0"/>
          <w:sz w:val="20"/>
          <w:szCs w:val="20"/>
          <w:highlight w:val="yellow"/>
        </w:rPr>
      </w:pPr>
    </w:p>
    <w:p w14:paraId="41C4C322" w14:textId="08C69983" w:rsidR="00A63BAA" w:rsidRPr="00463FB3" w:rsidRDefault="00C71CB9" w:rsidP="00422548">
      <w:pPr>
        <w:spacing w:after="0" w:line="240" w:lineRule="auto"/>
        <w:ind w:left="567"/>
        <w:rPr>
          <w:rFonts w:ascii="Arial" w:eastAsia="Arial" w:hAnsi="Arial" w:cs="Arial"/>
          <w:b/>
          <w:bCs/>
          <w:sz w:val="18"/>
          <w:szCs w:val="20"/>
        </w:rPr>
      </w:pPr>
      <w:r w:rsidRPr="00463FB3">
        <w:rPr>
          <w:rFonts w:ascii="Arial" w:eastAsia="Arial" w:hAnsi="Arial" w:cs="Arial"/>
          <w:b/>
          <w:bCs/>
          <w:sz w:val="18"/>
          <w:szCs w:val="20"/>
        </w:rPr>
        <w:t>About Groupe Renault</w:t>
      </w:r>
    </w:p>
    <w:p w14:paraId="027B2C20" w14:textId="77777777" w:rsidR="00463FB3" w:rsidRDefault="00722525" w:rsidP="00463FB3">
      <w:pPr>
        <w:spacing w:after="0" w:line="240" w:lineRule="auto"/>
        <w:ind w:left="567" w:right="85"/>
        <w:jc w:val="both"/>
        <w:rPr>
          <w:rFonts w:ascii="Arial" w:hAnsi="Arial" w:cs="Arial"/>
          <w:sz w:val="18"/>
          <w:szCs w:val="20"/>
        </w:rPr>
      </w:pPr>
      <w:r w:rsidRPr="00463FB3">
        <w:rPr>
          <w:rFonts w:ascii="Arial" w:hAnsi="Arial" w:cs="Arial"/>
          <w:sz w:val="18"/>
          <w:szCs w:val="20"/>
        </w:rPr>
        <w:t xml:space="preserve">Groupe Renault has manufactured cars since 1898. Today it is an international multi-brand group, selling close to 3.9 million vehicles in 134 countries in 2018, with 36 manufacturing sites, 12,700 points of sales and employing more than 180,000 people. </w:t>
      </w:r>
    </w:p>
    <w:p w14:paraId="7C84BE83" w14:textId="08F38D2A" w:rsidR="00B1006A" w:rsidRPr="00463FB3" w:rsidRDefault="00722525" w:rsidP="00463FB3">
      <w:pPr>
        <w:spacing w:after="0" w:line="240" w:lineRule="auto"/>
        <w:ind w:left="567" w:right="85"/>
        <w:jc w:val="both"/>
        <w:rPr>
          <w:rFonts w:ascii="Arial" w:hAnsi="Arial" w:cs="Arial"/>
          <w:sz w:val="18"/>
          <w:szCs w:val="20"/>
        </w:rPr>
      </w:pPr>
      <w:r w:rsidRPr="00463FB3">
        <w:rPr>
          <w:rFonts w:ascii="Arial" w:hAnsi="Arial" w:cs="Arial"/>
          <w:sz w:val="18"/>
          <w:szCs w:val="20"/>
        </w:rPr>
        <w:t>To address the major technological challenges of the future, while continuing to pursue its profitable growth strategy, Groupe Renault is focusing on international expansion. To this end, it is drawing on the synergies of its five brands (Renault, Dacia, Renault Samsung Motors, Alpine and LADA), electric vehicles, and its unique alliance with Nissan and Mitsubishi Motors. With a 100% Renault owned team committed to the Formula 1 World Championship since 2016, the brand is involved in motorsports, a real vector for innovation and awareness.</w:t>
      </w:r>
    </w:p>
    <w:p w14:paraId="35134038" w14:textId="77777777" w:rsidR="00722525" w:rsidRDefault="00722525" w:rsidP="00422548">
      <w:pPr>
        <w:spacing w:before="37" w:after="0" w:line="240" w:lineRule="auto"/>
        <w:ind w:left="567" w:right="85"/>
        <w:rPr>
          <w:rFonts w:ascii="Arial" w:eastAsia="Arial" w:hAnsi="Arial" w:cs="Arial"/>
          <w:b/>
          <w:bCs/>
          <w:sz w:val="20"/>
          <w:szCs w:val="20"/>
        </w:rPr>
      </w:pPr>
      <w:bookmarkStart w:id="1" w:name="_Hlk536701541"/>
    </w:p>
    <w:p w14:paraId="0B8D9E21" w14:textId="11A6C27C" w:rsidR="00B1006A" w:rsidRPr="00F41250" w:rsidRDefault="00A44BBC" w:rsidP="00422548">
      <w:pPr>
        <w:spacing w:before="37" w:after="0" w:line="240" w:lineRule="auto"/>
        <w:ind w:left="567" w:right="85"/>
        <w:rPr>
          <w:rFonts w:ascii="Arial" w:eastAsia="Arial" w:hAnsi="Arial" w:cs="Arial"/>
          <w:sz w:val="20"/>
          <w:szCs w:val="20"/>
        </w:rPr>
      </w:pPr>
      <w:r w:rsidRPr="00075AD7">
        <w:rPr>
          <w:rFonts w:ascii="Arial" w:eastAsia="Arial" w:hAnsi="Arial" w:cs="Arial"/>
          <w:b/>
          <w:bCs/>
          <w:sz w:val="20"/>
          <w:szCs w:val="20"/>
        </w:rPr>
        <w:t>F</w:t>
      </w:r>
      <w:r w:rsidR="00722525">
        <w:rPr>
          <w:rFonts w:ascii="Arial" w:eastAsia="Arial" w:hAnsi="Arial" w:cs="Arial"/>
          <w:b/>
          <w:bCs/>
          <w:sz w:val="20"/>
          <w:szCs w:val="20"/>
        </w:rPr>
        <w:t xml:space="preserve">or further information, please contact: </w:t>
      </w:r>
    </w:p>
    <w:p w14:paraId="1A1F7989" w14:textId="77777777" w:rsidR="00075AD7" w:rsidRPr="00F41250" w:rsidRDefault="00075AD7" w:rsidP="00422548">
      <w:pPr>
        <w:spacing w:before="14" w:after="0" w:line="240" w:lineRule="auto"/>
        <w:ind w:left="567" w:right="85"/>
        <w:rPr>
          <w:rFonts w:ascii="Arial" w:eastAsia="Arial" w:hAnsi="Arial" w:cs="Arial"/>
          <w:b/>
          <w:bCs/>
          <w:sz w:val="20"/>
          <w:szCs w:val="20"/>
          <w:lang w:val="fr-FR"/>
        </w:rPr>
      </w:pPr>
      <w:r w:rsidRPr="00F41250">
        <w:rPr>
          <w:rFonts w:ascii="Arial" w:eastAsia="Arial" w:hAnsi="Arial" w:cs="Arial"/>
          <w:b/>
          <w:bCs/>
          <w:sz w:val="20"/>
          <w:szCs w:val="20"/>
          <w:lang w:val="fr-FR"/>
        </w:rPr>
        <w:t>Frédéric Texier</w:t>
      </w:r>
    </w:p>
    <w:p w14:paraId="44864AEB" w14:textId="77777777" w:rsidR="00075AD7" w:rsidRPr="00F41250" w:rsidRDefault="0042727B" w:rsidP="00422548">
      <w:pPr>
        <w:spacing w:before="14" w:after="0" w:line="240" w:lineRule="auto"/>
        <w:ind w:left="567" w:right="85"/>
        <w:rPr>
          <w:rFonts w:ascii="Arial" w:eastAsia="Arial" w:hAnsi="Arial" w:cs="Arial"/>
          <w:bCs/>
          <w:sz w:val="20"/>
          <w:szCs w:val="20"/>
          <w:lang w:val="fr-FR"/>
        </w:rPr>
      </w:pPr>
      <w:hyperlink r:id="rId12" w:history="1">
        <w:r w:rsidR="00075AD7" w:rsidRPr="00F41250">
          <w:rPr>
            <w:rStyle w:val="Hyperlnk"/>
            <w:rFonts w:ascii="Arial" w:eastAsia="Arial" w:hAnsi="Arial" w:cs="Arial"/>
            <w:bCs/>
            <w:sz w:val="20"/>
            <w:szCs w:val="20"/>
            <w:lang w:val="fr-FR"/>
          </w:rPr>
          <w:t>frederic.texier@renault.com</w:t>
        </w:r>
      </w:hyperlink>
    </w:p>
    <w:p w14:paraId="6EF50484" w14:textId="5089ED17" w:rsidR="00075AD7" w:rsidRPr="00F41250" w:rsidRDefault="00075AD7" w:rsidP="00422548">
      <w:pPr>
        <w:spacing w:before="14" w:after="0" w:line="240" w:lineRule="auto"/>
        <w:ind w:left="567" w:right="85"/>
        <w:rPr>
          <w:rFonts w:ascii="Arial" w:eastAsia="Arial" w:hAnsi="Arial" w:cs="Arial"/>
          <w:bCs/>
          <w:sz w:val="20"/>
          <w:szCs w:val="20"/>
        </w:rPr>
      </w:pPr>
      <w:r w:rsidRPr="00007D57">
        <w:rPr>
          <w:rFonts w:ascii="Arial" w:eastAsia="Arial" w:hAnsi="Arial" w:cs="Arial"/>
          <w:bCs/>
          <w:sz w:val="20"/>
          <w:szCs w:val="20"/>
        </w:rPr>
        <w:t>Director of Corporate Communications</w:t>
      </w:r>
    </w:p>
    <w:p w14:paraId="56596A5D" w14:textId="7B198B46" w:rsidR="00075AD7" w:rsidRPr="00F41250" w:rsidRDefault="00075AD7" w:rsidP="00422548">
      <w:pPr>
        <w:spacing w:before="14" w:after="0" w:line="240" w:lineRule="auto"/>
        <w:ind w:left="567" w:right="85"/>
        <w:rPr>
          <w:rFonts w:ascii="Arial" w:eastAsia="Arial" w:hAnsi="Arial" w:cs="Arial"/>
          <w:bCs/>
          <w:sz w:val="20"/>
          <w:szCs w:val="20"/>
        </w:rPr>
      </w:pPr>
      <w:r w:rsidRPr="00007D57">
        <w:rPr>
          <w:rFonts w:ascii="Arial" w:eastAsia="Arial" w:hAnsi="Arial" w:cs="Arial"/>
          <w:bCs/>
          <w:sz w:val="20"/>
          <w:szCs w:val="20"/>
        </w:rPr>
        <w:t>+33 1 76 84 33 67 / +33 6 10 78 49 20</w:t>
      </w:r>
    </w:p>
    <w:p w14:paraId="48BB326A" w14:textId="77777777" w:rsidR="00075AD7" w:rsidRPr="00F41250" w:rsidRDefault="00075AD7" w:rsidP="00422548">
      <w:pPr>
        <w:spacing w:before="14" w:after="0" w:line="240" w:lineRule="auto"/>
        <w:ind w:left="567" w:right="85"/>
        <w:rPr>
          <w:rFonts w:ascii="Arial" w:eastAsia="Arial" w:hAnsi="Arial" w:cs="Arial"/>
          <w:b/>
          <w:bCs/>
          <w:sz w:val="20"/>
          <w:szCs w:val="20"/>
        </w:rPr>
      </w:pPr>
    </w:p>
    <w:p w14:paraId="0F2C7FAA" w14:textId="77777777" w:rsidR="004D642B" w:rsidRPr="00F41250" w:rsidRDefault="004D642B" w:rsidP="00422548">
      <w:pPr>
        <w:spacing w:before="14" w:after="0" w:line="240" w:lineRule="auto"/>
        <w:ind w:left="567" w:right="85"/>
        <w:rPr>
          <w:rFonts w:ascii="Arial" w:eastAsia="Arial" w:hAnsi="Arial" w:cs="Arial"/>
          <w:b/>
          <w:bCs/>
          <w:sz w:val="20"/>
          <w:szCs w:val="20"/>
        </w:rPr>
      </w:pPr>
      <w:r w:rsidRPr="00007D57">
        <w:rPr>
          <w:rFonts w:ascii="Arial" w:eastAsia="Arial" w:hAnsi="Arial" w:cs="Arial"/>
          <w:b/>
          <w:bCs/>
          <w:sz w:val="20"/>
          <w:szCs w:val="20"/>
        </w:rPr>
        <w:t>Astrid de-</w:t>
      </w:r>
      <w:proofErr w:type="spellStart"/>
      <w:r w:rsidRPr="00007D57">
        <w:rPr>
          <w:rFonts w:ascii="Arial" w:eastAsia="Arial" w:hAnsi="Arial" w:cs="Arial"/>
          <w:b/>
          <w:bCs/>
          <w:sz w:val="20"/>
          <w:szCs w:val="20"/>
        </w:rPr>
        <w:t>Latude</w:t>
      </w:r>
      <w:proofErr w:type="spellEnd"/>
    </w:p>
    <w:p w14:paraId="3B7528C8" w14:textId="69E1D54D" w:rsidR="00075AD7" w:rsidRPr="00F41250" w:rsidRDefault="0042727B" w:rsidP="00422548">
      <w:pPr>
        <w:spacing w:before="14" w:after="0" w:line="240" w:lineRule="auto"/>
        <w:ind w:left="567" w:right="85"/>
        <w:rPr>
          <w:rFonts w:ascii="Arial" w:eastAsia="Arial" w:hAnsi="Arial" w:cs="Arial"/>
          <w:bCs/>
          <w:sz w:val="20"/>
          <w:szCs w:val="20"/>
        </w:rPr>
      </w:pPr>
      <w:hyperlink r:id="rId13" w:history="1">
        <w:r w:rsidR="00075AD7" w:rsidRPr="00075AD7">
          <w:rPr>
            <w:rStyle w:val="Hyperlnk"/>
            <w:rFonts w:ascii="Arial" w:eastAsia="Arial" w:hAnsi="Arial" w:cs="Arial"/>
            <w:bCs/>
            <w:sz w:val="20"/>
            <w:szCs w:val="20"/>
          </w:rPr>
          <w:t>astrid.de-latude@renault.com</w:t>
        </w:r>
      </w:hyperlink>
    </w:p>
    <w:p w14:paraId="2715A251" w14:textId="6CFFBF7A" w:rsidR="004D642B" w:rsidRPr="00F41250" w:rsidRDefault="00076524" w:rsidP="00422548">
      <w:pPr>
        <w:spacing w:before="14" w:after="0" w:line="240" w:lineRule="auto"/>
        <w:ind w:left="567" w:right="85"/>
        <w:rPr>
          <w:rFonts w:ascii="Arial" w:eastAsia="Arial" w:hAnsi="Arial" w:cs="Arial"/>
          <w:bCs/>
          <w:sz w:val="20"/>
          <w:szCs w:val="20"/>
        </w:rPr>
      </w:pPr>
      <w:r w:rsidRPr="00075AD7">
        <w:rPr>
          <w:rFonts w:ascii="Arial" w:eastAsia="Arial" w:hAnsi="Arial" w:cs="Arial"/>
          <w:bCs/>
          <w:sz w:val="20"/>
          <w:szCs w:val="20"/>
        </w:rPr>
        <w:t>Press Officer</w:t>
      </w:r>
    </w:p>
    <w:p w14:paraId="17C0DDFE" w14:textId="54142847" w:rsidR="00075AD7" w:rsidRPr="00F41250" w:rsidRDefault="00075AD7" w:rsidP="00422548">
      <w:pPr>
        <w:spacing w:before="14" w:after="0" w:line="240" w:lineRule="auto"/>
        <w:ind w:left="567" w:right="85"/>
        <w:rPr>
          <w:rFonts w:ascii="Arial" w:eastAsia="Arial" w:hAnsi="Arial" w:cs="Arial"/>
          <w:bCs/>
          <w:sz w:val="20"/>
          <w:szCs w:val="20"/>
        </w:rPr>
      </w:pPr>
      <w:r w:rsidRPr="00075AD7">
        <w:rPr>
          <w:rFonts w:ascii="Arial" w:eastAsia="Arial" w:hAnsi="Arial" w:cs="Arial"/>
          <w:bCs/>
          <w:sz w:val="20"/>
          <w:szCs w:val="20"/>
        </w:rPr>
        <w:t>+33 1 76 83 18 84 / +33 6 25 63 22 08</w:t>
      </w:r>
    </w:p>
    <w:p w14:paraId="68728C9C" w14:textId="77777777" w:rsidR="004D642B" w:rsidRPr="00F41250" w:rsidRDefault="004D642B" w:rsidP="00422548">
      <w:pPr>
        <w:spacing w:before="14" w:after="0" w:line="240" w:lineRule="auto"/>
        <w:ind w:left="567" w:right="85"/>
        <w:rPr>
          <w:rFonts w:ascii="Arial" w:eastAsia="Arial" w:hAnsi="Arial" w:cs="Arial"/>
          <w:b/>
          <w:bCs/>
          <w:sz w:val="20"/>
          <w:szCs w:val="20"/>
        </w:rPr>
      </w:pPr>
    </w:p>
    <w:bookmarkEnd w:id="1"/>
    <w:p w14:paraId="56E32F41" w14:textId="77777777" w:rsidR="00624E6D" w:rsidRPr="00463FB3" w:rsidRDefault="00624E6D" w:rsidP="00624E6D">
      <w:pPr>
        <w:spacing w:before="14" w:after="0" w:line="240" w:lineRule="auto"/>
        <w:ind w:left="567" w:right="85"/>
        <w:rPr>
          <w:rFonts w:ascii="Arial" w:eastAsia="Arial" w:hAnsi="Arial" w:cs="Arial"/>
          <w:b/>
          <w:bCs/>
          <w:sz w:val="20"/>
          <w:szCs w:val="20"/>
        </w:rPr>
      </w:pPr>
      <w:r w:rsidRPr="00463FB3">
        <w:rPr>
          <w:rFonts w:ascii="Arial" w:eastAsia="Arial" w:hAnsi="Arial" w:cs="Arial"/>
          <w:b/>
          <w:bCs/>
          <w:sz w:val="20"/>
          <w:szCs w:val="20"/>
        </w:rPr>
        <w:t xml:space="preserve">Delphine </w:t>
      </w:r>
      <w:proofErr w:type="spellStart"/>
      <w:r w:rsidRPr="00463FB3">
        <w:rPr>
          <w:rFonts w:ascii="Arial" w:eastAsia="Arial" w:hAnsi="Arial" w:cs="Arial"/>
          <w:b/>
          <w:bCs/>
          <w:sz w:val="20"/>
          <w:szCs w:val="20"/>
        </w:rPr>
        <w:t>Dumonceau-Costes</w:t>
      </w:r>
      <w:proofErr w:type="spellEnd"/>
      <w:r w:rsidRPr="00463FB3">
        <w:rPr>
          <w:rFonts w:ascii="Arial" w:eastAsia="Arial" w:hAnsi="Arial" w:cs="Arial"/>
          <w:b/>
          <w:bCs/>
          <w:sz w:val="20"/>
          <w:szCs w:val="20"/>
        </w:rPr>
        <w:t xml:space="preserve"> </w:t>
      </w:r>
    </w:p>
    <w:p w14:paraId="6498C19A" w14:textId="77777777" w:rsidR="00624E6D" w:rsidRPr="00463FB3" w:rsidRDefault="0042727B" w:rsidP="00624E6D">
      <w:pPr>
        <w:spacing w:before="14" w:after="0" w:line="240" w:lineRule="auto"/>
        <w:ind w:left="567" w:right="85"/>
        <w:rPr>
          <w:rStyle w:val="Hyperlnk"/>
        </w:rPr>
      </w:pPr>
      <w:hyperlink r:id="rId14" w:history="1">
        <w:r w:rsidR="00624E6D" w:rsidRPr="00463FB3">
          <w:rPr>
            <w:rStyle w:val="Hyperlnk"/>
            <w:rFonts w:ascii="Arial" w:eastAsia="Arial" w:hAnsi="Arial" w:cs="Arial"/>
          </w:rPr>
          <w:t>Delphine.dumonceau-costes@renault.com</w:t>
        </w:r>
      </w:hyperlink>
      <w:r w:rsidR="00624E6D" w:rsidRPr="00463FB3">
        <w:rPr>
          <w:rStyle w:val="Hyperlnk"/>
        </w:rPr>
        <w:t xml:space="preserve">  </w:t>
      </w:r>
    </w:p>
    <w:p w14:paraId="53482DDA" w14:textId="22A26E51" w:rsidR="00624E6D" w:rsidRPr="00463FB3" w:rsidRDefault="00624E6D" w:rsidP="00624E6D">
      <w:pPr>
        <w:spacing w:before="14" w:after="0" w:line="240" w:lineRule="auto"/>
        <w:ind w:left="567" w:right="85"/>
        <w:rPr>
          <w:rFonts w:ascii="Arial" w:eastAsia="Arial" w:hAnsi="Arial" w:cs="Arial"/>
          <w:bCs/>
          <w:sz w:val="20"/>
          <w:szCs w:val="20"/>
        </w:rPr>
      </w:pPr>
      <w:r w:rsidRPr="00463FB3">
        <w:rPr>
          <w:rFonts w:ascii="Arial" w:eastAsia="Arial" w:hAnsi="Arial" w:cs="Arial"/>
          <w:bCs/>
          <w:sz w:val="20"/>
          <w:szCs w:val="20"/>
        </w:rPr>
        <w:t>Press Officer</w:t>
      </w:r>
    </w:p>
    <w:p w14:paraId="1313D62C" w14:textId="77777777" w:rsidR="00624E6D" w:rsidRPr="00463FB3" w:rsidRDefault="00624E6D" w:rsidP="00624E6D">
      <w:pPr>
        <w:spacing w:before="14" w:after="0" w:line="240" w:lineRule="auto"/>
        <w:ind w:left="567" w:right="85"/>
        <w:rPr>
          <w:rFonts w:ascii="Arial" w:eastAsia="Arial" w:hAnsi="Arial" w:cs="Arial"/>
          <w:bCs/>
          <w:sz w:val="20"/>
          <w:szCs w:val="20"/>
        </w:rPr>
      </w:pPr>
      <w:r w:rsidRPr="00463FB3">
        <w:rPr>
          <w:rFonts w:ascii="Arial" w:eastAsia="Arial" w:hAnsi="Arial" w:cs="Arial"/>
          <w:bCs/>
          <w:sz w:val="20"/>
          <w:szCs w:val="20"/>
        </w:rPr>
        <w:t xml:space="preserve">+33 1 76 84 36 71 / +33 6 09 36 40 53 </w:t>
      </w:r>
    </w:p>
    <w:p w14:paraId="3F6D57BF" w14:textId="4D125191" w:rsidR="00076100" w:rsidRPr="00463FB3" w:rsidRDefault="00076100" w:rsidP="00422548">
      <w:pPr>
        <w:spacing w:before="10" w:after="0" w:line="240" w:lineRule="auto"/>
        <w:ind w:left="567" w:right="85"/>
        <w:rPr>
          <w:rFonts w:ascii="Arial" w:eastAsia="Arial" w:hAnsi="Arial" w:cs="Arial"/>
          <w:sz w:val="20"/>
          <w:szCs w:val="16"/>
          <w:lang w:val="fr-FR"/>
        </w:rPr>
      </w:pPr>
    </w:p>
    <w:sectPr w:rsidR="00076100" w:rsidRPr="00463FB3" w:rsidSect="00463FB3">
      <w:headerReference w:type="default" r:id="rId15"/>
      <w:footerReference w:type="default" r:id="rId16"/>
      <w:pgSz w:w="11920" w:h="16840"/>
      <w:pgMar w:top="1300" w:right="721" w:bottom="1276" w:left="460"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E517D" w14:textId="77777777" w:rsidR="001777F4" w:rsidRDefault="001777F4">
      <w:pPr>
        <w:spacing w:after="0" w:line="240" w:lineRule="auto"/>
      </w:pPr>
      <w:r>
        <w:separator/>
      </w:r>
    </w:p>
  </w:endnote>
  <w:endnote w:type="continuationSeparator" w:id="0">
    <w:p w14:paraId="3B3075EB" w14:textId="77777777" w:rsidR="001777F4" w:rsidRDefault="00177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87625" w14:textId="77777777" w:rsidR="00F41250" w:rsidRPr="00F41250" w:rsidRDefault="00F412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866B0" w14:textId="77777777" w:rsidR="001777F4" w:rsidRDefault="001777F4">
      <w:pPr>
        <w:spacing w:after="0" w:line="240" w:lineRule="auto"/>
      </w:pPr>
      <w:r>
        <w:separator/>
      </w:r>
    </w:p>
  </w:footnote>
  <w:footnote w:type="continuationSeparator" w:id="0">
    <w:p w14:paraId="45AB9D86" w14:textId="77777777" w:rsidR="001777F4" w:rsidRDefault="001777F4">
      <w:pPr>
        <w:spacing w:after="0" w:line="240" w:lineRule="auto"/>
      </w:pPr>
      <w:r>
        <w:continuationSeparator/>
      </w:r>
    </w:p>
  </w:footnote>
  <w:footnote w:id="1">
    <w:p w14:paraId="7F2287D8" w14:textId="7E51F5E2" w:rsidR="00470DC2" w:rsidRPr="00470DC2" w:rsidRDefault="00470DC2">
      <w:pPr>
        <w:pStyle w:val="Fotnotstext"/>
      </w:pPr>
      <w:r>
        <w:rPr>
          <w:rStyle w:val="Fotnotsreferens"/>
        </w:rPr>
        <w:footnoteRef/>
      </w:r>
      <w:r>
        <w:t xml:space="preserve"> </w:t>
      </w:r>
      <w:r w:rsidRPr="00470DC2">
        <w:t xml:space="preserve"> </w:t>
      </w:r>
      <w:proofErr w:type="gramStart"/>
      <w:r w:rsidRPr="00351EAB">
        <w:rPr>
          <w:rFonts w:ascii="Arial" w:hAnsi="Arial" w:cs="Arial"/>
          <w:sz w:val="16"/>
          <w:szCs w:val="16"/>
        </w:rPr>
        <w:t>In order to</w:t>
      </w:r>
      <w:proofErr w:type="gramEnd"/>
      <w:r w:rsidRPr="00351EAB">
        <w:rPr>
          <w:rFonts w:ascii="Arial" w:hAnsi="Arial" w:cs="Arial"/>
          <w:sz w:val="16"/>
          <w:szCs w:val="16"/>
        </w:rPr>
        <w:t xml:space="preserve"> analyze the change in consolidated revenues at constant exchange rates, Groupe Renault recalculates revenues for the current year by applying the average annual exchange rates of the previous year.</w:t>
      </w:r>
    </w:p>
  </w:footnote>
  <w:footnote w:id="2">
    <w:p w14:paraId="2AF9565D" w14:textId="2EFD4429" w:rsidR="00351EAB" w:rsidRPr="00351EAB" w:rsidRDefault="00351EAB">
      <w:pPr>
        <w:pStyle w:val="Fotnotstext"/>
      </w:pPr>
      <w:r>
        <w:rPr>
          <w:rStyle w:val="Fotnotsreferens"/>
        </w:rPr>
        <w:footnoteRef/>
      </w:r>
      <w:r>
        <w:t xml:space="preserve"> </w:t>
      </w:r>
      <w:r w:rsidRPr="00351EAB">
        <w:rPr>
          <w:rFonts w:ascii="Arial" w:hAnsi="Arial" w:cs="Arial"/>
          <w:sz w:val="16"/>
          <w:szCs w:val="16"/>
        </w:rPr>
        <w:t>The figures for 2017 include adjustments due to the change in the accounting treatment of redeemable shares in 2018</w:t>
      </w:r>
      <w:r w:rsidR="00624E6D">
        <w:rPr>
          <w:rFonts w:ascii="Arial" w:hAnsi="Arial" w:cs="Arial"/>
          <w:sz w:val="16"/>
          <w:szCs w:val="16"/>
        </w:rPr>
        <w:t xml:space="preserve">. </w:t>
      </w:r>
    </w:p>
  </w:footnote>
  <w:footnote w:id="3">
    <w:p w14:paraId="2A296FFF" w14:textId="2E58112C" w:rsidR="00F41250" w:rsidRPr="00F41250" w:rsidRDefault="00F41250" w:rsidP="00D6694E">
      <w:pPr>
        <w:pStyle w:val="Fotnotstext"/>
      </w:pPr>
      <w:r>
        <w:rPr>
          <w:rStyle w:val="Fotnotsreferens"/>
        </w:rPr>
        <w:footnoteRef/>
      </w:r>
      <w:r w:rsidRPr="00392BF4">
        <w:t xml:space="preserve"> </w:t>
      </w:r>
      <w:proofErr w:type="spellStart"/>
      <w:r w:rsidRPr="00392BF4">
        <w:rPr>
          <w:rFonts w:ascii="Arial" w:hAnsi="Arial" w:cs="Arial"/>
          <w:sz w:val="16"/>
          <w:szCs w:val="16"/>
        </w:rPr>
        <w:t>Monozukuri</w:t>
      </w:r>
      <w:proofErr w:type="spellEnd"/>
      <w:r w:rsidRPr="00392BF4">
        <w:rPr>
          <w:rFonts w:ascii="Arial" w:hAnsi="Arial" w:cs="Arial"/>
          <w:sz w:val="16"/>
          <w:szCs w:val="16"/>
        </w:rPr>
        <w:t>: purchasing performance (excluding raw materials), warranty, R&amp;D expenses, manufacturing and logistics costs</w:t>
      </w:r>
      <w:r w:rsidR="00624E6D">
        <w:rPr>
          <w:rFonts w:ascii="Arial" w:hAnsi="Arial" w:cs="Arial"/>
          <w:sz w:val="16"/>
          <w:szCs w:val="16"/>
        </w:rPr>
        <w:t xml:space="preserve">. </w:t>
      </w:r>
    </w:p>
  </w:footnote>
  <w:footnote w:id="4">
    <w:p w14:paraId="429DAEA9" w14:textId="30B7B6F1" w:rsidR="005C660D" w:rsidRPr="005C660D" w:rsidRDefault="005C660D">
      <w:pPr>
        <w:pStyle w:val="Fotnotstext"/>
        <w:rPr>
          <w:rFonts w:ascii="Arial" w:hAnsi="Arial" w:cs="Arial"/>
          <w:sz w:val="16"/>
          <w:szCs w:val="16"/>
        </w:rPr>
      </w:pPr>
      <w:r>
        <w:rPr>
          <w:rStyle w:val="Fotnotsreferens"/>
        </w:rPr>
        <w:footnoteRef/>
      </w:r>
      <w:r>
        <w:t xml:space="preserve"> </w:t>
      </w:r>
      <w:r>
        <w:rPr>
          <w:rFonts w:ascii="Arial" w:hAnsi="Arial" w:cs="Arial"/>
          <w:sz w:val="16"/>
          <w:szCs w:val="16"/>
        </w:rPr>
        <w:t>Excluding</w:t>
      </w:r>
      <w:r w:rsidRPr="005C660D">
        <w:rPr>
          <w:rFonts w:ascii="Arial" w:hAnsi="Arial" w:cs="Arial"/>
          <w:sz w:val="16"/>
          <w:szCs w:val="16"/>
        </w:rPr>
        <w:t xml:space="preserve"> “hard Brexit”</w:t>
      </w:r>
    </w:p>
  </w:footnote>
  <w:footnote w:id="5">
    <w:p w14:paraId="1395D178" w14:textId="09F4BEF2" w:rsidR="002B2A05" w:rsidRPr="00463FB3" w:rsidRDefault="002B2A05">
      <w:pPr>
        <w:pStyle w:val="Fotnotstext"/>
        <w:rPr>
          <w:rFonts w:ascii="Arial" w:hAnsi="Arial" w:cs="Arial"/>
          <w:sz w:val="16"/>
          <w:szCs w:val="16"/>
        </w:rPr>
      </w:pPr>
      <w:r w:rsidRPr="00463FB3">
        <w:rPr>
          <w:rStyle w:val="Fotnotsreferens"/>
          <w:rFonts w:ascii="Arial" w:hAnsi="Arial" w:cs="Arial"/>
          <w:sz w:val="16"/>
          <w:szCs w:val="16"/>
        </w:rPr>
        <w:footnoteRef/>
      </w:r>
      <w:r w:rsidRPr="00463FB3">
        <w:rPr>
          <w:rFonts w:ascii="Arial" w:hAnsi="Arial" w:cs="Arial"/>
          <w:sz w:val="16"/>
          <w:szCs w:val="16"/>
        </w:rPr>
        <w:t xml:space="preserve"> </w:t>
      </w:r>
      <w:proofErr w:type="gramStart"/>
      <w:r w:rsidRPr="00463FB3">
        <w:rPr>
          <w:rFonts w:ascii="Arial" w:hAnsi="Arial" w:cs="Arial"/>
          <w:sz w:val="16"/>
          <w:szCs w:val="16"/>
        </w:rPr>
        <w:t>In order to</w:t>
      </w:r>
      <w:proofErr w:type="gramEnd"/>
      <w:r w:rsidRPr="00463FB3">
        <w:rPr>
          <w:rFonts w:ascii="Arial" w:hAnsi="Arial" w:cs="Arial"/>
          <w:sz w:val="16"/>
          <w:szCs w:val="16"/>
        </w:rPr>
        <w:t xml:space="preserve"> analyze the change in consolidated revenues at constant perimeter and exchange rates, Groupe Renault recalculates revenues for the current year by applying the average annual exchange rates of the previous </w:t>
      </w:r>
      <w:r w:rsidR="00104FB5" w:rsidRPr="00463FB3">
        <w:rPr>
          <w:rFonts w:ascii="Arial" w:hAnsi="Arial" w:cs="Arial"/>
          <w:sz w:val="16"/>
          <w:szCs w:val="16"/>
        </w:rPr>
        <w:t>year and</w:t>
      </w:r>
      <w:r w:rsidRPr="00463FB3">
        <w:rPr>
          <w:rFonts w:ascii="Arial" w:hAnsi="Arial" w:cs="Arial"/>
          <w:sz w:val="16"/>
          <w:szCs w:val="16"/>
        </w:rPr>
        <w:t xml:space="preserve"> excluding significant changes in perimeter that occurred during the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AAB2F" w14:textId="70473193" w:rsidR="00F41250" w:rsidRDefault="0042727B">
    <w:pPr>
      <w:spacing w:after="0" w:line="200" w:lineRule="exact"/>
      <w:rPr>
        <w:sz w:val="20"/>
        <w:szCs w:val="20"/>
      </w:rPr>
    </w:pPr>
    <w:sdt>
      <w:sdtPr>
        <w:rPr>
          <w:sz w:val="20"/>
          <w:szCs w:val="20"/>
        </w:rPr>
        <w:id w:val="1348366069"/>
        <w:docPartObj>
          <w:docPartGallery w:val="Watermarks"/>
          <w:docPartUnique/>
        </w:docPartObj>
      </w:sdtPr>
      <w:sdtEndPr/>
      <w:sdtContent>
        <w:r>
          <w:rPr>
            <w:sz w:val="20"/>
            <w:szCs w:val="20"/>
          </w:rPr>
          <w:pict w14:anchorId="2BC5C4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484.65pt;height:290.8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F41250">
      <w:rPr>
        <w:noProof/>
        <w:lang w:val="fr-FR" w:eastAsia="fr-FR"/>
      </w:rPr>
      <w:drawing>
        <wp:anchor distT="0" distB="0" distL="114300" distR="114300" simplePos="0" relativeHeight="251657216" behindDoc="1" locked="0" layoutInCell="1" allowOverlap="1" wp14:anchorId="0ECE1B64" wp14:editId="13FD73B8">
          <wp:simplePos x="0" y="0"/>
          <wp:positionH relativeFrom="page">
            <wp:posOffset>359410</wp:posOffset>
          </wp:positionH>
          <wp:positionV relativeFrom="page">
            <wp:posOffset>359410</wp:posOffset>
          </wp:positionV>
          <wp:extent cx="1634490" cy="171450"/>
          <wp:effectExtent l="0" t="0" r="0" b="635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90" cy="171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7CB6"/>
    <w:multiLevelType w:val="hybridMultilevel"/>
    <w:tmpl w:val="C252494A"/>
    <w:lvl w:ilvl="0" w:tplc="6C0A5E8E">
      <w:start w:val="1"/>
      <w:numFmt w:val="decimal"/>
      <w:lvlText w:val="(%1)"/>
      <w:lvlJc w:val="left"/>
      <w:pPr>
        <w:ind w:left="1636" w:hanging="360"/>
      </w:pPr>
      <w:rPr>
        <w:rFonts w:asciiTheme="minorHAnsi" w:eastAsiaTheme="minorHAnsi" w:hAnsiTheme="minorHAnsi" w:cstheme="minorBidi" w:hint="default"/>
        <w:b w:val="0"/>
        <w:i/>
        <w:color w:val="auto"/>
        <w:sz w:val="14"/>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1" w15:restartNumberingAfterBreak="0">
    <w:nsid w:val="079F0F6E"/>
    <w:multiLevelType w:val="hybridMultilevel"/>
    <w:tmpl w:val="49E6753A"/>
    <w:lvl w:ilvl="0" w:tplc="04090001">
      <w:start w:val="1"/>
      <w:numFmt w:val="bullet"/>
      <w:lvlText w:val=""/>
      <w:lvlJc w:val="left"/>
      <w:pPr>
        <w:ind w:left="2049" w:hanging="360"/>
      </w:pPr>
      <w:rPr>
        <w:rFonts w:ascii="Symbol" w:hAnsi="Symbol" w:hint="default"/>
      </w:rPr>
    </w:lvl>
    <w:lvl w:ilvl="1" w:tplc="04090003" w:tentative="1">
      <w:start w:val="1"/>
      <w:numFmt w:val="bullet"/>
      <w:lvlText w:val="o"/>
      <w:lvlJc w:val="left"/>
      <w:pPr>
        <w:ind w:left="2769" w:hanging="360"/>
      </w:pPr>
      <w:rPr>
        <w:rFonts w:ascii="Courier New" w:hAnsi="Courier New" w:cs="Courier New" w:hint="default"/>
      </w:rPr>
    </w:lvl>
    <w:lvl w:ilvl="2" w:tplc="04090005" w:tentative="1">
      <w:start w:val="1"/>
      <w:numFmt w:val="bullet"/>
      <w:lvlText w:val=""/>
      <w:lvlJc w:val="left"/>
      <w:pPr>
        <w:ind w:left="3489" w:hanging="360"/>
      </w:pPr>
      <w:rPr>
        <w:rFonts w:ascii="Wingdings" w:hAnsi="Wingdings" w:hint="default"/>
      </w:rPr>
    </w:lvl>
    <w:lvl w:ilvl="3" w:tplc="04090001" w:tentative="1">
      <w:start w:val="1"/>
      <w:numFmt w:val="bullet"/>
      <w:lvlText w:val=""/>
      <w:lvlJc w:val="left"/>
      <w:pPr>
        <w:ind w:left="4209" w:hanging="360"/>
      </w:pPr>
      <w:rPr>
        <w:rFonts w:ascii="Symbol" w:hAnsi="Symbol" w:hint="default"/>
      </w:rPr>
    </w:lvl>
    <w:lvl w:ilvl="4" w:tplc="04090003" w:tentative="1">
      <w:start w:val="1"/>
      <w:numFmt w:val="bullet"/>
      <w:lvlText w:val="o"/>
      <w:lvlJc w:val="left"/>
      <w:pPr>
        <w:ind w:left="4929" w:hanging="360"/>
      </w:pPr>
      <w:rPr>
        <w:rFonts w:ascii="Courier New" w:hAnsi="Courier New" w:cs="Courier New" w:hint="default"/>
      </w:rPr>
    </w:lvl>
    <w:lvl w:ilvl="5" w:tplc="04090005" w:tentative="1">
      <w:start w:val="1"/>
      <w:numFmt w:val="bullet"/>
      <w:lvlText w:val=""/>
      <w:lvlJc w:val="left"/>
      <w:pPr>
        <w:ind w:left="5649" w:hanging="360"/>
      </w:pPr>
      <w:rPr>
        <w:rFonts w:ascii="Wingdings" w:hAnsi="Wingdings" w:hint="default"/>
      </w:rPr>
    </w:lvl>
    <w:lvl w:ilvl="6" w:tplc="04090001" w:tentative="1">
      <w:start w:val="1"/>
      <w:numFmt w:val="bullet"/>
      <w:lvlText w:val=""/>
      <w:lvlJc w:val="left"/>
      <w:pPr>
        <w:ind w:left="6369" w:hanging="360"/>
      </w:pPr>
      <w:rPr>
        <w:rFonts w:ascii="Symbol" w:hAnsi="Symbol" w:hint="default"/>
      </w:rPr>
    </w:lvl>
    <w:lvl w:ilvl="7" w:tplc="04090003" w:tentative="1">
      <w:start w:val="1"/>
      <w:numFmt w:val="bullet"/>
      <w:lvlText w:val="o"/>
      <w:lvlJc w:val="left"/>
      <w:pPr>
        <w:ind w:left="7089" w:hanging="360"/>
      </w:pPr>
      <w:rPr>
        <w:rFonts w:ascii="Courier New" w:hAnsi="Courier New" w:cs="Courier New" w:hint="default"/>
      </w:rPr>
    </w:lvl>
    <w:lvl w:ilvl="8" w:tplc="04090005" w:tentative="1">
      <w:start w:val="1"/>
      <w:numFmt w:val="bullet"/>
      <w:lvlText w:val=""/>
      <w:lvlJc w:val="left"/>
      <w:pPr>
        <w:ind w:left="7809" w:hanging="360"/>
      </w:pPr>
      <w:rPr>
        <w:rFonts w:ascii="Wingdings" w:hAnsi="Wingdings" w:hint="default"/>
      </w:rPr>
    </w:lvl>
  </w:abstractNum>
  <w:abstractNum w:abstractNumId="2" w15:restartNumberingAfterBreak="0">
    <w:nsid w:val="081B2C5D"/>
    <w:multiLevelType w:val="hybridMultilevel"/>
    <w:tmpl w:val="514ADA38"/>
    <w:lvl w:ilvl="0" w:tplc="D4C8BC4C">
      <w:start w:val="1"/>
      <w:numFmt w:val="decimal"/>
      <w:lvlText w:val="(%1)"/>
      <w:lvlJc w:val="left"/>
      <w:pPr>
        <w:ind w:left="1692" w:hanging="36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3" w15:restartNumberingAfterBreak="0">
    <w:nsid w:val="0A8B1542"/>
    <w:multiLevelType w:val="hybridMultilevel"/>
    <w:tmpl w:val="BE7A065C"/>
    <w:lvl w:ilvl="0" w:tplc="927C1AE8">
      <w:numFmt w:val="bullet"/>
      <w:lvlText w:val=""/>
      <w:lvlJc w:val="left"/>
      <w:pPr>
        <w:ind w:left="1709" w:hanging="360"/>
      </w:pPr>
      <w:rPr>
        <w:rFonts w:ascii="Symbol" w:eastAsiaTheme="minorHAnsi" w:hAnsi="Symbol" w:cs="Aria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4" w15:restartNumberingAfterBreak="0">
    <w:nsid w:val="16491EEC"/>
    <w:multiLevelType w:val="hybridMultilevel"/>
    <w:tmpl w:val="514ADA38"/>
    <w:lvl w:ilvl="0" w:tplc="D4C8BC4C">
      <w:start w:val="1"/>
      <w:numFmt w:val="decimal"/>
      <w:lvlText w:val="(%1)"/>
      <w:lvlJc w:val="left"/>
      <w:pPr>
        <w:ind w:left="1692" w:hanging="36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5" w15:restartNumberingAfterBreak="0">
    <w:nsid w:val="247B3DC4"/>
    <w:multiLevelType w:val="hybridMultilevel"/>
    <w:tmpl w:val="833884B8"/>
    <w:lvl w:ilvl="0" w:tplc="04090001">
      <w:start w:val="1"/>
      <w:numFmt w:val="bullet"/>
      <w:lvlText w:val=""/>
      <w:lvlJc w:val="left"/>
      <w:pPr>
        <w:ind w:left="1687" w:hanging="360"/>
      </w:pPr>
      <w:rPr>
        <w:rFonts w:ascii="Symbol" w:hAnsi="Symbol" w:hint="default"/>
      </w:rPr>
    </w:lvl>
    <w:lvl w:ilvl="1" w:tplc="04090003" w:tentative="1">
      <w:start w:val="1"/>
      <w:numFmt w:val="bullet"/>
      <w:lvlText w:val="o"/>
      <w:lvlJc w:val="left"/>
      <w:pPr>
        <w:ind w:left="2407" w:hanging="360"/>
      </w:pPr>
      <w:rPr>
        <w:rFonts w:ascii="Courier New" w:hAnsi="Courier New" w:cs="Courier New" w:hint="default"/>
      </w:rPr>
    </w:lvl>
    <w:lvl w:ilvl="2" w:tplc="04090005" w:tentative="1">
      <w:start w:val="1"/>
      <w:numFmt w:val="bullet"/>
      <w:lvlText w:val=""/>
      <w:lvlJc w:val="left"/>
      <w:pPr>
        <w:ind w:left="3127" w:hanging="360"/>
      </w:pPr>
      <w:rPr>
        <w:rFonts w:ascii="Wingdings" w:hAnsi="Wingdings" w:hint="default"/>
      </w:rPr>
    </w:lvl>
    <w:lvl w:ilvl="3" w:tplc="04090001" w:tentative="1">
      <w:start w:val="1"/>
      <w:numFmt w:val="bullet"/>
      <w:lvlText w:val=""/>
      <w:lvlJc w:val="left"/>
      <w:pPr>
        <w:ind w:left="3847" w:hanging="360"/>
      </w:pPr>
      <w:rPr>
        <w:rFonts w:ascii="Symbol" w:hAnsi="Symbol" w:hint="default"/>
      </w:rPr>
    </w:lvl>
    <w:lvl w:ilvl="4" w:tplc="04090003" w:tentative="1">
      <w:start w:val="1"/>
      <w:numFmt w:val="bullet"/>
      <w:lvlText w:val="o"/>
      <w:lvlJc w:val="left"/>
      <w:pPr>
        <w:ind w:left="4567" w:hanging="360"/>
      </w:pPr>
      <w:rPr>
        <w:rFonts w:ascii="Courier New" w:hAnsi="Courier New" w:cs="Courier New" w:hint="default"/>
      </w:rPr>
    </w:lvl>
    <w:lvl w:ilvl="5" w:tplc="04090005" w:tentative="1">
      <w:start w:val="1"/>
      <w:numFmt w:val="bullet"/>
      <w:lvlText w:val=""/>
      <w:lvlJc w:val="left"/>
      <w:pPr>
        <w:ind w:left="5287" w:hanging="360"/>
      </w:pPr>
      <w:rPr>
        <w:rFonts w:ascii="Wingdings" w:hAnsi="Wingdings" w:hint="default"/>
      </w:rPr>
    </w:lvl>
    <w:lvl w:ilvl="6" w:tplc="04090001" w:tentative="1">
      <w:start w:val="1"/>
      <w:numFmt w:val="bullet"/>
      <w:lvlText w:val=""/>
      <w:lvlJc w:val="left"/>
      <w:pPr>
        <w:ind w:left="6007" w:hanging="360"/>
      </w:pPr>
      <w:rPr>
        <w:rFonts w:ascii="Symbol" w:hAnsi="Symbol" w:hint="default"/>
      </w:rPr>
    </w:lvl>
    <w:lvl w:ilvl="7" w:tplc="04090003" w:tentative="1">
      <w:start w:val="1"/>
      <w:numFmt w:val="bullet"/>
      <w:lvlText w:val="o"/>
      <w:lvlJc w:val="left"/>
      <w:pPr>
        <w:ind w:left="6727" w:hanging="360"/>
      </w:pPr>
      <w:rPr>
        <w:rFonts w:ascii="Courier New" w:hAnsi="Courier New" w:cs="Courier New" w:hint="default"/>
      </w:rPr>
    </w:lvl>
    <w:lvl w:ilvl="8" w:tplc="04090005" w:tentative="1">
      <w:start w:val="1"/>
      <w:numFmt w:val="bullet"/>
      <w:lvlText w:val=""/>
      <w:lvlJc w:val="left"/>
      <w:pPr>
        <w:ind w:left="7447" w:hanging="360"/>
      </w:pPr>
      <w:rPr>
        <w:rFonts w:ascii="Wingdings" w:hAnsi="Wingdings" w:hint="default"/>
      </w:rPr>
    </w:lvl>
  </w:abstractNum>
  <w:abstractNum w:abstractNumId="6" w15:restartNumberingAfterBreak="0">
    <w:nsid w:val="42D36414"/>
    <w:multiLevelType w:val="multilevel"/>
    <w:tmpl w:val="24BCB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23393D"/>
    <w:multiLevelType w:val="hybridMultilevel"/>
    <w:tmpl w:val="340294EE"/>
    <w:lvl w:ilvl="0" w:tplc="5A141D8C">
      <w:start w:val="1"/>
      <w:numFmt w:val="bullet"/>
      <w:lvlText w:val="-"/>
      <w:lvlJc w:val="left"/>
      <w:pPr>
        <w:ind w:left="2130" w:hanging="360"/>
      </w:pPr>
      <w:rPr>
        <w:rFonts w:ascii="Courier New" w:hAnsi="Courier New"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8" w15:restartNumberingAfterBreak="0">
    <w:nsid w:val="6B28212F"/>
    <w:multiLevelType w:val="hybridMultilevel"/>
    <w:tmpl w:val="BBCE6F56"/>
    <w:lvl w:ilvl="0" w:tplc="681C6C36">
      <w:start w:val="1"/>
      <w:numFmt w:val="decimal"/>
      <w:lvlText w:val="(%1)"/>
      <w:lvlJc w:val="left"/>
      <w:pPr>
        <w:ind w:left="1636" w:hanging="360"/>
      </w:pPr>
      <w:rPr>
        <w:rFonts w:eastAsiaTheme="minorHAnsi" w:hint="default"/>
        <w:b w:val="0"/>
        <w:color w:val="auto"/>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9" w15:restartNumberingAfterBreak="0">
    <w:nsid w:val="73DB6575"/>
    <w:multiLevelType w:val="hybridMultilevel"/>
    <w:tmpl w:val="BAA83CB4"/>
    <w:lvl w:ilvl="0" w:tplc="4336C860">
      <w:numFmt w:val="bullet"/>
      <w:lvlText w:val=""/>
      <w:lvlJc w:val="left"/>
      <w:pPr>
        <w:ind w:left="1687" w:hanging="360"/>
      </w:pPr>
      <w:rPr>
        <w:rFonts w:ascii="Symbol" w:eastAsia="Arial" w:hAnsi="Symbol" w:cs="Arial" w:hint="default"/>
      </w:rPr>
    </w:lvl>
    <w:lvl w:ilvl="1" w:tplc="04090003" w:tentative="1">
      <w:start w:val="1"/>
      <w:numFmt w:val="bullet"/>
      <w:lvlText w:val="o"/>
      <w:lvlJc w:val="left"/>
      <w:pPr>
        <w:ind w:left="2407" w:hanging="360"/>
      </w:pPr>
      <w:rPr>
        <w:rFonts w:ascii="Courier New" w:hAnsi="Courier New" w:cs="Courier New" w:hint="default"/>
      </w:rPr>
    </w:lvl>
    <w:lvl w:ilvl="2" w:tplc="04090005" w:tentative="1">
      <w:start w:val="1"/>
      <w:numFmt w:val="bullet"/>
      <w:lvlText w:val=""/>
      <w:lvlJc w:val="left"/>
      <w:pPr>
        <w:ind w:left="3127" w:hanging="360"/>
      </w:pPr>
      <w:rPr>
        <w:rFonts w:ascii="Wingdings" w:hAnsi="Wingdings" w:hint="default"/>
      </w:rPr>
    </w:lvl>
    <w:lvl w:ilvl="3" w:tplc="04090001" w:tentative="1">
      <w:start w:val="1"/>
      <w:numFmt w:val="bullet"/>
      <w:lvlText w:val=""/>
      <w:lvlJc w:val="left"/>
      <w:pPr>
        <w:ind w:left="3847" w:hanging="360"/>
      </w:pPr>
      <w:rPr>
        <w:rFonts w:ascii="Symbol" w:hAnsi="Symbol" w:hint="default"/>
      </w:rPr>
    </w:lvl>
    <w:lvl w:ilvl="4" w:tplc="04090003" w:tentative="1">
      <w:start w:val="1"/>
      <w:numFmt w:val="bullet"/>
      <w:lvlText w:val="o"/>
      <w:lvlJc w:val="left"/>
      <w:pPr>
        <w:ind w:left="4567" w:hanging="360"/>
      </w:pPr>
      <w:rPr>
        <w:rFonts w:ascii="Courier New" w:hAnsi="Courier New" w:cs="Courier New" w:hint="default"/>
      </w:rPr>
    </w:lvl>
    <w:lvl w:ilvl="5" w:tplc="04090005" w:tentative="1">
      <w:start w:val="1"/>
      <w:numFmt w:val="bullet"/>
      <w:lvlText w:val=""/>
      <w:lvlJc w:val="left"/>
      <w:pPr>
        <w:ind w:left="5287" w:hanging="360"/>
      </w:pPr>
      <w:rPr>
        <w:rFonts w:ascii="Wingdings" w:hAnsi="Wingdings" w:hint="default"/>
      </w:rPr>
    </w:lvl>
    <w:lvl w:ilvl="6" w:tplc="04090001" w:tentative="1">
      <w:start w:val="1"/>
      <w:numFmt w:val="bullet"/>
      <w:lvlText w:val=""/>
      <w:lvlJc w:val="left"/>
      <w:pPr>
        <w:ind w:left="6007" w:hanging="360"/>
      </w:pPr>
      <w:rPr>
        <w:rFonts w:ascii="Symbol" w:hAnsi="Symbol" w:hint="default"/>
      </w:rPr>
    </w:lvl>
    <w:lvl w:ilvl="7" w:tplc="04090003" w:tentative="1">
      <w:start w:val="1"/>
      <w:numFmt w:val="bullet"/>
      <w:lvlText w:val="o"/>
      <w:lvlJc w:val="left"/>
      <w:pPr>
        <w:ind w:left="6727" w:hanging="360"/>
      </w:pPr>
      <w:rPr>
        <w:rFonts w:ascii="Courier New" w:hAnsi="Courier New" w:cs="Courier New" w:hint="default"/>
      </w:rPr>
    </w:lvl>
    <w:lvl w:ilvl="8" w:tplc="04090005" w:tentative="1">
      <w:start w:val="1"/>
      <w:numFmt w:val="bullet"/>
      <w:lvlText w:val=""/>
      <w:lvlJc w:val="left"/>
      <w:pPr>
        <w:ind w:left="7447" w:hanging="360"/>
      </w:pPr>
      <w:rPr>
        <w:rFonts w:ascii="Wingdings" w:hAnsi="Wingdings" w:hint="default"/>
      </w:rPr>
    </w:lvl>
  </w:abstractNum>
  <w:abstractNum w:abstractNumId="10" w15:restartNumberingAfterBreak="0">
    <w:nsid w:val="7FDB4043"/>
    <w:multiLevelType w:val="hybridMultilevel"/>
    <w:tmpl w:val="A7A2676A"/>
    <w:lvl w:ilvl="0" w:tplc="E3CE074E">
      <w:start w:val="1"/>
      <w:numFmt w:val="decimal"/>
      <w:lvlText w:val="(%1)"/>
      <w:lvlJc w:val="left"/>
      <w:pPr>
        <w:ind w:left="927" w:hanging="360"/>
      </w:pPr>
      <w:rPr>
        <w:rFonts w:eastAsiaTheme="minorHAnsi" w:hint="default"/>
        <w:b w:val="0"/>
        <w:color w:val="auto"/>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
  </w:num>
  <w:num w:numId="2">
    <w:abstractNumId w:val="7"/>
  </w:num>
  <w:num w:numId="3">
    <w:abstractNumId w:val="9"/>
  </w:num>
  <w:num w:numId="4">
    <w:abstractNumId w:val="5"/>
  </w:num>
  <w:num w:numId="5">
    <w:abstractNumId w:val="6"/>
  </w:num>
  <w:num w:numId="6">
    <w:abstractNumId w:val="2"/>
  </w:num>
  <w:num w:numId="7">
    <w:abstractNumId w:val="4"/>
  </w:num>
  <w:num w:numId="8">
    <w:abstractNumId w:val="3"/>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BA"/>
    <w:rsid w:val="00003817"/>
    <w:rsid w:val="00007D57"/>
    <w:rsid w:val="000148E1"/>
    <w:rsid w:val="000158A8"/>
    <w:rsid w:val="00015C9D"/>
    <w:rsid w:val="00022F34"/>
    <w:rsid w:val="0002409E"/>
    <w:rsid w:val="0002587F"/>
    <w:rsid w:val="000278C6"/>
    <w:rsid w:val="0003114B"/>
    <w:rsid w:val="000317E4"/>
    <w:rsid w:val="00033B31"/>
    <w:rsid w:val="000365A9"/>
    <w:rsid w:val="0003665F"/>
    <w:rsid w:val="00041A81"/>
    <w:rsid w:val="00042DA3"/>
    <w:rsid w:val="00046436"/>
    <w:rsid w:val="00050AB7"/>
    <w:rsid w:val="00052D7E"/>
    <w:rsid w:val="00053889"/>
    <w:rsid w:val="00063692"/>
    <w:rsid w:val="0006617C"/>
    <w:rsid w:val="00073209"/>
    <w:rsid w:val="00075AD7"/>
    <w:rsid w:val="00076100"/>
    <w:rsid w:val="00076524"/>
    <w:rsid w:val="00082042"/>
    <w:rsid w:val="000859B8"/>
    <w:rsid w:val="00085FA6"/>
    <w:rsid w:val="00087911"/>
    <w:rsid w:val="000924D2"/>
    <w:rsid w:val="000927CC"/>
    <w:rsid w:val="00093353"/>
    <w:rsid w:val="00093600"/>
    <w:rsid w:val="00094ED0"/>
    <w:rsid w:val="00095CF6"/>
    <w:rsid w:val="00097658"/>
    <w:rsid w:val="00097D4F"/>
    <w:rsid w:val="000A298B"/>
    <w:rsid w:val="000A3CED"/>
    <w:rsid w:val="000A6781"/>
    <w:rsid w:val="000A7F46"/>
    <w:rsid w:val="000B12B0"/>
    <w:rsid w:val="000B6786"/>
    <w:rsid w:val="000C2967"/>
    <w:rsid w:val="000C7D7D"/>
    <w:rsid w:val="000D0EEA"/>
    <w:rsid w:val="000D2F59"/>
    <w:rsid w:val="000E24BF"/>
    <w:rsid w:val="000E2BEB"/>
    <w:rsid w:val="000E49FD"/>
    <w:rsid w:val="000F4B85"/>
    <w:rsid w:val="000F54E2"/>
    <w:rsid w:val="000F56A3"/>
    <w:rsid w:val="000F6230"/>
    <w:rsid w:val="000F6B93"/>
    <w:rsid w:val="000F6D31"/>
    <w:rsid w:val="00101CB2"/>
    <w:rsid w:val="001021E4"/>
    <w:rsid w:val="001049AE"/>
    <w:rsid w:val="00104FB5"/>
    <w:rsid w:val="00105C76"/>
    <w:rsid w:val="001060AA"/>
    <w:rsid w:val="001064F6"/>
    <w:rsid w:val="001116E3"/>
    <w:rsid w:val="001122B0"/>
    <w:rsid w:val="00114216"/>
    <w:rsid w:val="00114270"/>
    <w:rsid w:val="001205CA"/>
    <w:rsid w:val="00123111"/>
    <w:rsid w:val="00124AD2"/>
    <w:rsid w:val="00125588"/>
    <w:rsid w:val="001274C9"/>
    <w:rsid w:val="00131296"/>
    <w:rsid w:val="00134B1D"/>
    <w:rsid w:val="00143420"/>
    <w:rsid w:val="00143703"/>
    <w:rsid w:val="001443C2"/>
    <w:rsid w:val="00144BC2"/>
    <w:rsid w:val="00147DB0"/>
    <w:rsid w:val="00151429"/>
    <w:rsid w:val="00151606"/>
    <w:rsid w:val="00152523"/>
    <w:rsid w:val="00156DAC"/>
    <w:rsid w:val="00162E19"/>
    <w:rsid w:val="00163552"/>
    <w:rsid w:val="00166DE5"/>
    <w:rsid w:val="00170932"/>
    <w:rsid w:val="00170A50"/>
    <w:rsid w:val="0017334B"/>
    <w:rsid w:val="00174114"/>
    <w:rsid w:val="001777F4"/>
    <w:rsid w:val="001808D6"/>
    <w:rsid w:val="00183192"/>
    <w:rsid w:val="00183DCA"/>
    <w:rsid w:val="0018559F"/>
    <w:rsid w:val="001859CE"/>
    <w:rsid w:val="0018614C"/>
    <w:rsid w:val="001A1BD4"/>
    <w:rsid w:val="001A244B"/>
    <w:rsid w:val="001A24E5"/>
    <w:rsid w:val="001A414B"/>
    <w:rsid w:val="001A4660"/>
    <w:rsid w:val="001A5C3D"/>
    <w:rsid w:val="001A641F"/>
    <w:rsid w:val="001A7332"/>
    <w:rsid w:val="001B1708"/>
    <w:rsid w:val="001B1ACF"/>
    <w:rsid w:val="001B5742"/>
    <w:rsid w:val="001C2111"/>
    <w:rsid w:val="001C321F"/>
    <w:rsid w:val="001C3AB1"/>
    <w:rsid w:val="001D29BD"/>
    <w:rsid w:val="001D6693"/>
    <w:rsid w:val="001D7B42"/>
    <w:rsid w:val="001E101C"/>
    <w:rsid w:val="001E2BAA"/>
    <w:rsid w:val="001E793B"/>
    <w:rsid w:val="001F0A1E"/>
    <w:rsid w:val="001F315D"/>
    <w:rsid w:val="001F3B66"/>
    <w:rsid w:val="001F3D88"/>
    <w:rsid w:val="001F539C"/>
    <w:rsid w:val="00200B4F"/>
    <w:rsid w:val="002019A8"/>
    <w:rsid w:val="00202C76"/>
    <w:rsid w:val="002045EF"/>
    <w:rsid w:val="0021107A"/>
    <w:rsid w:val="00211B40"/>
    <w:rsid w:val="0021531F"/>
    <w:rsid w:val="0022038B"/>
    <w:rsid w:val="00226B28"/>
    <w:rsid w:val="002304AD"/>
    <w:rsid w:val="00230AF4"/>
    <w:rsid w:val="002311F9"/>
    <w:rsid w:val="0023174D"/>
    <w:rsid w:val="002331B6"/>
    <w:rsid w:val="002356E0"/>
    <w:rsid w:val="00240AAF"/>
    <w:rsid w:val="002509CF"/>
    <w:rsid w:val="00252D28"/>
    <w:rsid w:val="002626C9"/>
    <w:rsid w:val="0026560C"/>
    <w:rsid w:val="00270D9C"/>
    <w:rsid w:val="00277821"/>
    <w:rsid w:val="00283154"/>
    <w:rsid w:val="0028386A"/>
    <w:rsid w:val="00295156"/>
    <w:rsid w:val="00296DBA"/>
    <w:rsid w:val="002A2979"/>
    <w:rsid w:val="002A3629"/>
    <w:rsid w:val="002A42C1"/>
    <w:rsid w:val="002A6CBF"/>
    <w:rsid w:val="002B27C0"/>
    <w:rsid w:val="002B2A05"/>
    <w:rsid w:val="002B4DA8"/>
    <w:rsid w:val="002B6F99"/>
    <w:rsid w:val="002B74E7"/>
    <w:rsid w:val="002C01FF"/>
    <w:rsid w:val="002C14C5"/>
    <w:rsid w:val="002C60AE"/>
    <w:rsid w:val="002D1F9A"/>
    <w:rsid w:val="002D3973"/>
    <w:rsid w:val="002D5E4F"/>
    <w:rsid w:val="002D5FF7"/>
    <w:rsid w:val="002D7484"/>
    <w:rsid w:val="002E1251"/>
    <w:rsid w:val="002E249C"/>
    <w:rsid w:val="002E35EE"/>
    <w:rsid w:val="002F1AE0"/>
    <w:rsid w:val="002F2662"/>
    <w:rsid w:val="002F33C3"/>
    <w:rsid w:val="002F361F"/>
    <w:rsid w:val="002F3B13"/>
    <w:rsid w:val="002F774B"/>
    <w:rsid w:val="002F7AC9"/>
    <w:rsid w:val="002F7C11"/>
    <w:rsid w:val="003030C0"/>
    <w:rsid w:val="00304081"/>
    <w:rsid w:val="00306527"/>
    <w:rsid w:val="0031412C"/>
    <w:rsid w:val="00322B23"/>
    <w:rsid w:val="003235A4"/>
    <w:rsid w:val="00323997"/>
    <w:rsid w:val="00330037"/>
    <w:rsid w:val="00330C74"/>
    <w:rsid w:val="003364F8"/>
    <w:rsid w:val="003376AC"/>
    <w:rsid w:val="00340F7F"/>
    <w:rsid w:val="003442A5"/>
    <w:rsid w:val="00345BF1"/>
    <w:rsid w:val="00347F6F"/>
    <w:rsid w:val="0035042D"/>
    <w:rsid w:val="003515D7"/>
    <w:rsid w:val="00351DF7"/>
    <w:rsid w:val="00351EAB"/>
    <w:rsid w:val="00352588"/>
    <w:rsid w:val="00356D40"/>
    <w:rsid w:val="00357B8C"/>
    <w:rsid w:val="00360F0F"/>
    <w:rsid w:val="00362723"/>
    <w:rsid w:val="00362F16"/>
    <w:rsid w:val="00363781"/>
    <w:rsid w:val="00365F52"/>
    <w:rsid w:val="0036790D"/>
    <w:rsid w:val="00373E23"/>
    <w:rsid w:val="00375A60"/>
    <w:rsid w:val="00380F0C"/>
    <w:rsid w:val="0038158F"/>
    <w:rsid w:val="00381A7E"/>
    <w:rsid w:val="00382DC7"/>
    <w:rsid w:val="003831D4"/>
    <w:rsid w:val="00384B7E"/>
    <w:rsid w:val="00391DA8"/>
    <w:rsid w:val="00392BF4"/>
    <w:rsid w:val="00393A01"/>
    <w:rsid w:val="00395A69"/>
    <w:rsid w:val="003A09C9"/>
    <w:rsid w:val="003A14AB"/>
    <w:rsid w:val="003A4633"/>
    <w:rsid w:val="003B0F02"/>
    <w:rsid w:val="003B4733"/>
    <w:rsid w:val="003B4F29"/>
    <w:rsid w:val="003B50D8"/>
    <w:rsid w:val="003C107B"/>
    <w:rsid w:val="003C6C25"/>
    <w:rsid w:val="003D09F9"/>
    <w:rsid w:val="003D1DB5"/>
    <w:rsid w:val="003D4FB1"/>
    <w:rsid w:val="003D7031"/>
    <w:rsid w:val="003D7046"/>
    <w:rsid w:val="003E4086"/>
    <w:rsid w:val="003E4E48"/>
    <w:rsid w:val="003E4EDD"/>
    <w:rsid w:val="003E5D4A"/>
    <w:rsid w:val="003F36F5"/>
    <w:rsid w:val="003F722E"/>
    <w:rsid w:val="004004DB"/>
    <w:rsid w:val="00400FB2"/>
    <w:rsid w:val="00402AE0"/>
    <w:rsid w:val="004119BB"/>
    <w:rsid w:val="00411EB7"/>
    <w:rsid w:val="00412A7F"/>
    <w:rsid w:val="00415791"/>
    <w:rsid w:val="00415A34"/>
    <w:rsid w:val="0042156F"/>
    <w:rsid w:val="004218AA"/>
    <w:rsid w:val="00422548"/>
    <w:rsid w:val="00422C90"/>
    <w:rsid w:val="00423572"/>
    <w:rsid w:val="00425577"/>
    <w:rsid w:val="00426A51"/>
    <w:rsid w:val="0042727B"/>
    <w:rsid w:val="0043065A"/>
    <w:rsid w:val="00430A8C"/>
    <w:rsid w:val="0043266D"/>
    <w:rsid w:val="004366DD"/>
    <w:rsid w:val="00443699"/>
    <w:rsid w:val="004450C0"/>
    <w:rsid w:val="00450558"/>
    <w:rsid w:val="0045066E"/>
    <w:rsid w:val="0045501C"/>
    <w:rsid w:val="00456281"/>
    <w:rsid w:val="00462CB8"/>
    <w:rsid w:val="004636E6"/>
    <w:rsid w:val="00463FB3"/>
    <w:rsid w:val="00464147"/>
    <w:rsid w:val="00464C17"/>
    <w:rsid w:val="004675CF"/>
    <w:rsid w:val="00470DC2"/>
    <w:rsid w:val="00472E3F"/>
    <w:rsid w:val="0047398D"/>
    <w:rsid w:val="0047431B"/>
    <w:rsid w:val="0047471B"/>
    <w:rsid w:val="00475195"/>
    <w:rsid w:val="00476FE1"/>
    <w:rsid w:val="00477F8D"/>
    <w:rsid w:val="00483E2F"/>
    <w:rsid w:val="004868D7"/>
    <w:rsid w:val="00494A1C"/>
    <w:rsid w:val="004958E3"/>
    <w:rsid w:val="004A1E07"/>
    <w:rsid w:val="004A40C2"/>
    <w:rsid w:val="004A68E1"/>
    <w:rsid w:val="004C0443"/>
    <w:rsid w:val="004C2B39"/>
    <w:rsid w:val="004C2B5A"/>
    <w:rsid w:val="004C7B13"/>
    <w:rsid w:val="004D363A"/>
    <w:rsid w:val="004D3F1D"/>
    <w:rsid w:val="004D6010"/>
    <w:rsid w:val="004D642B"/>
    <w:rsid w:val="004E0FFB"/>
    <w:rsid w:val="004E3791"/>
    <w:rsid w:val="004E3F78"/>
    <w:rsid w:val="004E4857"/>
    <w:rsid w:val="004E7AB3"/>
    <w:rsid w:val="004F0221"/>
    <w:rsid w:val="004F29A2"/>
    <w:rsid w:val="004F2AA6"/>
    <w:rsid w:val="004F2FC8"/>
    <w:rsid w:val="004F5131"/>
    <w:rsid w:val="004F576D"/>
    <w:rsid w:val="004F5EF5"/>
    <w:rsid w:val="004F68C2"/>
    <w:rsid w:val="00500143"/>
    <w:rsid w:val="005005FE"/>
    <w:rsid w:val="00503E94"/>
    <w:rsid w:val="00506C8E"/>
    <w:rsid w:val="00506EBE"/>
    <w:rsid w:val="00515EED"/>
    <w:rsid w:val="00520ED4"/>
    <w:rsid w:val="00522D73"/>
    <w:rsid w:val="00524037"/>
    <w:rsid w:val="00525200"/>
    <w:rsid w:val="00526589"/>
    <w:rsid w:val="0052718E"/>
    <w:rsid w:val="005300B5"/>
    <w:rsid w:val="005339B5"/>
    <w:rsid w:val="00533A8D"/>
    <w:rsid w:val="0053759D"/>
    <w:rsid w:val="00540991"/>
    <w:rsid w:val="005417DC"/>
    <w:rsid w:val="00541D55"/>
    <w:rsid w:val="00543146"/>
    <w:rsid w:val="00545801"/>
    <w:rsid w:val="00546C0A"/>
    <w:rsid w:val="00556A34"/>
    <w:rsid w:val="00565467"/>
    <w:rsid w:val="0056667C"/>
    <w:rsid w:val="005715E4"/>
    <w:rsid w:val="00573014"/>
    <w:rsid w:val="00581636"/>
    <w:rsid w:val="00587E3E"/>
    <w:rsid w:val="00590A42"/>
    <w:rsid w:val="00592242"/>
    <w:rsid w:val="00592682"/>
    <w:rsid w:val="00592E4E"/>
    <w:rsid w:val="005A0D78"/>
    <w:rsid w:val="005A1740"/>
    <w:rsid w:val="005A6486"/>
    <w:rsid w:val="005B3978"/>
    <w:rsid w:val="005B4BFB"/>
    <w:rsid w:val="005C1D29"/>
    <w:rsid w:val="005C660D"/>
    <w:rsid w:val="005D3346"/>
    <w:rsid w:val="005E4B17"/>
    <w:rsid w:val="005E7D1D"/>
    <w:rsid w:val="005F3328"/>
    <w:rsid w:val="005F67CD"/>
    <w:rsid w:val="0060384B"/>
    <w:rsid w:val="00604FA0"/>
    <w:rsid w:val="00607FA8"/>
    <w:rsid w:val="00610DE5"/>
    <w:rsid w:val="006136EF"/>
    <w:rsid w:val="00613818"/>
    <w:rsid w:val="006144E4"/>
    <w:rsid w:val="00615C3B"/>
    <w:rsid w:val="006235A8"/>
    <w:rsid w:val="00624E6D"/>
    <w:rsid w:val="006320F6"/>
    <w:rsid w:val="00633BC2"/>
    <w:rsid w:val="00634237"/>
    <w:rsid w:val="00636DF4"/>
    <w:rsid w:val="00637270"/>
    <w:rsid w:val="00641516"/>
    <w:rsid w:val="00645A66"/>
    <w:rsid w:val="00650C65"/>
    <w:rsid w:val="00651834"/>
    <w:rsid w:val="00652D3F"/>
    <w:rsid w:val="00652E4D"/>
    <w:rsid w:val="00652F8D"/>
    <w:rsid w:val="00653886"/>
    <w:rsid w:val="0066183E"/>
    <w:rsid w:val="00662A8F"/>
    <w:rsid w:val="006642A1"/>
    <w:rsid w:val="00666EA6"/>
    <w:rsid w:val="00672825"/>
    <w:rsid w:val="00672882"/>
    <w:rsid w:val="00675417"/>
    <w:rsid w:val="0067796E"/>
    <w:rsid w:val="006844AC"/>
    <w:rsid w:val="00690324"/>
    <w:rsid w:val="0069275E"/>
    <w:rsid w:val="00694145"/>
    <w:rsid w:val="00695B1A"/>
    <w:rsid w:val="006967FE"/>
    <w:rsid w:val="006A2781"/>
    <w:rsid w:val="006A3ECF"/>
    <w:rsid w:val="006A5F4D"/>
    <w:rsid w:val="006B095A"/>
    <w:rsid w:val="006B6EFB"/>
    <w:rsid w:val="006B70A0"/>
    <w:rsid w:val="006C0091"/>
    <w:rsid w:val="006C2A75"/>
    <w:rsid w:val="006C3C40"/>
    <w:rsid w:val="006C62DE"/>
    <w:rsid w:val="006D119E"/>
    <w:rsid w:val="006D23F4"/>
    <w:rsid w:val="006D356D"/>
    <w:rsid w:val="006D4939"/>
    <w:rsid w:val="006D77E1"/>
    <w:rsid w:val="006E60E0"/>
    <w:rsid w:val="006E7199"/>
    <w:rsid w:val="006E7ABB"/>
    <w:rsid w:val="006E7F37"/>
    <w:rsid w:val="006F064F"/>
    <w:rsid w:val="006F5137"/>
    <w:rsid w:val="006F6116"/>
    <w:rsid w:val="006F7C13"/>
    <w:rsid w:val="0070061E"/>
    <w:rsid w:val="00701522"/>
    <w:rsid w:val="007057F1"/>
    <w:rsid w:val="0070606F"/>
    <w:rsid w:val="00711358"/>
    <w:rsid w:val="007118D2"/>
    <w:rsid w:val="00712BB2"/>
    <w:rsid w:val="00716CA2"/>
    <w:rsid w:val="00717F2B"/>
    <w:rsid w:val="00722525"/>
    <w:rsid w:val="00722F37"/>
    <w:rsid w:val="007232B9"/>
    <w:rsid w:val="00730575"/>
    <w:rsid w:val="007333E1"/>
    <w:rsid w:val="007440BD"/>
    <w:rsid w:val="007470E5"/>
    <w:rsid w:val="00747CA1"/>
    <w:rsid w:val="00752EDA"/>
    <w:rsid w:val="00754970"/>
    <w:rsid w:val="00755C1F"/>
    <w:rsid w:val="00756E3F"/>
    <w:rsid w:val="00757790"/>
    <w:rsid w:val="00762410"/>
    <w:rsid w:val="00764617"/>
    <w:rsid w:val="0077275F"/>
    <w:rsid w:val="007779EC"/>
    <w:rsid w:val="00780DCB"/>
    <w:rsid w:val="007819B1"/>
    <w:rsid w:val="00781CCA"/>
    <w:rsid w:val="00783EB1"/>
    <w:rsid w:val="007860DD"/>
    <w:rsid w:val="00790F8C"/>
    <w:rsid w:val="00793C6D"/>
    <w:rsid w:val="0079691A"/>
    <w:rsid w:val="0079776D"/>
    <w:rsid w:val="007A0688"/>
    <w:rsid w:val="007A1444"/>
    <w:rsid w:val="007A22A7"/>
    <w:rsid w:val="007A517E"/>
    <w:rsid w:val="007A61AF"/>
    <w:rsid w:val="007A6DDB"/>
    <w:rsid w:val="007B2518"/>
    <w:rsid w:val="007B4A51"/>
    <w:rsid w:val="007B4F90"/>
    <w:rsid w:val="007C155D"/>
    <w:rsid w:val="007C19BE"/>
    <w:rsid w:val="007C5743"/>
    <w:rsid w:val="007D0E41"/>
    <w:rsid w:val="007D3D83"/>
    <w:rsid w:val="007D4869"/>
    <w:rsid w:val="007D4BA0"/>
    <w:rsid w:val="007E4866"/>
    <w:rsid w:val="007E752E"/>
    <w:rsid w:val="007F1403"/>
    <w:rsid w:val="007F1D48"/>
    <w:rsid w:val="007F4E65"/>
    <w:rsid w:val="007F58CA"/>
    <w:rsid w:val="007F5F43"/>
    <w:rsid w:val="007F7BE9"/>
    <w:rsid w:val="008008C4"/>
    <w:rsid w:val="008015B3"/>
    <w:rsid w:val="00802A37"/>
    <w:rsid w:val="0080377F"/>
    <w:rsid w:val="00804B67"/>
    <w:rsid w:val="00806FB4"/>
    <w:rsid w:val="0080726A"/>
    <w:rsid w:val="008075D9"/>
    <w:rsid w:val="00810622"/>
    <w:rsid w:val="008159F6"/>
    <w:rsid w:val="00816CB5"/>
    <w:rsid w:val="008174F1"/>
    <w:rsid w:val="00820D05"/>
    <w:rsid w:val="0082357D"/>
    <w:rsid w:val="008235C3"/>
    <w:rsid w:val="00826422"/>
    <w:rsid w:val="00827794"/>
    <w:rsid w:val="008307B1"/>
    <w:rsid w:val="008307F8"/>
    <w:rsid w:val="00831A69"/>
    <w:rsid w:val="00840E2A"/>
    <w:rsid w:val="008436C0"/>
    <w:rsid w:val="00843A06"/>
    <w:rsid w:val="008447A2"/>
    <w:rsid w:val="00845616"/>
    <w:rsid w:val="008466F8"/>
    <w:rsid w:val="00850B18"/>
    <w:rsid w:val="0086147C"/>
    <w:rsid w:val="008625E8"/>
    <w:rsid w:val="00864A2E"/>
    <w:rsid w:val="00866319"/>
    <w:rsid w:val="008669AF"/>
    <w:rsid w:val="00872A68"/>
    <w:rsid w:val="00874D82"/>
    <w:rsid w:val="00876CD6"/>
    <w:rsid w:val="008814AB"/>
    <w:rsid w:val="008855A7"/>
    <w:rsid w:val="0089158C"/>
    <w:rsid w:val="008A01A4"/>
    <w:rsid w:val="008A0349"/>
    <w:rsid w:val="008A0EE3"/>
    <w:rsid w:val="008A25D2"/>
    <w:rsid w:val="008A4BAC"/>
    <w:rsid w:val="008A6384"/>
    <w:rsid w:val="008A7CC0"/>
    <w:rsid w:val="008B01D6"/>
    <w:rsid w:val="008B0C07"/>
    <w:rsid w:val="008B18B3"/>
    <w:rsid w:val="008B276E"/>
    <w:rsid w:val="008C212D"/>
    <w:rsid w:val="008C2691"/>
    <w:rsid w:val="008C2C6A"/>
    <w:rsid w:val="008C4C9E"/>
    <w:rsid w:val="008C700B"/>
    <w:rsid w:val="008D5C51"/>
    <w:rsid w:val="008E0951"/>
    <w:rsid w:val="008E1461"/>
    <w:rsid w:val="008E4AEF"/>
    <w:rsid w:val="008E50F1"/>
    <w:rsid w:val="008E7FD6"/>
    <w:rsid w:val="008F1B7A"/>
    <w:rsid w:val="008F246F"/>
    <w:rsid w:val="008F345B"/>
    <w:rsid w:val="008F3483"/>
    <w:rsid w:val="008F4344"/>
    <w:rsid w:val="008F6440"/>
    <w:rsid w:val="0090043C"/>
    <w:rsid w:val="009004F6"/>
    <w:rsid w:val="00900533"/>
    <w:rsid w:val="00906958"/>
    <w:rsid w:val="00911BFB"/>
    <w:rsid w:val="00917EBF"/>
    <w:rsid w:val="00920E83"/>
    <w:rsid w:val="00923B9C"/>
    <w:rsid w:val="00926CBE"/>
    <w:rsid w:val="00932855"/>
    <w:rsid w:val="00932BF3"/>
    <w:rsid w:val="00932DFF"/>
    <w:rsid w:val="00937112"/>
    <w:rsid w:val="00937412"/>
    <w:rsid w:val="009405ED"/>
    <w:rsid w:val="00941246"/>
    <w:rsid w:val="00946C2C"/>
    <w:rsid w:val="00951616"/>
    <w:rsid w:val="009520F1"/>
    <w:rsid w:val="0095544F"/>
    <w:rsid w:val="009565FD"/>
    <w:rsid w:val="00962331"/>
    <w:rsid w:val="009636CE"/>
    <w:rsid w:val="009721FF"/>
    <w:rsid w:val="00974AE0"/>
    <w:rsid w:val="0097539B"/>
    <w:rsid w:val="00990792"/>
    <w:rsid w:val="0099175E"/>
    <w:rsid w:val="009A1652"/>
    <w:rsid w:val="009A5F09"/>
    <w:rsid w:val="009A69B7"/>
    <w:rsid w:val="009B0BEB"/>
    <w:rsid w:val="009B2215"/>
    <w:rsid w:val="009B6DEB"/>
    <w:rsid w:val="009C14BC"/>
    <w:rsid w:val="009C2ACC"/>
    <w:rsid w:val="009C4501"/>
    <w:rsid w:val="009C5112"/>
    <w:rsid w:val="009C5B51"/>
    <w:rsid w:val="009D2DFB"/>
    <w:rsid w:val="009D3551"/>
    <w:rsid w:val="009D4F72"/>
    <w:rsid w:val="009D6178"/>
    <w:rsid w:val="009D6904"/>
    <w:rsid w:val="009E0425"/>
    <w:rsid w:val="009E22E7"/>
    <w:rsid w:val="009E2840"/>
    <w:rsid w:val="009E4845"/>
    <w:rsid w:val="009E4DB4"/>
    <w:rsid w:val="009E781C"/>
    <w:rsid w:val="009F141C"/>
    <w:rsid w:val="009F454F"/>
    <w:rsid w:val="009F7537"/>
    <w:rsid w:val="00A00023"/>
    <w:rsid w:val="00A00DD5"/>
    <w:rsid w:val="00A00F89"/>
    <w:rsid w:val="00A0390C"/>
    <w:rsid w:val="00A06EBE"/>
    <w:rsid w:val="00A21A39"/>
    <w:rsid w:val="00A2451C"/>
    <w:rsid w:val="00A24646"/>
    <w:rsid w:val="00A25466"/>
    <w:rsid w:val="00A275C2"/>
    <w:rsid w:val="00A277A0"/>
    <w:rsid w:val="00A3616E"/>
    <w:rsid w:val="00A36B70"/>
    <w:rsid w:val="00A376AF"/>
    <w:rsid w:val="00A3776C"/>
    <w:rsid w:val="00A44BBC"/>
    <w:rsid w:val="00A54542"/>
    <w:rsid w:val="00A563C4"/>
    <w:rsid w:val="00A56F92"/>
    <w:rsid w:val="00A57FC2"/>
    <w:rsid w:val="00A614E7"/>
    <w:rsid w:val="00A61E25"/>
    <w:rsid w:val="00A63BAA"/>
    <w:rsid w:val="00A63EB5"/>
    <w:rsid w:val="00A67065"/>
    <w:rsid w:val="00A712AA"/>
    <w:rsid w:val="00A71E56"/>
    <w:rsid w:val="00A741F4"/>
    <w:rsid w:val="00A77166"/>
    <w:rsid w:val="00A81666"/>
    <w:rsid w:val="00A91904"/>
    <w:rsid w:val="00A924A5"/>
    <w:rsid w:val="00A92650"/>
    <w:rsid w:val="00A92E09"/>
    <w:rsid w:val="00A94BF7"/>
    <w:rsid w:val="00AA1952"/>
    <w:rsid w:val="00AA2393"/>
    <w:rsid w:val="00AA4D08"/>
    <w:rsid w:val="00AA5637"/>
    <w:rsid w:val="00AA5DC5"/>
    <w:rsid w:val="00AA6FA1"/>
    <w:rsid w:val="00AB1C83"/>
    <w:rsid w:val="00AB79CD"/>
    <w:rsid w:val="00AC3513"/>
    <w:rsid w:val="00AC657A"/>
    <w:rsid w:val="00AC6C47"/>
    <w:rsid w:val="00AD6736"/>
    <w:rsid w:val="00AF0B5C"/>
    <w:rsid w:val="00AF23EC"/>
    <w:rsid w:val="00AF2439"/>
    <w:rsid w:val="00AF4199"/>
    <w:rsid w:val="00B0016E"/>
    <w:rsid w:val="00B004B3"/>
    <w:rsid w:val="00B04EEF"/>
    <w:rsid w:val="00B056B8"/>
    <w:rsid w:val="00B05B9A"/>
    <w:rsid w:val="00B06EE7"/>
    <w:rsid w:val="00B1006A"/>
    <w:rsid w:val="00B16112"/>
    <w:rsid w:val="00B17473"/>
    <w:rsid w:val="00B24039"/>
    <w:rsid w:val="00B24220"/>
    <w:rsid w:val="00B3171D"/>
    <w:rsid w:val="00B32382"/>
    <w:rsid w:val="00B335FB"/>
    <w:rsid w:val="00B44265"/>
    <w:rsid w:val="00B44870"/>
    <w:rsid w:val="00B45FC7"/>
    <w:rsid w:val="00B471DE"/>
    <w:rsid w:val="00B506A2"/>
    <w:rsid w:val="00B5081B"/>
    <w:rsid w:val="00B508E5"/>
    <w:rsid w:val="00B50BB0"/>
    <w:rsid w:val="00B5465B"/>
    <w:rsid w:val="00B561BB"/>
    <w:rsid w:val="00B608FD"/>
    <w:rsid w:val="00B60A84"/>
    <w:rsid w:val="00B62211"/>
    <w:rsid w:val="00B6292C"/>
    <w:rsid w:val="00B7019B"/>
    <w:rsid w:val="00B73E3B"/>
    <w:rsid w:val="00B83075"/>
    <w:rsid w:val="00B83B34"/>
    <w:rsid w:val="00B83B88"/>
    <w:rsid w:val="00B83C66"/>
    <w:rsid w:val="00B87874"/>
    <w:rsid w:val="00B904B0"/>
    <w:rsid w:val="00B9225F"/>
    <w:rsid w:val="00B938E2"/>
    <w:rsid w:val="00B9413C"/>
    <w:rsid w:val="00BA0AEA"/>
    <w:rsid w:val="00BA5B43"/>
    <w:rsid w:val="00BA66C8"/>
    <w:rsid w:val="00BB2909"/>
    <w:rsid w:val="00BB32BC"/>
    <w:rsid w:val="00BB3327"/>
    <w:rsid w:val="00BB444A"/>
    <w:rsid w:val="00BB5E11"/>
    <w:rsid w:val="00BB6DB4"/>
    <w:rsid w:val="00BC0098"/>
    <w:rsid w:val="00BC08ED"/>
    <w:rsid w:val="00BC1566"/>
    <w:rsid w:val="00BC4B95"/>
    <w:rsid w:val="00BC7A17"/>
    <w:rsid w:val="00BD04C8"/>
    <w:rsid w:val="00BD1745"/>
    <w:rsid w:val="00BD2614"/>
    <w:rsid w:val="00BD40A1"/>
    <w:rsid w:val="00BD5149"/>
    <w:rsid w:val="00BD6BD4"/>
    <w:rsid w:val="00BD774A"/>
    <w:rsid w:val="00BE08D7"/>
    <w:rsid w:val="00BE30F1"/>
    <w:rsid w:val="00BE44C5"/>
    <w:rsid w:val="00BE468B"/>
    <w:rsid w:val="00BE6F99"/>
    <w:rsid w:val="00BF20BA"/>
    <w:rsid w:val="00BF4DA9"/>
    <w:rsid w:val="00BF7376"/>
    <w:rsid w:val="00BF7F90"/>
    <w:rsid w:val="00C01143"/>
    <w:rsid w:val="00C0178B"/>
    <w:rsid w:val="00C01CD3"/>
    <w:rsid w:val="00C023C2"/>
    <w:rsid w:val="00C074A4"/>
    <w:rsid w:val="00C0784C"/>
    <w:rsid w:val="00C07B03"/>
    <w:rsid w:val="00C1309D"/>
    <w:rsid w:val="00C206AD"/>
    <w:rsid w:val="00C20B50"/>
    <w:rsid w:val="00C21578"/>
    <w:rsid w:val="00C2179D"/>
    <w:rsid w:val="00C22E48"/>
    <w:rsid w:val="00C3294E"/>
    <w:rsid w:val="00C332D8"/>
    <w:rsid w:val="00C333F5"/>
    <w:rsid w:val="00C367EB"/>
    <w:rsid w:val="00C40E58"/>
    <w:rsid w:val="00C43EE3"/>
    <w:rsid w:val="00C458BC"/>
    <w:rsid w:val="00C47876"/>
    <w:rsid w:val="00C4795E"/>
    <w:rsid w:val="00C55F8C"/>
    <w:rsid w:val="00C56685"/>
    <w:rsid w:val="00C61F86"/>
    <w:rsid w:val="00C62F56"/>
    <w:rsid w:val="00C637BD"/>
    <w:rsid w:val="00C63D30"/>
    <w:rsid w:val="00C64954"/>
    <w:rsid w:val="00C67528"/>
    <w:rsid w:val="00C70D76"/>
    <w:rsid w:val="00C71CB9"/>
    <w:rsid w:val="00C75133"/>
    <w:rsid w:val="00C75FA2"/>
    <w:rsid w:val="00C77D35"/>
    <w:rsid w:val="00C813E5"/>
    <w:rsid w:val="00C81F12"/>
    <w:rsid w:val="00C84A23"/>
    <w:rsid w:val="00C864A2"/>
    <w:rsid w:val="00C87049"/>
    <w:rsid w:val="00C87921"/>
    <w:rsid w:val="00C948A7"/>
    <w:rsid w:val="00CA19E0"/>
    <w:rsid w:val="00CA448A"/>
    <w:rsid w:val="00CA45C7"/>
    <w:rsid w:val="00CA6321"/>
    <w:rsid w:val="00CA64DA"/>
    <w:rsid w:val="00CB1D87"/>
    <w:rsid w:val="00CB2308"/>
    <w:rsid w:val="00CC0A25"/>
    <w:rsid w:val="00CC3E94"/>
    <w:rsid w:val="00CC5AD1"/>
    <w:rsid w:val="00CC617A"/>
    <w:rsid w:val="00CD5786"/>
    <w:rsid w:val="00CD62C2"/>
    <w:rsid w:val="00CE4977"/>
    <w:rsid w:val="00CE5B86"/>
    <w:rsid w:val="00CE5DCC"/>
    <w:rsid w:val="00CE6334"/>
    <w:rsid w:val="00CE7937"/>
    <w:rsid w:val="00CF1FCB"/>
    <w:rsid w:val="00CF480D"/>
    <w:rsid w:val="00CF5F35"/>
    <w:rsid w:val="00D00C77"/>
    <w:rsid w:val="00D03CF8"/>
    <w:rsid w:val="00D056FA"/>
    <w:rsid w:val="00D0795C"/>
    <w:rsid w:val="00D10DC5"/>
    <w:rsid w:val="00D13470"/>
    <w:rsid w:val="00D1575B"/>
    <w:rsid w:val="00D15FD6"/>
    <w:rsid w:val="00D17619"/>
    <w:rsid w:val="00D17D18"/>
    <w:rsid w:val="00D21F17"/>
    <w:rsid w:val="00D2351E"/>
    <w:rsid w:val="00D3394B"/>
    <w:rsid w:val="00D3666C"/>
    <w:rsid w:val="00D4443A"/>
    <w:rsid w:val="00D476BE"/>
    <w:rsid w:val="00D50709"/>
    <w:rsid w:val="00D50D38"/>
    <w:rsid w:val="00D50E2E"/>
    <w:rsid w:val="00D51702"/>
    <w:rsid w:val="00D523B2"/>
    <w:rsid w:val="00D5507A"/>
    <w:rsid w:val="00D600FE"/>
    <w:rsid w:val="00D61D34"/>
    <w:rsid w:val="00D62D26"/>
    <w:rsid w:val="00D63CA4"/>
    <w:rsid w:val="00D64BDF"/>
    <w:rsid w:val="00D6694E"/>
    <w:rsid w:val="00D677EA"/>
    <w:rsid w:val="00D67DBF"/>
    <w:rsid w:val="00D715A1"/>
    <w:rsid w:val="00D82927"/>
    <w:rsid w:val="00D84570"/>
    <w:rsid w:val="00D8616C"/>
    <w:rsid w:val="00D86A39"/>
    <w:rsid w:val="00D86A87"/>
    <w:rsid w:val="00D87A80"/>
    <w:rsid w:val="00D90B6E"/>
    <w:rsid w:val="00D93690"/>
    <w:rsid w:val="00DB1BCB"/>
    <w:rsid w:val="00DB1EDF"/>
    <w:rsid w:val="00DC0085"/>
    <w:rsid w:val="00DC1483"/>
    <w:rsid w:val="00DC5098"/>
    <w:rsid w:val="00DC5778"/>
    <w:rsid w:val="00DD24D7"/>
    <w:rsid w:val="00DD460C"/>
    <w:rsid w:val="00DD4DB6"/>
    <w:rsid w:val="00DD6744"/>
    <w:rsid w:val="00DD6A57"/>
    <w:rsid w:val="00DE0183"/>
    <w:rsid w:val="00DE0DBB"/>
    <w:rsid w:val="00DE1BC0"/>
    <w:rsid w:val="00DE65C6"/>
    <w:rsid w:val="00DE7C35"/>
    <w:rsid w:val="00DE7E30"/>
    <w:rsid w:val="00DF0277"/>
    <w:rsid w:val="00DF101A"/>
    <w:rsid w:val="00DF1EA3"/>
    <w:rsid w:val="00DF1F68"/>
    <w:rsid w:val="00DF31B7"/>
    <w:rsid w:val="00DF760B"/>
    <w:rsid w:val="00E00F10"/>
    <w:rsid w:val="00E01C49"/>
    <w:rsid w:val="00E05864"/>
    <w:rsid w:val="00E06F81"/>
    <w:rsid w:val="00E072FC"/>
    <w:rsid w:val="00E074AD"/>
    <w:rsid w:val="00E123FC"/>
    <w:rsid w:val="00E14389"/>
    <w:rsid w:val="00E216BF"/>
    <w:rsid w:val="00E269D4"/>
    <w:rsid w:val="00E30F0E"/>
    <w:rsid w:val="00E31D8C"/>
    <w:rsid w:val="00E3387C"/>
    <w:rsid w:val="00E33A31"/>
    <w:rsid w:val="00E3543F"/>
    <w:rsid w:val="00E3738F"/>
    <w:rsid w:val="00E4201B"/>
    <w:rsid w:val="00E425CF"/>
    <w:rsid w:val="00E454A9"/>
    <w:rsid w:val="00E50BB9"/>
    <w:rsid w:val="00E54937"/>
    <w:rsid w:val="00E63662"/>
    <w:rsid w:val="00E72141"/>
    <w:rsid w:val="00E76EC7"/>
    <w:rsid w:val="00E802A9"/>
    <w:rsid w:val="00E81FC1"/>
    <w:rsid w:val="00E830B7"/>
    <w:rsid w:val="00E843FA"/>
    <w:rsid w:val="00E84676"/>
    <w:rsid w:val="00E85E44"/>
    <w:rsid w:val="00E86420"/>
    <w:rsid w:val="00E8765F"/>
    <w:rsid w:val="00E92797"/>
    <w:rsid w:val="00EA062E"/>
    <w:rsid w:val="00EA22B6"/>
    <w:rsid w:val="00EA448D"/>
    <w:rsid w:val="00EA4C31"/>
    <w:rsid w:val="00EA794C"/>
    <w:rsid w:val="00EB0324"/>
    <w:rsid w:val="00EB1B2B"/>
    <w:rsid w:val="00EB35AF"/>
    <w:rsid w:val="00EB5C8D"/>
    <w:rsid w:val="00EB7AAB"/>
    <w:rsid w:val="00EC2138"/>
    <w:rsid w:val="00EC3BC2"/>
    <w:rsid w:val="00EC4A3A"/>
    <w:rsid w:val="00EC4C15"/>
    <w:rsid w:val="00EC5C85"/>
    <w:rsid w:val="00ED0F3C"/>
    <w:rsid w:val="00ED21F7"/>
    <w:rsid w:val="00ED44E8"/>
    <w:rsid w:val="00EE03EB"/>
    <w:rsid w:val="00EE199C"/>
    <w:rsid w:val="00EE1A5F"/>
    <w:rsid w:val="00EE30D4"/>
    <w:rsid w:val="00EE4FC4"/>
    <w:rsid w:val="00EE5B74"/>
    <w:rsid w:val="00EE60E0"/>
    <w:rsid w:val="00EE66F0"/>
    <w:rsid w:val="00EF00BF"/>
    <w:rsid w:val="00EF6902"/>
    <w:rsid w:val="00EF77CC"/>
    <w:rsid w:val="00EF78C9"/>
    <w:rsid w:val="00F00B03"/>
    <w:rsid w:val="00F017C0"/>
    <w:rsid w:val="00F03A90"/>
    <w:rsid w:val="00F07287"/>
    <w:rsid w:val="00F07B78"/>
    <w:rsid w:val="00F13600"/>
    <w:rsid w:val="00F14E30"/>
    <w:rsid w:val="00F1696A"/>
    <w:rsid w:val="00F21C96"/>
    <w:rsid w:val="00F229F0"/>
    <w:rsid w:val="00F32E8A"/>
    <w:rsid w:val="00F3432A"/>
    <w:rsid w:val="00F347D7"/>
    <w:rsid w:val="00F348F6"/>
    <w:rsid w:val="00F3528D"/>
    <w:rsid w:val="00F36A85"/>
    <w:rsid w:val="00F41250"/>
    <w:rsid w:val="00F4594D"/>
    <w:rsid w:val="00F47CFB"/>
    <w:rsid w:val="00F5029E"/>
    <w:rsid w:val="00F5084A"/>
    <w:rsid w:val="00F51109"/>
    <w:rsid w:val="00F51B0A"/>
    <w:rsid w:val="00F56198"/>
    <w:rsid w:val="00F61685"/>
    <w:rsid w:val="00F62406"/>
    <w:rsid w:val="00F63661"/>
    <w:rsid w:val="00F71C9F"/>
    <w:rsid w:val="00F72EC6"/>
    <w:rsid w:val="00F73DA5"/>
    <w:rsid w:val="00F7618C"/>
    <w:rsid w:val="00F8289A"/>
    <w:rsid w:val="00F928D4"/>
    <w:rsid w:val="00F92F79"/>
    <w:rsid w:val="00F93E62"/>
    <w:rsid w:val="00F952FB"/>
    <w:rsid w:val="00FA0F04"/>
    <w:rsid w:val="00FA2FA0"/>
    <w:rsid w:val="00FA5F13"/>
    <w:rsid w:val="00FB2AB7"/>
    <w:rsid w:val="00FB48A0"/>
    <w:rsid w:val="00FB5809"/>
    <w:rsid w:val="00FB689B"/>
    <w:rsid w:val="00FC2E3B"/>
    <w:rsid w:val="00FC4131"/>
    <w:rsid w:val="00FC45B7"/>
    <w:rsid w:val="00FC4C4E"/>
    <w:rsid w:val="00FD06CF"/>
    <w:rsid w:val="00FD108E"/>
    <w:rsid w:val="00FD3AC7"/>
    <w:rsid w:val="00FD6FBE"/>
    <w:rsid w:val="00FD7719"/>
    <w:rsid w:val="00FE395C"/>
    <w:rsid w:val="00FE6CF6"/>
    <w:rsid w:val="00FF0781"/>
    <w:rsid w:val="00FF2028"/>
    <w:rsid w:val="00FF3E22"/>
    <w:rsid w:val="00FF4D00"/>
    <w:rsid w:val="00FF7A56"/>
    <w:rsid w:val="00FF7C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141423"/>
  <w15:docId w15:val="{911B1CFB-7EE5-4BFF-B7FB-5534B289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E7AB3"/>
    <w:pPr>
      <w:ind w:left="720"/>
      <w:contextualSpacing/>
    </w:pPr>
  </w:style>
  <w:style w:type="paragraph" w:styleId="Normalwebb">
    <w:name w:val="Normal (Web)"/>
    <w:basedOn w:val="Normal"/>
    <w:uiPriority w:val="99"/>
    <w:unhideWhenUsed/>
    <w:rsid w:val="00B0016E"/>
    <w:pPr>
      <w:widowControl/>
      <w:spacing w:before="100" w:beforeAutospacing="1" w:after="100" w:afterAutospacing="1" w:line="240" w:lineRule="auto"/>
    </w:pPr>
    <w:rPr>
      <w:rFonts w:ascii="Times New Roman" w:eastAsiaTheme="minorEastAsia" w:hAnsi="Times New Roman" w:cs="Times New Roman"/>
      <w:sz w:val="24"/>
      <w:szCs w:val="24"/>
    </w:rPr>
  </w:style>
  <w:style w:type="character" w:styleId="Stark">
    <w:name w:val="Strong"/>
    <w:basedOn w:val="Standardstycketeckensnitt"/>
    <w:uiPriority w:val="22"/>
    <w:qFormat/>
    <w:rsid w:val="00B0016E"/>
    <w:rPr>
      <w:b/>
      <w:bCs/>
    </w:rPr>
  </w:style>
  <w:style w:type="paragraph" w:customStyle="1" w:styleId="Sous-titre2">
    <w:name w:val="Sous-titre2"/>
    <w:basedOn w:val="Normal"/>
    <w:rsid w:val="00B0016E"/>
    <w:pPr>
      <w:widowControl/>
      <w:spacing w:before="225" w:after="225" w:line="240" w:lineRule="auto"/>
    </w:pPr>
    <w:rPr>
      <w:rFonts w:ascii="Arial" w:eastAsiaTheme="minorEastAsia" w:hAnsi="Arial" w:cs="Arial"/>
      <w:b/>
      <w:bCs/>
      <w:sz w:val="24"/>
      <w:szCs w:val="24"/>
    </w:rPr>
  </w:style>
  <w:style w:type="table" w:styleId="Ljusskuggning-dekorfrg1">
    <w:name w:val="Light Shading Accent 1"/>
    <w:basedOn w:val="Normaltabell"/>
    <w:uiPriority w:val="60"/>
    <w:rsid w:val="00B0016E"/>
    <w:pPr>
      <w:widowControl/>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ngtext">
    <w:name w:val="Balloon Text"/>
    <w:basedOn w:val="Normal"/>
    <w:link w:val="BallongtextChar"/>
    <w:uiPriority w:val="99"/>
    <w:semiHidden/>
    <w:unhideWhenUsed/>
    <w:rsid w:val="007470E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70E5"/>
    <w:rPr>
      <w:rFonts w:ascii="Segoe UI" w:hAnsi="Segoe UI" w:cs="Segoe UI"/>
      <w:sz w:val="18"/>
      <w:szCs w:val="18"/>
    </w:rPr>
  </w:style>
  <w:style w:type="character" w:styleId="Kommentarsreferens">
    <w:name w:val="annotation reference"/>
    <w:basedOn w:val="Standardstycketeckensnitt"/>
    <w:uiPriority w:val="99"/>
    <w:semiHidden/>
    <w:unhideWhenUsed/>
    <w:rsid w:val="0006617C"/>
    <w:rPr>
      <w:sz w:val="16"/>
      <w:szCs w:val="16"/>
    </w:rPr>
  </w:style>
  <w:style w:type="paragraph" w:styleId="Kommentarer">
    <w:name w:val="annotation text"/>
    <w:basedOn w:val="Normal"/>
    <w:link w:val="KommentarerChar"/>
    <w:uiPriority w:val="99"/>
    <w:semiHidden/>
    <w:unhideWhenUsed/>
    <w:rsid w:val="0006617C"/>
    <w:pPr>
      <w:spacing w:line="240" w:lineRule="auto"/>
    </w:pPr>
    <w:rPr>
      <w:sz w:val="20"/>
      <w:szCs w:val="20"/>
    </w:rPr>
  </w:style>
  <w:style w:type="character" w:customStyle="1" w:styleId="KommentarerChar">
    <w:name w:val="Kommentarer Char"/>
    <w:basedOn w:val="Standardstycketeckensnitt"/>
    <w:link w:val="Kommentarer"/>
    <w:uiPriority w:val="99"/>
    <w:semiHidden/>
    <w:rsid w:val="0006617C"/>
    <w:rPr>
      <w:sz w:val="20"/>
      <w:szCs w:val="20"/>
    </w:rPr>
  </w:style>
  <w:style w:type="paragraph" w:styleId="Kommentarsmne">
    <w:name w:val="annotation subject"/>
    <w:basedOn w:val="Kommentarer"/>
    <w:next w:val="Kommentarer"/>
    <w:link w:val="KommentarsmneChar"/>
    <w:uiPriority w:val="99"/>
    <w:semiHidden/>
    <w:unhideWhenUsed/>
    <w:rsid w:val="0006617C"/>
    <w:rPr>
      <w:b/>
      <w:bCs/>
    </w:rPr>
  </w:style>
  <w:style w:type="character" w:customStyle="1" w:styleId="KommentarsmneChar">
    <w:name w:val="Kommentarsämne Char"/>
    <w:basedOn w:val="KommentarerChar"/>
    <w:link w:val="Kommentarsmne"/>
    <w:uiPriority w:val="99"/>
    <w:semiHidden/>
    <w:rsid w:val="0006617C"/>
    <w:rPr>
      <w:b/>
      <w:bCs/>
      <w:sz w:val="20"/>
      <w:szCs w:val="20"/>
    </w:rPr>
  </w:style>
  <w:style w:type="character" w:styleId="Platshllartext">
    <w:name w:val="Placeholder Text"/>
    <w:basedOn w:val="Standardstycketeckensnitt"/>
    <w:uiPriority w:val="99"/>
    <w:semiHidden/>
    <w:rsid w:val="00FF7C8E"/>
    <w:rPr>
      <w:color w:val="808080"/>
    </w:rPr>
  </w:style>
  <w:style w:type="character" w:styleId="Hyperlnk">
    <w:name w:val="Hyperlink"/>
    <w:basedOn w:val="Standardstycketeckensnitt"/>
    <w:uiPriority w:val="99"/>
    <w:unhideWhenUsed/>
    <w:rsid w:val="00690324"/>
    <w:rPr>
      <w:color w:val="0000FF" w:themeColor="hyperlink"/>
      <w:u w:val="single"/>
    </w:rPr>
  </w:style>
  <w:style w:type="character" w:customStyle="1" w:styleId="signaturetitle9">
    <w:name w:val="signaturetitle9"/>
    <w:basedOn w:val="Standardstycketeckensnitt"/>
    <w:rsid w:val="00CB1D87"/>
  </w:style>
  <w:style w:type="paragraph" w:styleId="Fotnotstext">
    <w:name w:val="footnote text"/>
    <w:basedOn w:val="Normal"/>
    <w:link w:val="FotnotstextChar"/>
    <w:uiPriority w:val="99"/>
    <w:semiHidden/>
    <w:unhideWhenUsed/>
    <w:rsid w:val="00B1006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1006A"/>
    <w:rPr>
      <w:sz w:val="20"/>
      <w:szCs w:val="20"/>
    </w:rPr>
  </w:style>
  <w:style w:type="character" w:styleId="Fotnotsreferens">
    <w:name w:val="footnote reference"/>
    <w:basedOn w:val="Standardstycketeckensnitt"/>
    <w:uiPriority w:val="99"/>
    <w:semiHidden/>
    <w:unhideWhenUsed/>
    <w:rsid w:val="00B1006A"/>
    <w:rPr>
      <w:vertAlign w:val="superscript"/>
    </w:rPr>
  </w:style>
  <w:style w:type="paragraph" w:styleId="Slutnotstext">
    <w:name w:val="endnote text"/>
    <w:basedOn w:val="Normal"/>
    <w:link w:val="SlutnotstextChar"/>
    <w:uiPriority w:val="99"/>
    <w:semiHidden/>
    <w:unhideWhenUsed/>
    <w:rsid w:val="00B1006A"/>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006A"/>
    <w:rPr>
      <w:sz w:val="20"/>
      <w:szCs w:val="20"/>
    </w:rPr>
  </w:style>
  <w:style w:type="character" w:styleId="Slutnotsreferens">
    <w:name w:val="endnote reference"/>
    <w:basedOn w:val="Standardstycketeckensnitt"/>
    <w:uiPriority w:val="99"/>
    <w:semiHidden/>
    <w:unhideWhenUsed/>
    <w:rsid w:val="00B1006A"/>
    <w:rPr>
      <w:vertAlign w:val="superscript"/>
    </w:rPr>
  </w:style>
  <w:style w:type="paragraph" w:styleId="Sidhuvud">
    <w:name w:val="header"/>
    <w:basedOn w:val="Normal"/>
    <w:link w:val="SidhuvudChar"/>
    <w:uiPriority w:val="99"/>
    <w:unhideWhenUsed/>
    <w:rsid w:val="00B1006A"/>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B1006A"/>
  </w:style>
  <w:style w:type="paragraph" w:styleId="Sidfot">
    <w:name w:val="footer"/>
    <w:basedOn w:val="Normal"/>
    <w:link w:val="SidfotChar"/>
    <w:uiPriority w:val="99"/>
    <w:unhideWhenUsed/>
    <w:rsid w:val="00B1006A"/>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B10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865043">
      <w:bodyDiv w:val="1"/>
      <w:marLeft w:val="0"/>
      <w:marRight w:val="0"/>
      <w:marTop w:val="0"/>
      <w:marBottom w:val="0"/>
      <w:divBdr>
        <w:top w:val="none" w:sz="0" w:space="0" w:color="auto"/>
        <w:left w:val="none" w:sz="0" w:space="0" w:color="auto"/>
        <w:bottom w:val="none" w:sz="0" w:space="0" w:color="auto"/>
        <w:right w:val="none" w:sz="0" w:space="0" w:color="auto"/>
      </w:divBdr>
    </w:div>
    <w:div w:id="919602335">
      <w:bodyDiv w:val="1"/>
      <w:marLeft w:val="0"/>
      <w:marRight w:val="0"/>
      <w:marTop w:val="0"/>
      <w:marBottom w:val="0"/>
      <w:divBdr>
        <w:top w:val="none" w:sz="0" w:space="0" w:color="auto"/>
        <w:left w:val="none" w:sz="0" w:space="0" w:color="auto"/>
        <w:bottom w:val="none" w:sz="0" w:space="0" w:color="auto"/>
        <w:right w:val="none" w:sz="0" w:space="0" w:color="auto"/>
      </w:divBdr>
    </w:div>
    <w:div w:id="934630420">
      <w:bodyDiv w:val="1"/>
      <w:marLeft w:val="0"/>
      <w:marRight w:val="0"/>
      <w:marTop w:val="0"/>
      <w:marBottom w:val="0"/>
      <w:divBdr>
        <w:top w:val="none" w:sz="0" w:space="0" w:color="auto"/>
        <w:left w:val="none" w:sz="0" w:space="0" w:color="auto"/>
        <w:bottom w:val="none" w:sz="0" w:space="0" w:color="auto"/>
        <w:right w:val="none" w:sz="0" w:space="0" w:color="auto"/>
      </w:divBdr>
    </w:div>
    <w:div w:id="942036760">
      <w:bodyDiv w:val="1"/>
      <w:marLeft w:val="0"/>
      <w:marRight w:val="0"/>
      <w:marTop w:val="0"/>
      <w:marBottom w:val="0"/>
      <w:divBdr>
        <w:top w:val="none" w:sz="0" w:space="0" w:color="auto"/>
        <w:left w:val="none" w:sz="0" w:space="0" w:color="auto"/>
        <w:bottom w:val="none" w:sz="0" w:space="0" w:color="auto"/>
        <w:right w:val="none" w:sz="0" w:space="0" w:color="auto"/>
      </w:divBdr>
    </w:div>
    <w:div w:id="1133327215">
      <w:bodyDiv w:val="1"/>
      <w:marLeft w:val="0"/>
      <w:marRight w:val="0"/>
      <w:marTop w:val="0"/>
      <w:marBottom w:val="0"/>
      <w:divBdr>
        <w:top w:val="none" w:sz="0" w:space="0" w:color="auto"/>
        <w:left w:val="none" w:sz="0" w:space="0" w:color="auto"/>
        <w:bottom w:val="none" w:sz="0" w:space="0" w:color="auto"/>
        <w:right w:val="none" w:sz="0" w:space="0" w:color="auto"/>
      </w:divBdr>
    </w:div>
    <w:div w:id="1348798520">
      <w:bodyDiv w:val="1"/>
      <w:marLeft w:val="0"/>
      <w:marRight w:val="0"/>
      <w:marTop w:val="0"/>
      <w:marBottom w:val="0"/>
      <w:divBdr>
        <w:top w:val="none" w:sz="0" w:space="0" w:color="auto"/>
        <w:left w:val="none" w:sz="0" w:space="0" w:color="auto"/>
        <w:bottom w:val="none" w:sz="0" w:space="0" w:color="auto"/>
        <w:right w:val="none" w:sz="0" w:space="0" w:color="auto"/>
      </w:divBdr>
    </w:div>
    <w:div w:id="1361316628">
      <w:bodyDiv w:val="1"/>
      <w:marLeft w:val="0"/>
      <w:marRight w:val="0"/>
      <w:marTop w:val="0"/>
      <w:marBottom w:val="0"/>
      <w:divBdr>
        <w:top w:val="none" w:sz="0" w:space="0" w:color="auto"/>
        <w:left w:val="none" w:sz="0" w:space="0" w:color="auto"/>
        <w:bottom w:val="none" w:sz="0" w:space="0" w:color="auto"/>
        <w:right w:val="none" w:sz="0" w:space="0" w:color="auto"/>
      </w:divBdr>
    </w:div>
    <w:div w:id="1728726732">
      <w:bodyDiv w:val="1"/>
      <w:marLeft w:val="0"/>
      <w:marRight w:val="0"/>
      <w:marTop w:val="0"/>
      <w:marBottom w:val="0"/>
      <w:divBdr>
        <w:top w:val="none" w:sz="0" w:space="0" w:color="auto"/>
        <w:left w:val="none" w:sz="0" w:space="0" w:color="auto"/>
        <w:bottom w:val="none" w:sz="0" w:space="0" w:color="auto"/>
        <w:right w:val="none" w:sz="0" w:space="0" w:color="auto"/>
      </w:divBdr>
    </w:div>
    <w:div w:id="1871919195">
      <w:bodyDiv w:val="1"/>
      <w:marLeft w:val="0"/>
      <w:marRight w:val="0"/>
      <w:marTop w:val="0"/>
      <w:marBottom w:val="0"/>
      <w:divBdr>
        <w:top w:val="none" w:sz="0" w:space="0" w:color="auto"/>
        <w:left w:val="none" w:sz="0" w:space="0" w:color="auto"/>
        <w:bottom w:val="none" w:sz="0" w:space="0" w:color="auto"/>
        <w:right w:val="none" w:sz="0" w:space="0" w:color="auto"/>
      </w:divBdr>
    </w:div>
    <w:div w:id="2073001698">
      <w:bodyDiv w:val="1"/>
      <w:marLeft w:val="0"/>
      <w:marRight w:val="0"/>
      <w:marTop w:val="0"/>
      <w:marBottom w:val="0"/>
      <w:divBdr>
        <w:top w:val="none" w:sz="0" w:space="0" w:color="auto"/>
        <w:left w:val="none" w:sz="0" w:space="0" w:color="auto"/>
        <w:bottom w:val="none" w:sz="0" w:space="0" w:color="auto"/>
        <w:right w:val="none" w:sz="0" w:space="0" w:color="auto"/>
      </w:divBdr>
      <w:divsChild>
        <w:div w:id="2007126405">
          <w:marLeft w:val="0"/>
          <w:marRight w:val="0"/>
          <w:marTop w:val="0"/>
          <w:marBottom w:val="0"/>
          <w:divBdr>
            <w:top w:val="none" w:sz="0" w:space="0" w:color="auto"/>
            <w:left w:val="none" w:sz="0" w:space="0" w:color="auto"/>
            <w:bottom w:val="none" w:sz="0" w:space="0" w:color="auto"/>
            <w:right w:val="none" w:sz="0" w:space="0" w:color="auto"/>
          </w:divBdr>
          <w:divsChild>
            <w:div w:id="761873029">
              <w:marLeft w:val="0"/>
              <w:marRight w:val="0"/>
              <w:marTop w:val="0"/>
              <w:marBottom w:val="0"/>
              <w:divBdr>
                <w:top w:val="none" w:sz="0" w:space="0" w:color="auto"/>
                <w:left w:val="none" w:sz="0" w:space="0" w:color="auto"/>
                <w:bottom w:val="none" w:sz="0" w:space="0" w:color="auto"/>
                <w:right w:val="none" w:sz="0" w:space="0" w:color="auto"/>
              </w:divBdr>
              <w:divsChild>
                <w:div w:id="517080596">
                  <w:marLeft w:val="0"/>
                  <w:marRight w:val="0"/>
                  <w:marTop w:val="0"/>
                  <w:marBottom w:val="0"/>
                  <w:divBdr>
                    <w:top w:val="none" w:sz="0" w:space="0" w:color="auto"/>
                    <w:left w:val="none" w:sz="0" w:space="0" w:color="auto"/>
                    <w:bottom w:val="none" w:sz="0" w:space="0" w:color="auto"/>
                    <w:right w:val="none" w:sz="0" w:space="0" w:color="auto"/>
                  </w:divBdr>
                  <w:divsChild>
                    <w:div w:id="388384226">
                      <w:marLeft w:val="0"/>
                      <w:marRight w:val="0"/>
                      <w:marTop w:val="0"/>
                      <w:marBottom w:val="0"/>
                      <w:divBdr>
                        <w:top w:val="none" w:sz="0" w:space="0" w:color="auto"/>
                        <w:left w:val="none" w:sz="0" w:space="0" w:color="auto"/>
                        <w:bottom w:val="none" w:sz="0" w:space="0" w:color="auto"/>
                        <w:right w:val="none" w:sz="0" w:space="0" w:color="auto"/>
                      </w:divBdr>
                      <w:divsChild>
                        <w:div w:id="259527235">
                          <w:marLeft w:val="0"/>
                          <w:marRight w:val="0"/>
                          <w:marTop w:val="300"/>
                          <w:marBottom w:val="0"/>
                          <w:divBdr>
                            <w:top w:val="none" w:sz="0" w:space="0" w:color="auto"/>
                            <w:left w:val="none" w:sz="0" w:space="0" w:color="auto"/>
                            <w:bottom w:val="none" w:sz="0" w:space="0" w:color="auto"/>
                            <w:right w:val="none" w:sz="0" w:space="0" w:color="auto"/>
                          </w:divBdr>
                          <w:divsChild>
                            <w:div w:id="2035691495">
                              <w:marLeft w:val="0"/>
                              <w:marRight w:val="0"/>
                              <w:marTop w:val="0"/>
                              <w:marBottom w:val="0"/>
                              <w:divBdr>
                                <w:top w:val="none" w:sz="0" w:space="0" w:color="auto"/>
                                <w:left w:val="none" w:sz="0" w:space="0" w:color="auto"/>
                                <w:bottom w:val="none" w:sz="0" w:space="0" w:color="auto"/>
                                <w:right w:val="none" w:sz="0" w:space="0" w:color="auto"/>
                              </w:divBdr>
                            </w:div>
                            <w:div w:id="957568468">
                              <w:marLeft w:val="0"/>
                              <w:marRight w:val="0"/>
                              <w:marTop w:val="0"/>
                              <w:marBottom w:val="0"/>
                              <w:divBdr>
                                <w:top w:val="none" w:sz="0" w:space="0" w:color="auto"/>
                                <w:left w:val="none" w:sz="0" w:space="0" w:color="auto"/>
                                <w:bottom w:val="none" w:sz="0" w:space="0" w:color="auto"/>
                                <w:right w:val="none" w:sz="0" w:space="0" w:color="auto"/>
                              </w:divBdr>
                            </w:div>
                            <w:div w:id="1080830031">
                              <w:marLeft w:val="0"/>
                              <w:marRight w:val="0"/>
                              <w:marTop w:val="0"/>
                              <w:marBottom w:val="0"/>
                              <w:divBdr>
                                <w:top w:val="none" w:sz="0" w:space="0" w:color="auto"/>
                                <w:left w:val="none" w:sz="0" w:space="0" w:color="auto"/>
                                <w:bottom w:val="none" w:sz="0" w:space="0" w:color="auto"/>
                                <w:right w:val="none" w:sz="0" w:space="0" w:color="auto"/>
                              </w:divBdr>
                            </w:div>
                            <w:div w:id="17538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strid.de-latude@renaul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rederic.texier@renaul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elphine.dumonceau-costes@renaul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P_Renault_ExpirationDate xmlns="http://schemas.microsoft.com/sharepoint/v3" xsi:nil="true"/>
    <ACP_Renault_RelevantRegion_TaxHT0 xmlns="http://schemas.microsoft.com/sharepoint/v3">
      <Terms xmlns="http://schemas.microsoft.com/office/infopath/2007/PartnerControls"/>
    </ACP_Renault_RelevantRegion_TaxHT0>
    <ACP_Renault_DocumentType_TaxHT0 xmlns="http://schemas.microsoft.com/sharepoint/v3">
      <Terms xmlns="http://schemas.microsoft.com/office/infopath/2007/PartnerControls"/>
    </ACP_Renault_DocumentType_TaxHT0>
    <TaxCatchAll xmlns="64bebfd7-c037-4759-9b38-e825e441c157"/>
    <ACP_OwnerOrganization_TaxHT0 xmlns="http://schemas.microsoft.com/sharepoint/v3">
      <Terms xmlns="http://schemas.microsoft.com/office/infopath/2007/PartnerControls"/>
    </ACP_OwnerOrganization_TaxHT0>
    <ACP_Renault_SecurityClassification_TaxHT0 xmlns="http://schemas.microsoft.com/sharepoint/v3">
      <Terms xmlns="http://schemas.microsoft.com/office/infopath/2007/PartnerControls"/>
    </ACP_Renault_SecurityClassification_TaxHT0>
  </documentManagement>
</p:properties>
</file>

<file path=customXml/item2.xml><?xml version="1.0" encoding="utf-8"?>
<ct:contentTypeSchema xmlns:ct="http://schemas.microsoft.com/office/2006/metadata/contentType" xmlns:ma="http://schemas.microsoft.com/office/2006/metadata/properties/metaAttributes" ct:_="" ma:_="" ma:contentTypeName="Renault Document" ma:contentTypeID="0x01010066E3D1BD537B466A9FB4715B858074E900899E04623FB743D2ABDA955F9C2B667700BDE1E557D99C934AAF21072E049BB130" ma:contentTypeVersion="18" ma:contentTypeDescription="Create a new Renault document." ma:contentTypeScope="" ma:versionID="5fc65ebd21726547d036e6392a9ac1cd">
  <xsd:schema xmlns:xsd="http://www.w3.org/2001/XMLSchema" xmlns:xs="http://www.w3.org/2001/XMLSchema" xmlns:p="http://schemas.microsoft.com/office/2006/metadata/properties" xmlns:ns1="http://schemas.microsoft.com/sharepoint/v3" xmlns:ns2="64bebfd7-c037-4759-9b38-e825e441c157" targetNamespace="http://schemas.microsoft.com/office/2006/metadata/properties" ma:root="true" ma:fieldsID="b9f5fc333520296c52e2aa7ad431bd6f" ns1:_="" ns2:_="">
    <xsd:import namespace="http://schemas.microsoft.com/sharepoint/v3"/>
    <xsd:import namespace="64bebfd7-c037-4759-9b38-e825e441c157"/>
    <xsd:element name="properties">
      <xsd:complexType>
        <xsd:sequence>
          <xsd:element name="documentManagement">
            <xsd:complexType>
              <xsd:all>
                <xsd:element ref="ns1:ACP_OwnerOrganization_TaxHT0" minOccurs="0"/>
                <xsd:element ref="ns1:ACP_Renault_SecurityClassification_TaxHT0" minOccurs="0"/>
                <xsd:element ref="ns1:ACP_Renault_RelevantRegion_TaxHT0" minOccurs="0"/>
                <xsd:element ref="ns1:ACP_Renault_DocumentType_TaxHT0" minOccurs="0"/>
                <xsd:element ref="ns1:ACP_Renault_ExpirationDate"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CP_OwnerOrganization_TaxHT0" ma:index="9" nillable="true" ma:taxonomy="true" ma:internalName="ACP_OwnerOrganization_TaxHT0" ma:taxonomyFieldName="ACP_OwnerOrganization" ma:displayName="Owner Organization" ma:readOnly="false" ma:fieldId="{b2f944ca-d7b4-479f-83be-7a711dbb0010}" ma:sspId="13a7ba8c-7457-4356-a6e9-e6f891afc8fd" ma:termSetId="71a8f656-dccb-4916-8370-91b3a5cc5bef" ma:anchorId="00000000-0000-0000-0000-000000000000" ma:open="false" ma:isKeyword="false">
      <xsd:complexType>
        <xsd:sequence>
          <xsd:element ref="pc:Terms" minOccurs="0" maxOccurs="1"/>
        </xsd:sequence>
      </xsd:complexType>
    </xsd:element>
    <xsd:element name="ACP_Renault_SecurityClassification_TaxHT0" ma:index="11" nillable="true" ma:taxonomy="true" ma:internalName="ACP_Renault_SecurityClassification_TaxHT0" ma:taxonomyFieldName="ACP_Renault_SecurityClassification" ma:displayName="Security Classification" ma:readOnly="false" ma:fieldId="{1fe3dde9-5599-430d-9249-906cb7133fa1}" ma:sspId="13a7ba8c-7457-4356-a6e9-e6f891afc8fd" ma:termSetId="2e709ad7-3269-4298-a893-fa3c9641f723" ma:anchorId="00000000-0000-0000-0000-000000000000" ma:open="false" ma:isKeyword="false">
      <xsd:complexType>
        <xsd:sequence>
          <xsd:element ref="pc:Terms" minOccurs="0" maxOccurs="1"/>
        </xsd:sequence>
      </xsd:complexType>
    </xsd:element>
    <xsd:element name="ACP_Renault_RelevantRegion_TaxHT0" ma:index="13" nillable="true" ma:taxonomy="true" ma:internalName="ACP_Renault_RelevantRegion_TaxHT0" ma:taxonomyFieldName="ACP_Renault_RelevantRegion" ma:displayName="Relevant Region" ma:readOnly="false" ma:fieldId="{d64cf655-2379-4890-ab5b-d3321d30528e}" ma:sspId="13a7ba8c-7457-4356-a6e9-e6f891afc8fd" ma:termSetId="4b81f2c5-3f4e-40a0-bf90-01b0cb8bee7d" ma:anchorId="00000000-0000-0000-0000-000000000000" ma:open="false" ma:isKeyword="false">
      <xsd:complexType>
        <xsd:sequence>
          <xsd:element ref="pc:Terms" minOccurs="0" maxOccurs="1"/>
        </xsd:sequence>
      </xsd:complexType>
    </xsd:element>
    <xsd:element name="ACP_Renault_DocumentType_TaxHT0" ma:index="15" nillable="true" ma:taxonomy="true" ma:internalName="ACP_Renault_DocumentType_TaxHT0" ma:taxonomyFieldName="ACP_Renault_DocumentType" ma:displayName="Document Type" ma:readOnly="false" ma:fieldId="{05c1c4e8-8423-4693-876e-411f294059ad}" ma:sspId="13a7ba8c-7457-4356-a6e9-e6f891afc8fd" ma:termSetId="2d5155ef-5bfc-46c0-bd2b-77b51f4890fa" ma:anchorId="00000000-0000-0000-0000-000000000000" ma:open="false" ma:isKeyword="false">
      <xsd:complexType>
        <xsd:sequence>
          <xsd:element ref="pc:Terms" minOccurs="0" maxOccurs="1"/>
        </xsd:sequence>
      </xsd:complexType>
    </xsd:element>
    <xsd:element name="ACP_Renault_ExpirationDate" ma:index="16" nillable="true" ma:displayName="Expiration Date" ma:description="Indicates the document Expiration Date." ma:format="DateOnly" ma:hidden="true" ma:internalName="ACP_Renault_Expiration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4bebfd7-c037-4759-9b38-e825e441c157"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bffc78b5-cd8d-45a7-b563-40693bcb85b7}" ma:internalName="TaxCatchAll" ma:showField="CatchAllData" ma:web="64bebfd7-c037-4759-9b38-e825e441c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Content Type Event Receiver</Name>
    <Synchronization>Asynchronous</Synchronization>
    <Type>10503</Type>
    <SequenceNumber>1000</SequenceNumber>
    <Assembly>RNAlliance.SharePoint.ACP.Layers, Version=1.0.0.0, Culture=neutral, PublicKeyToken=e2530ddecd8f1478</Assembly>
    <Class>RNAlliance.SharePoint.ACP.Layers.Service.BaseCopyEventReceivers</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C1926-0DC1-490C-83D5-731B7EF8B1A9}">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http://purl.org/dc/terms/"/>
    <ds:schemaRef ds:uri="64bebfd7-c037-4759-9b38-e825e441c157"/>
    <ds:schemaRef ds:uri="http://purl.org/dc/dcmitype/"/>
    <ds:schemaRef ds:uri="http://www.w3.org/XML/1998/namespace"/>
  </ds:schemaRefs>
</ds:datastoreItem>
</file>

<file path=customXml/itemProps2.xml><?xml version="1.0" encoding="utf-8"?>
<ds:datastoreItem xmlns:ds="http://schemas.openxmlformats.org/officeDocument/2006/customXml" ds:itemID="{7607E552-EF4D-4216-8645-AE8C46139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bebfd7-c037-4759-9b38-e825e441c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CDB4-88DA-41B3-BA53-D5A86133EC99}">
  <ds:schemaRefs>
    <ds:schemaRef ds:uri="http://schemas.microsoft.com/sharepoint/events"/>
  </ds:schemaRefs>
</ds:datastoreItem>
</file>

<file path=customXml/itemProps4.xml><?xml version="1.0" encoding="utf-8"?>
<ds:datastoreItem xmlns:ds="http://schemas.openxmlformats.org/officeDocument/2006/customXml" ds:itemID="{0F3D43DA-5654-44C0-9F70-4A99E8FC973E}">
  <ds:schemaRefs>
    <ds:schemaRef ds:uri="http://schemas.microsoft.com/sharepoint/v3/contenttype/forms"/>
  </ds:schemaRefs>
</ds:datastoreItem>
</file>

<file path=customXml/itemProps5.xml><?xml version="1.0" encoding="utf-8"?>
<ds:datastoreItem xmlns:ds="http://schemas.openxmlformats.org/officeDocument/2006/customXml" ds:itemID="{84128427-CDC1-47F2-A179-E2F51235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6704</Characters>
  <Application>Microsoft Office Word</Application>
  <DocSecurity>4</DocSecurity>
  <Lines>55</Lines>
  <Paragraphs>15</Paragraphs>
  <ScaleCrop>false</ScaleCrop>
  <HeadingPairs>
    <vt:vector size="6" baseType="variant">
      <vt:variant>
        <vt:lpstr>Rubrik</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YAMANE Rie</dc:creator>
  <cp:lastModifiedBy>LYRBORN Karin</cp:lastModifiedBy>
  <cp:revision>2</cp:revision>
  <cp:lastPrinted>2019-02-06T14:21:00Z</cp:lastPrinted>
  <dcterms:created xsi:type="dcterms:W3CDTF">2019-02-13T09:38:00Z</dcterms:created>
  <dcterms:modified xsi:type="dcterms:W3CDTF">2019-02-13T09:38:00Z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-1014634686</vt:i4>
  </property>
  <property fmtid="{D5CDD505-2E9C-101B-9397-08002B2CF9AE}" pid="3" name="_NewReviewCycle">
    <vt:lpwstr/>
  </property>
  <property fmtid="{D5CDD505-2E9C-101B-9397-08002B2CF9AE}" pid="4" name="_EmailSubject">
    <vt:lpwstr>CP REs fi - cet aprem</vt:lpwstr>
  </property>
  <property fmtid="{D5CDD505-2E9C-101B-9397-08002B2CF9AE}" pid="5" name="_AuthorEmail">
    <vt:lpwstr>astrid.de-latude@renault.com</vt:lpwstr>
  </property>
  <property fmtid="{D5CDD505-2E9C-101B-9397-08002B2CF9AE}" pid="6" name="_AuthorEmailDisplayName">
    <vt:lpwstr>DE-LATUDE Astrid</vt:lpwstr>
  </property>
  <property fmtid="{D5CDD505-2E9C-101B-9397-08002B2CF9AE}" pid="7" name="_ReviewingToolsShownOnce">
    <vt:lpwstr/>
  </property>
</Properties>
</file>