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8344F" w14:textId="0477609C" w:rsidR="00461424" w:rsidRDefault="00AB5383" w:rsidP="003E5918">
      <w:pPr>
        <w:pStyle w:val="VisaDocumentname"/>
        <w:rPr>
          <w:rFonts w:cs="Segoe UI"/>
          <w:color w:val="0023A0"/>
        </w:rPr>
      </w:pPr>
      <w:r w:rsidRPr="003E5918">
        <w:rPr>
          <w:rFonts w:cs="Segoe UI"/>
          <w:noProof/>
          <w:color w:val="0023A0"/>
          <w:lang w:val="it-IT" w:eastAsia="it-IT"/>
        </w:rPr>
        <w:drawing>
          <wp:anchor distT="0" distB="0" distL="114300" distR="114300" simplePos="0" relativeHeight="251658240" behindDoc="0" locked="0" layoutInCell="1" allowOverlap="1" wp14:anchorId="214ACEE4" wp14:editId="6413B0DC">
            <wp:simplePos x="0" y="0"/>
            <wp:positionH relativeFrom="page">
              <wp:posOffset>5353050</wp:posOffset>
            </wp:positionH>
            <wp:positionV relativeFrom="page">
              <wp:posOffset>200025</wp:posOffset>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B7C">
        <w:rPr>
          <w:rFonts w:cs="Segoe UI"/>
          <w:color w:val="0023A0"/>
        </w:rPr>
        <w:t>Nota PER LA STAMPA</w:t>
      </w:r>
    </w:p>
    <w:p w14:paraId="04F8DEF0" w14:textId="13A79826" w:rsidR="00AD63E7" w:rsidRPr="007C349A" w:rsidRDefault="00F46C8E" w:rsidP="00AD63E7">
      <w:pPr>
        <w:pStyle w:val="VisaHeadline"/>
        <w:pBdr>
          <w:bottom w:val="single" w:sz="8" w:space="7" w:color="0023A0"/>
        </w:pBdr>
        <w:jc w:val="center"/>
        <w:rPr>
          <w:sz w:val="36"/>
          <w:szCs w:val="36"/>
          <w:lang w:val="it-IT"/>
        </w:rPr>
      </w:pPr>
      <w:r>
        <w:rPr>
          <w:sz w:val="36"/>
          <w:szCs w:val="36"/>
          <w:lang w:val="it-IT"/>
        </w:rPr>
        <w:t xml:space="preserve">La tecnologia di Visa per </w:t>
      </w:r>
      <w:proofErr w:type="gramStart"/>
      <w:r>
        <w:rPr>
          <w:sz w:val="36"/>
          <w:szCs w:val="36"/>
          <w:lang w:val="it-IT"/>
        </w:rPr>
        <w:t>i mobile</w:t>
      </w:r>
      <w:proofErr w:type="gramEnd"/>
      <w:r>
        <w:rPr>
          <w:sz w:val="36"/>
          <w:szCs w:val="36"/>
          <w:lang w:val="it-IT"/>
        </w:rPr>
        <w:t xml:space="preserve"> payment</w:t>
      </w:r>
      <w:r w:rsidR="00AD63E7">
        <w:rPr>
          <w:sz w:val="36"/>
          <w:szCs w:val="36"/>
          <w:lang w:val="it-IT"/>
        </w:rPr>
        <w:t xml:space="preserve"> </w:t>
      </w:r>
      <w:r>
        <w:rPr>
          <w:sz w:val="36"/>
          <w:szCs w:val="36"/>
          <w:lang w:val="it-IT"/>
        </w:rPr>
        <w:t xml:space="preserve">si espande </w:t>
      </w:r>
      <w:r>
        <w:rPr>
          <w:sz w:val="36"/>
          <w:szCs w:val="36"/>
          <w:lang w:val="it-IT"/>
        </w:rPr>
        <w:br/>
      </w:r>
      <w:r w:rsidRPr="00A942BD">
        <w:rPr>
          <w:sz w:val="44"/>
          <w:szCs w:val="44"/>
          <w:lang w:val="it-IT"/>
        </w:rPr>
        <w:t xml:space="preserve">Pagamenti in mobilità </w:t>
      </w:r>
      <w:bookmarkStart w:id="0" w:name="_GoBack"/>
      <w:bookmarkEnd w:id="0"/>
      <w:r w:rsidRPr="00A942BD">
        <w:rPr>
          <w:sz w:val="44"/>
          <w:szCs w:val="44"/>
          <w:lang w:val="it-IT"/>
        </w:rPr>
        <w:t xml:space="preserve">disponibili in </w:t>
      </w:r>
      <w:r w:rsidR="00AD63E7" w:rsidRPr="00A942BD">
        <w:rPr>
          <w:sz w:val="44"/>
          <w:szCs w:val="44"/>
          <w:lang w:val="it-IT"/>
        </w:rPr>
        <w:t>12</w:t>
      </w:r>
      <w:r w:rsidRPr="00A942BD">
        <w:rPr>
          <w:sz w:val="44"/>
          <w:szCs w:val="44"/>
          <w:lang w:val="it-IT"/>
        </w:rPr>
        <w:t xml:space="preserve"> mercati europei</w:t>
      </w:r>
      <w:r w:rsidR="00AD63E7" w:rsidRPr="00A942BD">
        <w:rPr>
          <w:sz w:val="44"/>
          <w:szCs w:val="44"/>
          <w:lang w:val="it-IT"/>
        </w:rPr>
        <w:t xml:space="preserve"> entro </w:t>
      </w:r>
      <w:r w:rsidRPr="00A942BD">
        <w:rPr>
          <w:sz w:val="44"/>
          <w:szCs w:val="44"/>
          <w:lang w:val="it-IT"/>
        </w:rPr>
        <w:t>la fine del</w:t>
      </w:r>
      <w:r w:rsidR="00AD63E7" w:rsidRPr="00A942BD">
        <w:rPr>
          <w:sz w:val="44"/>
          <w:szCs w:val="44"/>
          <w:lang w:val="it-IT"/>
        </w:rPr>
        <w:t xml:space="preserve"> 2017</w:t>
      </w:r>
    </w:p>
    <w:p w14:paraId="4DD1470B" w14:textId="77777777" w:rsidR="00724888" w:rsidRPr="004C3110" w:rsidRDefault="004C3110" w:rsidP="00AB5383">
      <w:pPr>
        <w:spacing w:after="0" w:line="240" w:lineRule="auto"/>
        <w:rPr>
          <w:rFonts w:ascii="Arial" w:hAnsi="Arial" w:cs="Arial"/>
          <w:bCs/>
          <w:iCs/>
          <w:sz w:val="24"/>
          <w:szCs w:val="24"/>
        </w:rPr>
      </w:pPr>
      <w:r w:rsidRPr="004C3110">
        <w:rPr>
          <w:rFonts w:ascii="Arial" w:hAnsi="Arial" w:cs="Arial"/>
          <w:bCs/>
          <w:iCs/>
          <w:sz w:val="24"/>
          <w:szCs w:val="24"/>
        </w:rPr>
        <w:t xml:space="preserve"> </w:t>
      </w:r>
    </w:p>
    <w:p w14:paraId="3CEECFDB" w14:textId="405B7F23" w:rsidR="00AD63E7" w:rsidRPr="00AB5383" w:rsidRDefault="00AD63E7" w:rsidP="00AB5383">
      <w:pPr>
        <w:pStyle w:val="Paragrafoelenco"/>
        <w:numPr>
          <w:ilvl w:val="0"/>
          <w:numId w:val="4"/>
        </w:numPr>
        <w:spacing w:after="0" w:line="240" w:lineRule="auto"/>
        <w:ind w:left="709" w:hanging="425"/>
        <w:rPr>
          <w:rFonts w:ascii="Segoe UI" w:hAnsi="Segoe UI" w:cs="Segoe UI"/>
          <w:bCs/>
          <w:iCs/>
          <w:sz w:val="20"/>
          <w:szCs w:val="20"/>
          <w:lang w:val="it-IT"/>
        </w:rPr>
      </w:pPr>
      <w:r w:rsidRPr="00AB5383">
        <w:rPr>
          <w:rFonts w:ascii="Segoe UI" w:hAnsi="Segoe UI" w:cs="Segoe UI"/>
          <w:bCs/>
          <w:iCs/>
          <w:sz w:val="20"/>
          <w:szCs w:val="20"/>
          <w:lang w:val="it-IT"/>
        </w:rPr>
        <w:t xml:space="preserve">Visa </w:t>
      </w:r>
      <w:proofErr w:type="spellStart"/>
      <w:r w:rsidRPr="00AB5383">
        <w:rPr>
          <w:rFonts w:ascii="Segoe UI" w:hAnsi="Segoe UI" w:cs="Segoe UI"/>
          <w:bCs/>
          <w:iCs/>
          <w:sz w:val="20"/>
          <w:szCs w:val="20"/>
          <w:lang w:val="it-IT"/>
        </w:rPr>
        <w:t>Token</w:t>
      </w:r>
      <w:proofErr w:type="spellEnd"/>
      <w:r w:rsidRPr="00AB5383">
        <w:rPr>
          <w:rFonts w:ascii="Segoe UI" w:hAnsi="Segoe UI" w:cs="Segoe UI"/>
          <w:bCs/>
          <w:iCs/>
          <w:sz w:val="20"/>
          <w:szCs w:val="20"/>
          <w:lang w:val="it-IT"/>
        </w:rPr>
        <w:t xml:space="preserve"> Service, la tecnologia del servizio di tokenizzazione di Visa, che garantisce pagamenti in mobilità pratici e sicuri, è già attivo in cinque mercati europei. In arrivo in altri </w:t>
      </w:r>
      <w:r w:rsidR="00F46C8E" w:rsidRPr="00AB5383">
        <w:rPr>
          <w:rFonts w:ascii="Segoe UI" w:hAnsi="Segoe UI" w:cs="Segoe UI"/>
          <w:bCs/>
          <w:iCs/>
          <w:sz w:val="20"/>
          <w:szCs w:val="20"/>
          <w:lang w:val="it-IT"/>
        </w:rPr>
        <w:t>sette</w:t>
      </w:r>
      <w:r w:rsidRPr="00AB5383">
        <w:rPr>
          <w:rFonts w:ascii="Segoe UI" w:hAnsi="Segoe UI" w:cs="Segoe UI"/>
          <w:bCs/>
          <w:iCs/>
          <w:sz w:val="20"/>
          <w:szCs w:val="20"/>
          <w:lang w:val="it-IT"/>
        </w:rPr>
        <w:t xml:space="preserve"> Paesi.</w:t>
      </w:r>
    </w:p>
    <w:p w14:paraId="5537CC78" w14:textId="5F0BC217" w:rsidR="00AD63E7" w:rsidRPr="00AB5383" w:rsidRDefault="00AD63E7" w:rsidP="00AB5383">
      <w:pPr>
        <w:pStyle w:val="Paragrafoelenco"/>
        <w:numPr>
          <w:ilvl w:val="0"/>
          <w:numId w:val="4"/>
        </w:numPr>
        <w:spacing w:after="0" w:line="240" w:lineRule="auto"/>
        <w:ind w:left="709" w:hanging="425"/>
        <w:rPr>
          <w:rFonts w:ascii="Segoe UI" w:hAnsi="Segoe UI" w:cs="Segoe UI"/>
          <w:bCs/>
          <w:iCs/>
          <w:sz w:val="20"/>
          <w:szCs w:val="20"/>
        </w:rPr>
      </w:pPr>
      <w:r w:rsidRPr="00AB5383">
        <w:rPr>
          <w:rFonts w:ascii="Segoe UI" w:hAnsi="Segoe UI" w:cs="Segoe UI"/>
          <w:bCs/>
          <w:iCs/>
          <w:sz w:val="20"/>
          <w:szCs w:val="20"/>
        </w:rPr>
        <w:t xml:space="preserve">I </w:t>
      </w:r>
      <w:proofErr w:type="spellStart"/>
      <w:r w:rsidRPr="00AB5383">
        <w:rPr>
          <w:rFonts w:ascii="Segoe UI" w:hAnsi="Segoe UI" w:cs="Segoe UI"/>
          <w:bCs/>
          <w:iCs/>
          <w:sz w:val="20"/>
          <w:szCs w:val="20"/>
        </w:rPr>
        <w:t>consumatori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europei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attualmente</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spendono</w:t>
      </w:r>
      <w:proofErr w:type="spellEnd"/>
      <w:r w:rsidRPr="00AB5383">
        <w:rPr>
          <w:rFonts w:ascii="Segoe UI" w:hAnsi="Segoe UI" w:cs="Segoe UI"/>
          <w:bCs/>
          <w:iCs/>
          <w:sz w:val="20"/>
          <w:szCs w:val="20"/>
        </w:rPr>
        <w:t xml:space="preserve"> </w:t>
      </w:r>
      <w:r w:rsidR="00AF0B7C" w:rsidRPr="00AB5383">
        <w:rPr>
          <w:rFonts w:ascii="Segoe UI" w:hAnsi="Segoe UI" w:cs="Segoe UI"/>
          <w:bCs/>
          <w:iCs/>
          <w:sz w:val="20"/>
          <w:szCs w:val="20"/>
        </w:rPr>
        <w:t>in media</w:t>
      </w:r>
      <w:r w:rsidRPr="00AB5383">
        <w:rPr>
          <w:rFonts w:ascii="Segoe UI" w:hAnsi="Segoe UI" w:cs="Segoe UI"/>
          <w:bCs/>
          <w:iCs/>
          <w:sz w:val="20"/>
          <w:szCs w:val="20"/>
        </w:rPr>
        <w:t xml:space="preserve"> €9 </w:t>
      </w:r>
      <w:proofErr w:type="spellStart"/>
      <w:r w:rsidRPr="00AB5383">
        <w:rPr>
          <w:rFonts w:ascii="Segoe UI" w:hAnsi="Segoe UI" w:cs="Segoe UI"/>
          <w:bCs/>
          <w:iCs/>
          <w:sz w:val="20"/>
          <w:szCs w:val="20"/>
        </w:rPr>
        <w:t>quando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utilizzano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il</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loro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dispositivo</w:t>
      </w:r>
      <w:proofErr w:type="spellEnd"/>
      <w:r w:rsidRPr="00AB5383">
        <w:rPr>
          <w:rFonts w:ascii="Segoe UI" w:hAnsi="Segoe UI" w:cs="Segoe UI"/>
          <w:bCs/>
          <w:iCs/>
          <w:sz w:val="20"/>
          <w:szCs w:val="20"/>
        </w:rPr>
        <w:t xml:space="preserve"> mobile per </w:t>
      </w:r>
      <w:proofErr w:type="spellStart"/>
      <w:r w:rsidRPr="00AB5383">
        <w:rPr>
          <w:rFonts w:ascii="Segoe UI" w:hAnsi="Segoe UI" w:cs="Segoe UI"/>
          <w:bCs/>
          <w:iCs/>
          <w:sz w:val="20"/>
          <w:szCs w:val="20"/>
        </w:rPr>
        <w:t>il</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pagamento</w:t>
      </w:r>
      <w:proofErr w:type="spellEnd"/>
    </w:p>
    <w:p w14:paraId="64964E31" w14:textId="2BAEA37F" w:rsidR="00AD63E7" w:rsidRPr="00AB5383" w:rsidRDefault="00AD63E7" w:rsidP="00AB5383">
      <w:pPr>
        <w:pStyle w:val="Paragrafoelenco"/>
        <w:numPr>
          <w:ilvl w:val="0"/>
          <w:numId w:val="4"/>
        </w:numPr>
        <w:spacing w:line="240" w:lineRule="auto"/>
        <w:ind w:left="709" w:hanging="425"/>
        <w:rPr>
          <w:rFonts w:ascii="Segoe UI" w:hAnsi="Segoe UI" w:cs="Segoe UI"/>
          <w:bCs/>
          <w:iCs/>
          <w:sz w:val="20"/>
          <w:szCs w:val="20"/>
        </w:rPr>
      </w:pPr>
      <w:proofErr w:type="spellStart"/>
      <w:r w:rsidRPr="00AB5383">
        <w:rPr>
          <w:rFonts w:ascii="Segoe UI" w:hAnsi="Segoe UI" w:cs="Segoe UI"/>
          <w:bCs/>
          <w:iCs/>
          <w:sz w:val="20"/>
          <w:szCs w:val="20"/>
        </w:rPr>
        <w:t>Sono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oltre</w:t>
      </w:r>
      <w:proofErr w:type="spellEnd"/>
      <w:r w:rsidRPr="00AB5383">
        <w:rPr>
          <w:rFonts w:ascii="Segoe UI" w:hAnsi="Segoe UI" w:cs="Segoe UI"/>
          <w:bCs/>
          <w:iCs/>
          <w:sz w:val="20"/>
          <w:szCs w:val="20"/>
        </w:rPr>
        <w:t xml:space="preserve"> 1,2 </w:t>
      </w:r>
      <w:proofErr w:type="spellStart"/>
      <w:r w:rsidRPr="00AB5383">
        <w:rPr>
          <w:rFonts w:ascii="Segoe UI" w:hAnsi="Segoe UI" w:cs="Segoe UI"/>
          <w:bCs/>
          <w:iCs/>
          <w:sz w:val="20"/>
          <w:szCs w:val="20"/>
        </w:rPr>
        <w:t>milioni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gli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esercenti</w:t>
      </w:r>
      <w:proofErr w:type="spellEnd"/>
      <w:r w:rsidRPr="00AB5383">
        <w:rPr>
          <w:rFonts w:ascii="Segoe UI" w:hAnsi="Segoe UI" w:cs="Segoe UI"/>
          <w:bCs/>
          <w:iCs/>
          <w:sz w:val="20"/>
          <w:szCs w:val="20"/>
        </w:rPr>
        <w:t xml:space="preserve"> in Europa </w:t>
      </w:r>
      <w:proofErr w:type="spellStart"/>
      <w:r w:rsidRPr="00AB5383">
        <w:rPr>
          <w:rFonts w:ascii="Segoe UI" w:hAnsi="Segoe UI" w:cs="Segoe UI"/>
          <w:bCs/>
          <w:iCs/>
          <w:sz w:val="20"/>
          <w:szCs w:val="20"/>
        </w:rPr>
        <w:t>che</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offrono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l’opportunità</w:t>
      </w:r>
      <w:proofErr w:type="spellEnd"/>
      <w:r w:rsidRPr="00AB5383">
        <w:rPr>
          <w:rFonts w:ascii="Segoe UI" w:hAnsi="Segoe UI" w:cs="Segoe UI"/>
          <w:bCs/>
          <w:iCs/>
          <w:sz w:val="20"/>
          <w:szCs w:val="20"/>
        </w:rPr>
        <w:t xml:space="preserve"> di </w:t>
      </w:r>
      <w:proofErr w:type="spellStart"/>
      <w:r w:rsidRPr="00AB5383">
        <w:rPr>
          <w:rFonts w:ascii="Segoe UI" w:hAnsi="Segoe UI" w:cs="Segoe UI"/>
          <w:bCs/>
          <w:iCs/>
          <w:sz w:val="20"/>
          <w:szCs w:val="20"/>
        </w:rPr>
        <w:t>pagare</w:t>
      </w:r>
      <w:proofErr w:type="spellEnd"/>
      <w:r w:rsidRPr="00AB5383">
        <w:rPr>
          <w:rFonts w:ascii="Segoe UI" w:hAnsi="Segoe UI" w:cs="Segoe UI"/>
          <w:bCs/>
          <w:iCs/>
          <w:sz w:val="20"/>
          <w:szCs w:val="20"/>
        </w:rPr>
        <w:t xml:space="preserve"> </w:t>
      </w:r>
      <w:r w:rsidR="006710F7" w:rsidRPr="00AB5383">
        <w:rPr>
          <w:rFonts w:ascii="Segoe UI" w:hAnsi="Segoe UI" w:cs="Segoe UI"/>
          <w:bCs/>
          <w:iCs/>
          <w:sz w:val="20"/>
          <w:szCs w:val="20"/>
        </w:rPr>
        <w:t xml:space="preserve">in </w:t>
      </w:r>
      <w:proofErr w:type="spellStart"/>
      <w:r w:rsidR="006710F7" w:rsidRPr="00AB5383">
        <w:rPr>
          <w:rFonts w:ascii="Segoe UI" w:hAnsi="Segoe UI" w:cs="Segoe UI"/>
          <w:bCs/>
          <w:iCs/>
          <w:sz w:val="20"/>
          <w:szCs w:val="20"/>
        </w:rPr>
        <w:t>modalità</w:t>
      </w:r>
      <w:proofErr w:type="spellEnd"/>
      <w:r w:rsidR="006710F7" w:rsidRPr="00AB5383">
        <w:rPr>
          <w:rFonts w:ascii="Segoe UI" w:hAnsi="Segoe UI" w:cs="Segoe UI"/>
          <w:bCs/>
          <w:iCs/>
          <w:sz w:val="20"/>
          <w:szCs w:val="20"/>
        </w:rPr>
        <w:t xml:space="preserve"> </w:t>
      </w:r>
      <w:r w:rsidRPr="00AB5383">
        <w:rPr>
          <w:rFonts w:ascii="Segoe UI" w:hAnsi="Segoe UI" w:cs="Segoe UI"/>
          <w:bCs/>
          <w:iCs/>
          <w:sz w:val="20"/>
          <w:szCs w:val="20"/>
        </w:rPr>
        <w:t>contactless</w:t>
      </w:r>
      <w:r w:rsidR="006710F7" w:rsidRPr="00AB5383">
        <w:rPr>
          <w:rFonts w:ascii="Segoe UI" w:hAnsi="Segoe UI" w:cs="Segoe UI"/>
          <w:bCs/>
          <w:iCs/>
          <w:sz w:val="20"/>
          <w:szCs w:val="20"/>
        </w:rPr>
        <w:t xml:space="preserve">, </w:t>
      </w:r>
      <w:proofErr w:type="spellStart"/>
      <w:r w:rsidR="006710F7" w:rsidRPr="00AB5383">
        <w:rPr>
          <w:rFonts w:ascii="Segoe UI" w:hAnsi="Segoe UI" w:cs="Segoe UI"/>
          <w:bCs/>
          <w:iCs/>
          <w:sz w:val="20"/>
          <w:szCs w:val="20"/>
        </w:rPr>
        <w:t>supportando</w:t>
      </w:r>
      <w:proofErr w:type="spellEnd"/>
      <w:r w:rsidR="006710F7" w:rsidRPr="00AB5383">
        <w:rPr>
          <w:rFonts w:ascii="Segoe UI" w:hAnsi="Segoe UI" w:cs="Segoe UI"/>
          <w:bCs/>
          <w:iCs/>
          <w:sz w:val="20"/>
          <w:szCs w:val="20"/>
        </w:rPr>
        <w:t xml:space="preserve"> la </w:t>
      </w:r>
      <w:proofErr w:type="spellStart"/>
      <w:r w:rsidR="006710F7" w:rsidRPr="00AB5383">
        <w:rPr>
          <w:rFonts w:ascii="Segoe UI" w:hAnsi="Segoe UI" w:cs="Segoe UI"/>
          <w:bCs/>
          <w:iCs/>
          <w:sz w:val="20"/>
          <w:szCs w:val="20"/>
        </w:rPr>
        <w:t>crescita</w:t>
      </w:r>
      <w:proofErr w:type="spellEnd"/>
      <w:r w:rsidR="006710F7" w:rsidRPr="00AB5383">
        <w:rPr>
          <w:rFonts w:ascii="Segoe UI" w:hAnsi="Segoe UI" w:cs="Segoe UI"/>
          <w:bCs/>
          <w:iCs/>
          <w:sz w:val="20"/>
          <w:szCs w:val="20"/>
        </w:rPr>
        <w:t xml:space="preserve"> </w:t>
      </w:r>
      <w:proofErr w:type="spellStart"/>
      <w:r w:rsidR="006710F7" w:rsidRPr="00AB5383">
        <w:rPr>
          <w:rFonts w:ascii="Segoe UI" w:hAnsi="Segoe UI" w:cs="Segoe UI"/>
          <w:bCs/>
          <w:iCs/>
          <w:sz w:val="20"/>
          <w:szCs w:val="20"/>
        </w:rPr>
        <w:t>d</w:t>
      </w:r>
      <w:r w:rsidR="00F46C8E" w:rsidRPr="00AB5383">
        <w:rPr>
          <w:rFonts w:ascii="Segoe UI" w:hAnsi="Segoe UI" w:cs="Segoe UI"/>
          <w:bCs/>
          <w:iCs/>
          <w:sz w:val="20"/>
          <w:szCs w:val="20"/>
        </w:rPr>
        <w:t>e</w:t>
      </w:r>
      <w:r w:rsidR="006710F7" w:rsidRPr="00AB5383">
        <w:rPr>
          <w:rFonts w:ascii="Segoe UI" w:hAnsi="Segoe UI" w:cs="Segoe UI"/>
          <w:bCs/>
          <w:iCs/>
          <w:sz w:val="20"/>
          <w:szCs w:val="20"/>
        </w:rPr>
        <w:t>i</w:t>
      </w:r>
      <w:proofErr w:type="spellEnd"/>
      <w:r w:rsidR="006710F7" w:rsidRPr="00AB5383">
        <w:rPr>
          <w:rFonts w:ascii="Segoe UI" w:hAnsi="Segoe UI" w:cs="Segoe UI"/>
          <w:bCs/>
          <w:iCs/>
          <w:sz w:val="20"/>
          <w:szCs w:val="20"/>
        </w:rPr>
        <w:t xml:space="preserve"> </w:t>
      </w:r>
      <w:proofErr w:type="spellStart"/>
      <w:r w:rsidR="006710F7" w:rsidRPr="00AB5383">
        <w:rPr>
          <w:rFonts w:ascii="Segoe UI" w:hAnsi="Segoe UI" w:cs="Segoe UI"/>
          <w:bCs/>
          <w:iCs/>
          <w:sz w:val="20"/>
          <w:szCs w:val="20"/>
        </w:rPr>
        <w:t>pagamenti</w:t>
      </w:r>
      <w:proofErr w:type="spellEnd"/>
      <w:r w:rsidR="006710F7" w:rsidRPr="00AB5383">
        <w:rPr>
          <w:rFonts w:ascii="Segoe UI" w:hAnsi="Segoe UI" w:cs="Segoe UI"/>
          <w:bCs/>
          <w:iCs/>
          <w:sz w:val="20"/>
          <w:szCs w:val="20"/>
        </w:rPr>
        <w:t xml:space="preserve"> in </w:t>
      </w:r>
      <w:proofErr w:type="spellStart"/>
      <w:r w:rsidR="006710F7" w:rsidRPr="00AB5383">
        <w:rPr>
          <w:rFonts w:ascii="Segoe UI" w:hAnsi="Segoe UI" w:cs="Segoe UI"/>
          <w:bCs/>
          <w:iCs/>
          <w:sz w:val="20"/>
          <w:szCs w:val="20"/>
        </w:rPr>
        <w:t>mobilità</w:t>
      </w:r>
      <w:proofErr w:type="spellEnd"/>
      <w:r w:rsidR="006710F7" w:rsidRPr="00AB5383">
        <w:rPr>
          <w:rFonts w:ascii="Segoe UI" w:hAnsi="Segoe UI" w:cs="Segoe UI"/>
          <w:bCs/>
          <w:iCs/>
          <w:sz w:val="20"/>
          <w:szCs w:val="20"/>
        </w:rPr>
        <w:t xml:space="preserve"> in </w:t>
      </w:r>
      <w:proofErr w:type="spellStart"/>
      <w:r w:rsidR="006710F7" w:rsidRPr="00AB5383">
        <w:rPr>
          <w:rFonts w:ascii="Segoe UI" w:hAnsi="Segoe UI" w:cs="Segoe UI"/>
          <w:bCs/>
          <w:iCs/>
          <w:sz w:val="20"/>
          <w:szCs w:val="20"/>
        </w:rPr>
        <w:t>tutto</w:t>
      </w:r>
      <w:proofErr w:type="spellEnd"/>
      <w:r w:rsidR="006710F7" w:rsidRPr="00AB5383">
        <w:rPr>
          <w:rFonts w:ascii="Segoe UI" w:hAnsi="Segoe UI" w:cs="Segoe UI"/>
          <w:bCs/>
          <w:iCs/>
          <w:sz w:val="20"/>
          <w:szCs w:val="20"/>
        </w:rPr>
        <w:t xml:space="preserve"> </w:t>
      </w:r>
      <w:proofErr w:type="spellStart"/>
      <w:r w:rsidR="006710F7" w:rsidRPr="00AB5383">
        <w:rPr>
          <w:rFonts w:ascii="Segoe UI" w:hAnsi="Segoe UI" w:cs="Segoe UI"/>
          <w:bCs/>
          <w:iCs/>
          <w:sz w:val="20"/>
          <w:szCs w:val="20"/>
        </w:rPr>
        <w:t>il</w:t>
      </w:r>
      <w:proofErr w:type="spellEnd"/>
      <w:r w:rsidR="006710F7" w:rsidRPr="00AB5383">
        <w:rPr>
          <w:rFonts w:ascii="Segoe UI" w:hAnsi="Segoe UI" w:cs="Segoe UI"/>
          <w:bCs/>
          <w:iCs/>
          <w:sz w:val="20"/>
          <w:szCs w:val="20"/>
        </w:rPr>
        <w:t xml:space="preserve"> </w:t>
      </w:r>
      <w:proofErr w:type="spellStart"/>
      <w:r w:rsidR="006710F7" w:rsidRPr="00AB5383">
        <w:rPr>
          <w:rFonts w:ascii="Segoe UI" w:hAnsi="Segoe UI" w:cs="Segoe UI"/>
          <w:bCs/>
          <w:iCs/>
          <w:sz w:val="20"/>
          <w:szCs w:val="20"/>
        </w:rPr>
        <w:t>continente</w:t>
      </w:r>
      <w:proofErr w:type="spellEnd"/>
    </w:p>
    <w:p w14:paraId="06AC8B23" w14:textId="351F1113" w:rsidR="006710F7" w:rsidRPr="00AB5383" w:rsidRDefault="006710F7" w:rsidP="00AB5383">
      <w:pPr>
        <w:pStyle w:val="Paragrafoelenco"/>
        <w:spacing w:after="120" w:line="300" w:lineRule="exact"/>
        <w:ind w:left="0"/>
        <w:jc w:val="both"/>
        <w:rPr>
          <w:rFonts w:ascii="Segoe UI" w:hAnsi="Segoe UI" w:cs="Segoe UI"/>
          <w:bCs/>
          <w:iCs/>
          <w:sz w:val="20"/>
          <w:szCs w:val="20"/>
          <w:lang w:val="it-IT"/>
        </w:rPr>
      </w:pPr>
      <w:r w:rsidRPr="00AB5383">
        <w:rPr>
          <w:rFonts w:ascii="Arial" w:hAnsi="Arial" w:cs="Arial"/>
          <w:b/>
          <w:bCs/>
          <w:iCs/>
          <w:sz w:val="20"/>
          <w:szCs w:val="20"/>
          <w:lang w:val="it-IT"/>
        </w:rPr>
        <w:t>Londra, 21 febbraio 2017:</w:t>
      </w:r>
      <w:r w:rsidRPr="00AB5383">
        <w:rPr>
          <w:rFonts w:ascii="Arial" w:hAnsi="Arial" w:cs="Arial"/>
          <w:bCs/>
          <w:iCs/>
          <w:sz w:val="20"/>
          <w:szCs w:val="20"/>
          <w:lang w:val="it-IT"/>
        </w:rPr>
        <w:t xml:space="preserve"> </w:t>
      </w:r>
      <w:r w:rsidRPr="00AB5383">
        <w:rPr>
          <w:rFonts w:ascii="Segoe UI" w:hAnsi="Segoe UI" w:cs="Segoe UI"/>
          <w:bCs/>
          <w:iCs/>
          <w:sz w:val="20"/>
          <w:szCs w:val="20"/>
          <w:lang w:val="it-IT"/>
        </w:rPr>
        <w:t>Al lancio del nuovo Innovation Center di Londra, tenutosi oggi, Visa Inc. (NYSE: V) ha annunciato che</w:t>
      </w:r>
      <w:r w:rsidR="00AF0B7C" w:rsidRPr="00AB5383">
        <w:rPr>
          <w:rFonts w:ascii="Segoe UI" w:hAnsi="Segoe UI" w:cs="Segoe UI"/>
          <w:bCs/>
          <w:iCs/>
          <w:sz w:val="20"/>
          <w:szCs w:val="20"/>
          <w:lang w:val="it-IT"/>
        </w:rPr>
        <w:t>,</w:t>
      </w:r>
      <w:r w:rsidRPr="00AB5383">
        <w:rPr>
          <w:rFonts w:ascii="Segoe UI" w:hAnsi="Segoe UI" w:cs="Segoe UI"/>
          <w:bCs/>
          <w:iCs/>
          <w:sz w:val="20"/>
          <w:szCs w:val="20"/>
          <w:lang w:val="it-IT"/>
        </w:rPr>
        <w:t xml:space="preserve"> </w:t>
      </w:r>
      <w:r w:rsidR="007A2864" w:rsidRPr="00AB5383">
        <w:rPr>
          <w:rFonts w:ascii="Segoe UI" w:hAnsi="Segoe UI" w:cs="Segoe UI"/>
          <w:bCs/>
          <w:iCs/>
          <w:sz w:val="20"/>
          <w:szCs w:val="20"/>
          <w:lang w:val="it-IT"/>
        </w:rPr>
        <w:t>entro l’anno in corso</w:t>
      </w:r>
      <w:r w:rsidR="00AF0B7C" w:rsidRPr="00AB5383">
        <w:rPr>
          <w:rFonts w:ascii="Segoe UI" w:hAnsi="Segoe UI" w:cs="Segoe UI"/>
          <w:bCs/>
          <w:iCs/>
          <w:sz w:val="20"/>
          <w:szCs w:val="20"/>
          <w:lang w:val="it-IT"/>
        </w:rPr>
        <w:t>,</w:t>
      </w:r>
      <w:r w:rsidR="007A2864" w:rsidRPr="00AB5383">
        <w:rPr>
          <w:rFonts w:ascii="Segoe UI" w:hAnsi="Segoe UI" w:cs="Segoe UI"/>
          <w:bCs/>
          <w:iCs/>
          <w:sz w:val="20"/>
          <w:szCs w:val="20"/>
          <w:lang w:val="it-IT"/>
        </w:rPr>
        <w:t xml:space="preserve"> 12</w:t>
      </w:r>
      <w:r w:rsidRPr="00AB5383">
        <w:rPr>
          <w:rFonts w:ascii="Segoe UI" w:hAnsi="Segoe UI" w:cs="Segoe UI"/>
          <w:bCs/>
          <w:iCs/>
          <w:sz w:val="20"/>
          <w:szCs w:val="20"/>
          <w:lang w:val="it-IT"/>
        </w:rPr>
        <w:t xml:space="preserve"> Paesi europei </w:t>
      </w:r>
      <w:r w:rsidR="007A2864" w:rsidRPr="00AB5383">
        <w:rPr>
          <w:rFonts w:ascii="Segoe UI" w:hAnsi="Segoe UI" w:cs="Segoe UI"/>
          <w:bCs/>
          <w:iCs/>
          <w:sz w:val="20"/>
          <w:szCs w:val="20"/>
          <w:lang w:val="it-IT"/>
        </w:rPr>
        <w:t xml:space="preserve">adotteranno il </w:t>
      </w:r>
      <w:r w:rsidRPr="00AB5383">
        <w:rPr>
          <w:rFonts w:ascii="Segoe UI" w:hAnsi="Segoe UI" w:cs="Segoe UI"/>
          <w:bCs/>
          <w:iCs/>
          <w:sz w:val="20"/>
          <w:szCs w:val="20"/>
          <w:lang w:val="it-IT"/>
        </w:rPr>
        <w:t>Visa Token</w:t>
      </w:r>
      <w:r w:rsidR="007A2864" w:rsidRPr="00AB5383">
        <w:rPr>
          <w:rFonts w:ascii="Segoe UI" w:hAnsi="Segoe UI" w:cs="Segoe UI"/>
          <w:bCs/>
          <w:iCs/>
          <w:sz w:val="20"/>
          <w:szCs w:val="20"/>
          <w:lang w:val="it-IT"/>
        </w:rPr>
        <w:t xml:space="preserve"> Service</w:t>
      </w:r>
      <w:r w:rsidRPr="00AB5383">
        <w:rPr>
          <w:rFonts w:ascii="Segoe UI" w:hAnsi="Segoe UI" w:cs="Segoe UI"/>
          <w:bCs/>
          <w:iCs/>
          <w:sz w:val="20"/>
          <w:szCs w:val="20"/>
          <w:lang w:val="it-IT"/>
        </w:rPr>
        <w:t xml:space="preserve">, una nuova tecnologia che rende i pagamenti in mobilità più pratici e sicuri attraverso la sostituzione dei dati </w:t>
      </w:r>
      <w:r w:rsidR="00AF0B7C" w:rsidRPr="00AB5383">
        <w:rPr>
          <w:rFonts w:ascii="Segoe UI" w:hAnsi="Segoe UI" w:cs="Segoe UI"/>
          <w:bCs/>
          <w:iCs/>
          <w:sz w:val="20"/>
          <w:szCs w:val="20"/>
          <w:lang w:val="it-IT"/>
        </w:rPr>
        <w:t>della carta</w:t>
      </w:r>
      <w:r w:rsidRPr="00AB5383">
        <w:rPr>
          <w:rFonts w:ascii="Segoe UI" w:hAnsi="Segoe UI" w:cs="Segoe UI"/>
          <w:bCs/>
          <w:iCs/>
          <w:sz w:val="20"/>
          <w:szCs w:val="20"/>
          <w:lang w:val="it-IT"/>
        </w:rPr>
        <w:t xml:space="preserve"> </w:t>
      </w:r>
      <w:r w:rsidR="00AF0B7C" w:rsidRPr="00AB5383">
        <w:rPr>
          <w:rFonts w:ascii="Segoe UI" w:hAnsi="Segoe UI" w:cs="Segoe UI"/>
          <w:bCs/>
          <w:iCs/>
          <w:sz w:val="20"/>
          <w:szCs w:val="20"/>
          <w:lang w:val="it-IT"/>
        </w:rPr>
        <w:t xml:space="preserve">di pagamento </w:t>
      </w:r>
      <w:r w:rsidRPr="00AB5383">
        <w:rPr>
          <w:rFonts w:ascii="Segoe UI" w:hAnsi="Segoe UI" w:cs="Segoe UI"/>
          <w:bCs/>
          <w:iCs/>
          <w:sz w:val="20"/>
          <w:szCs w:val="20"/>
          <w:lang w:val="it-IT"/>
        </w:rPr>
        <w:t xml:space="preserve">con un </w:t>
      </w:r>
      <w:r w:rsidR="007A2864" w:rsidRPr="00AB5383">
        <w:rPr>
          <w:rFonts w:ascii="Segoe UI" w:hAnsi="Segoe UI" w:cs="Segoe UI"/>
          <w:bCs/>
          <w:iCs/>
          <w:sz w:val="20"/>
          <w:szCs w:val="20"/>
          <w:lang w:val="it-IT"/>
        </w:rPr>
        <w:t>identificativo</w:t>
      </w:r>
      <w:r w:rsidRPr="00AB5383">
        <w:rPr>
          <w:rFonts w:ascii="Segoe UI" w:hAnsi="Segoe UI" w:cs="Segoe UI"/>
          <w:bCs/>
          <w:iCs/>
          <w:sz w:val="20"/>
          <w:szCs w:val="20"/>
          <w:lang w:val="it-IT"/>
        </w:rPr>
        <w:t xml:space="preserve"> digitale</w:t>
      </w:r>
      <w:r w:rsidR="007A2864" w:rsidRPr="00AB5383">
        <w:rPr>
          <w:rFonts w:ascii="Segoe UI" w:hAnsi="Segoe UI" w:cs="Segoe UI"/>
          <w:bCs/>
          <w:iCs/>
          <w:sz w:val="20"/>
          <w:szCs w:val="20"/>
          <w:lang w:val="it-IT"/>
        </w:rPr>
        <w:t xml:space="preserve"> unico</w:t>
      </w:r>
      <w:r w:rsidRPr="00AB5383">
        <w:rPr>
          <w:rFonts w:ascii="Segoe UI" w:hAnsi="Segoe UI" w:cs="Segoe UI"/>
          <w:bCs/>
          <w:iCs/>
          <w:sz w:val="20"/>
          <w:szCs w:val="20"/>
          <w:lang w:val="it-IT"/>
        </w:rPr>
        <w:t>.</w:t>
      </w:r>
    </w:p>
    <w:p w14:paraId="4E9EB3EC" w14:textId="13D5EEE8" w:rsidR="007A2864" w:rsidRPr="00AB5383" w:rsidRDefault="007A2864" w:rsidP="00AB5383">
      <w:pPr>
        <w:pStyle w:val="Paragrafoelenco"/>
        <w:spacing w:after="120" w:line="300" w:lineRule="exact"/>
        <w:ind w:left="0"/>
        <w:jc w:val="both"/>
        <w:rPr>
          <w:rFonts w:ascii="Segoe UI" w:hAnsi="Segoe UI" w:cs="Segoe UI"/>
          <w:bCs/>
          <w:iCs/>
          <w:color w:val="auto"/>
          <w:sz w:val="20"/>
          <w:szCs w:val="20"/>
          <w:lang w:val="it-IT"/>
        </w:rPr>
      </w:pPr>
      <w:r w:rsidRPr="00AB5383">
        <w:rPr>
          <w:rFonts w:ascii="Segoe UI" w:hAnsi="Segoe UI" w:cs="Segoe UI"/>
          <w:bCs/>
          <w:iCs/>
          <w:color w:val="auto"/>
          <w:sz w:val="20"/>
          <w:szCs w:val="20"/>
          <w:lang w:val="it-IT"/>
        </w:rPr>
        <w:t xml:space="preserve">La tecnologia Visa Token Service è già utilizzata a supporto di sistemi di pagamento in mobilità in 27 Paesi a livello mondiale, tra cui </w:t>
      </w:r>
      <w:r w:rsidR="00AF0B7C" w:rsidRPr="00AB5383">
        <w:rPr>
          <w:rFonts w:ascii="Segoe UI" w:hAnsi="Segoe UI" w:cs="Segoe UI"/>
          <w:bCs/>
          <w:iCs/>
          <w:color w:val="auto"/>
          <w:sz w:val="20"/>
          <w:szCs w:val="20"/>
          <w:lang w:val="it-IT"/>
        </w:rPr>
        <w:t xml:space="preserve">anche </w:t>
      </w:r>
      <w:r w:rsidRPr="00AB5383">
        <w:rPr>
          <w:rFonts w:ascii="Segoe UI" w:hAnsi="Segoe UI" w:cs="Segoe UI"/>
          <w:bCs/>
          <w:iCs/>
          <w:color w:val="auto"/>
          <w:sz w:val="20"/>
          <w:szCs w:val="20"/>
          <w:lang w:val="it-IT"/>
        </w:rPr>
        <w:t xml:space="preserve">Francia, Irlanda, Polonia, </w:t>
      </w:r>
      <w:r w:rsidR="00AE5126" w:rsidRPr="00AB5383">
        <w:rPr>
          <w:rFonts w:ascii="Segoe UI" w:hAnsi="Segoe UI" w:cs="Segoe UI"/>
          <w:bCs/>
          <w:iCs/>
          <w:color w:val="auto"/>
          <w:sz w:val="20"/>
          <w:szCs w:val="20"/>
          <w:lang w:val="it-IT"/>
        </w:rPr>
        <w:t xml:space="preserve">Regno Unito e </w:t>
      </w:r>
      <w:r w:rsidRPr="00AB5383">
        <w:rPr>
          <w:rFonts w:ascii="Segoe UI" w:hAnsi="Segoe UI" w:cs="Segoe UI"/>
          <w:bCs/>
          <w:iCs/>
          <w:color w:val="auto"/>
          <w:sz w:val="20"/>
          <w:szCs w:val="20"/>
          <w:lang w:val="it-IT"/>
        </w:rPr>
        <w:t xml:space="preserve">Svizzera, </w:t>
      </w:r>
      <w:r w:rsidR="00AE5126" w:rsidRPr="00AB5383">
        <w:rPr>
          <w:rFonts w:ascii="Segoe UI" w:hAnsi="Segoe UI" w:cs="Segoe UI"/>
          <w:bCs/>
          <w:iCs/>
          <w:color w:val="auto"/>
          <w:sz w:val="20"/>
          <w:szCs w:val="20"/>
          <w:lang w:val="it-IT"/>
        </w:rPr>
        <w:t>coinvolgendo</w:t>
      </w:r>
      <w:r w:rsidRPr="00AB5383">
        <w:rPr>
          <w:rFonts w:ascii="Segoe UI" w:hAnsi="Segoe UI" w:cs="Segoe UI"/>
          <w:bCs/>
          <w:iCs/>
          <w:color w:val="auto"/>
          <w:sz w:val="20"/>
          <w:szCs w:val="20"/>
          <w:lang w:val="it-IT"/>
        </w:rPr>
        <w:t xml:space="preserve"> </w:t>
      </w:r>
      <w:r w:rsidR="00AE5126" w:rsidRPr="00AB5383">
        <w:rPr>
          <w:rFonts w:ascii="Segoe UI" w:hAnsi="Segoe UI" w:cs="Segoe UI"/>
          <w:bCs/>
          <w:iCs/>
          <w:color w:val="auto"/>
          <w:sz w:val="20"/>
          <w:szCs w:val="20"/>
          <w:lang w:val="it-IT"/>
        </w:rPr>
        <w:t>oltre</w:t>
      </w:r>
      <w:r w:rsidRPr="00AB5383">
        <w:rPr>
          <w:rFonts w:ascii="Segoe UI" w:hAnsi="Segoe UI" w:cs="Segoe UI"/>
          <w:bCs/>
          <w:iCs/>
          <w:color w:val="auto"/>
          <w:sz w:val="20"/>
          <w:szCs w:val="20"/>
          <w:lang w:val="it-IT"/>
        </w:rPr>
        <w:t xml:space="preserve"> 1.300 istituzioni finanziarie partner. Visa sta lavorando con i propri clienti e partner per estendere ulteriormente l’uso di questa tecnologia a nuovi Paesi, nonché ai pagamenti online.</w:t>
      </w:r>
    </w:p>
    <w:p w14:paraId="79289C85" w14:textId="41C3A3AA" w:rsidR="00AE5126" w:rsidRPr="00AB5383" w:rsidRDefault="00AE5126" w:rsidP="00AB5383">
      <w:pPr>
        <w:pStyle w:val="Paragrafoelenco"/>
        <w:spacing w:after="120" w:line="300" w:lineRule="exact"/>
        <w:ind w:left="0"/>
        <w:jc w:val="both"/>
        <w:rPr>
          <w:rFonts w:ascii="Segoe UI" w:hAnsi="Segoe UI" w:cs="Segoe UI"/>
          <w:bCs/>
          <w:iCs/>
          <w:sz w:val="20"/>
          <w:szCs w:val="20"/>
          <w:lang w:val="it-IT"/>
        </w:rPr>
      </w:pPr>
      <w:r w:rsidRPr="00AB5383">
        <w:rPr>
          <w:rFonts w:ascii="Segoe UI" w:hAnsi="Segoe UI" w:cs="Segoe UI"/>
          <w:bCs/>
          <w:iCs/>
          <w:sz w:val="20"/>
          <w:szCs w:val="20"/>
          <w:lang w:val="it-IT"/>
        </w:rPr>
        <w:t xml:space="preserve">Introdotto per la prima volta da Visa nel 2014, il </w:t>
      </w:r>
      <w:r w:rsidRPr="00AB5383">
        <w:rPr>
          <w:rFonts w:ascii="Segoe UI" w:hAnsi="Segoe UI" w:cs="Segoe UI"/>
          <w:b/>
          <w:bCs/>
          <w:iCs/>
          <w:sz w:val="20"/>
          <w:szCs w:val="20"/>
          <w:lang w:val="it-IT"/>
        </w:rPr>
        <w:t xml:space="preserve">Visa Token Service costituisce la tecnologia che sta alla base di </w:t>
      </w:r>
      <w:r w:rsidR="00AF0B7C" w:rsidRPr="00AB5383">
        <w:rPr>
          <w:rFonts w:ascii="Segoe UI" w:hAnsi="Segoe UI" w:cs="Segoe UI"/>
          <w:b/>
          <w:bCs/>
          <w:iCs/>
          <w:sz w:val="20"/>
          <w:szCs w:val="20"/>
          <w:lang w:val="it-IT"/>
        </w:rPr>
        <w:t>principali</w:t>
      </w:r>
      <w:r w:rsidRPr="00AB5383">
        <w:rPr>
          <w:rFonts w:ascii="Segoe UI" w:hAnsi="Segoe UI" w:cs="Segoe UI"/>
          <w:b/>
          <w:bCs/>
          <w:iCs/>
          <w:sz w:val="20"/>
          <w:szCs w:val="20"/>
          <w:lang w:val="it-IT"/>
        </w:rPr>
        <w:t xml:space="preserve"> servizi di pagamento in mobilità</w:t>
      </w:r>
      <w:r w:rsidRPr="00AB5383">
        <w:rPr>
          <w:rFonts w:ascii="Segoe UI" w:hAnsi="Segoe UI" w:cs="Segoe UI"/>
          <w:bCs/>
          <w:iCs/>
          <w:sz w:val="20"/>
          <w:szCs w:val="20"/>
          <w:lang w:val="it-IT"/>
        </w:rPr>
        <w:t xml:space="preserve">, </w:t>
      </w:r>
      <w:r w:rsidRPr="00AB5383">
        <w:rPr>
          <w:rFonts w:ascii="Segoe UI" w:hAnsi="Segoe UI" w:cs="Segoe UI"/>
          <w:b/>
          <w:bCs/>
          <w:iCs/>
          <w:sz w:val="20"/>
          <w:szCs w:val="20"/>
          <w:lang w:val="it-IT"/>
        </w:rPr>
        <w:t xml:space="preserve">come Apple Pay </w:t>
      </w:r>
      <w:r w:rsidRPr="00AB5383">
        <w:rPr>
          <w:rFonts w:ascii="Segoe UI" w:hAnsi="Segoe UI" w:cs="Segoe UI"/>
          <w:bCs/>
          <w:iCs/>
          <w:sz w:val="20"/>
          <w:szCs w:val="20"/>
          <w:lang w:val="it-IT"/>
        </w:rPr>
        <w:t>e</w:t>
      </w:r>
      <w:r w:rsidRPr="00AB5383">
        <w:rPr>
          <w:rFonts w:ascii="Segoe UI" w:hAnsi="Segoe UI" w:cs="Segoe UI"/>
          <w:b/>
          <w:bCs/>
          <w:iCs/>
          <w:sz w:val="20"/>
          <w:szCs w:val="20"/>
          <w:lang w:val="it-IT"/>
        </w:rPr>
        <w:t xml:space="preserve"> Android Pay</w:t>
      </w:r>
      <w:r w:rsidRPr="00AB5383">
        <w:rPr>
          <w:rFonts w:ascii="Segoe UI" w:hAnsi="Segoe UI" w:cs="Segoe UI"/>
          <w:bCs/>
          <w:iCs/>
          <w:sz w:val="20"/>
          <w:szCs w:val="20"/>
          <w:lang w:val="it-IT"/>
        </w:rPr>
        <w:t xml:space="preserve">, offrendo ai consumatori uno strumento sicuro per ricaricare e accedere al loro conto di pagamento da dispositivo mobile. Il Visa Token Service costituisce anche il cuore della visione Visa sull’IoT (Internet of Things), permettendo transazioni sicure e pratiche su qualsiasi dispositivo connesso, da smartphone, tablet e dispositivi indossabili, fino addirittura ad automobili ed elettrodomestici. </w:t>
      </w:r>
    </w:p>
    <w:p w14:paraId="7B6436B6" w14:textId="7940D647" w:rsidR="00AE5126" w:rsidRPr="00AB5383" w:rsidRDefault="00AE5126" w:rsidP="00AB5383">
      <w:pPr>
        <w:pStyle w:val="Paragrafoelenco"/>
        <w:spacing w:after="120" w:line="300" w:lineRule="exact"/>
        <w:ind w:left="0"/>
        <w:rPr>
          <w:rFonts w:ascii="Segoe UI" w:hAnsi="Segoe UI" w:cs="Segoe UI"/>
          <w:b/>
          <w:bCs/>
          <w:iCs/>
          <w:sz w:val="20"/>
          <w:szCs w:val="20"/>
          <w:lang w:val="it-IT"/>
        </w:rPr>
      </w:pPr>
      <w:r w:rsidRPr="00AB5383">
        <w:rPr>
          <w:rFonts w:ascii="Segoe UI" w:hAnsi="Segoe UI" w:cs="Segoe UI"/>
          <w:b/>
          <w:bCs/>
          <w:iCs/>
          <w:sz w:val="20"/>
          <w:szCs w:val="20"/>
          <w:lang w:val="it-IT"/>
        </w:rPr>
        <w:t xml:space="preserve">Sandra Alzetta, Executive Director </w:t>
      </w:r>
      <w:r w:rsidR="008510D2" w:rsidRPr="00AB5383">
        <w:rPr>
          <w:rFonts w:ascii="Segoe UI" w:hAnsi="Segoe UI" w:cs="Segoe UI"/>
          <w:b/>
          <w:bCs/>
          <w:iCs/>
          <w:sz w:val="20"/>
          <w:szCs w:val="20"/>
          <w:lang w:val="it-IT"/>
        </w:rPr>
        <w:t>Digital Solutions</w:t>
      </w:r>
      <w:r w:rsidRPr="00AB5383">
        <w:rPr>
          <w:rFonts w:ascii="Segoe UI" w:hAnsi="Segoe UI" w:cs="Segoe UI"/>
          <w:b/>
          <w:bCs/>
          <w:iCs/>
          <w:sz w:val="20"/>
          <w:szCs w:val="20"/>
          <w:lang w:val="it-IT"/>
        </w:rPr>
        <w:t xml:space="preserve"> di Visa</w:t>
      </w:r>
      <w:r w:rsidR="008510D2" w:rsidRPr="00AB5383">
        <w:rPr>
          <w:rFonts w:ascii="Segoe UI" w:hAnsi="Segoe UI" w:cs="Segoe UI"/>
          <w:b/>
          <w:bCs/>
          <w:iCs/>
          <w:sz w:val="20"/>
          <w:szCs w:val="20"/>
          <w:lang w:val="it-IT"/>
        </w:rPr>
        <w:t xml:space="preserve"> ha commentato</w:t>
      </w:r>
      <w:r w:rsidRPr="00AB5383">
        <w:rPr>
          <w:rFonts w:ascii="Segoe UI" w:hAnsi="Segoe UI" w:cs="Segoe UI"/>
          <w:b/>
          <w:bCs/>
          <w:iCs/>
          <w:sz w:val="20"/>
          <w:szCs w:val="20"/>
          <w:lang w:val="it-IT"/>
        </w:rPr>
        <w:t>:</w:t>
      </w:r>
      <w:r w:rsidR="008510D2" w:rsidRPr="00AB5383">
        <w:rPr>
          <w:rFonts w:ascii="Segoe UI" w:hAnsi="Segoe UI" w:cs="Segoe UI"/>
          <w:b/>
          <w:bCs/>
          <w:iCs/>
          <w:sz w:val="20"/>
          <w:szCs w:val="20"/>
          <w:lang w:val="it-IT"/>
        </w:rPr>
        <w:t xml:space="preserve"> </w:t>
      </w:r>
      <w:r w:rsidRPr="00AB5383">
        <w:rPr>
          <w:rFonts w:ascii="Segoe UI" w:hAnsi="Segoe UI" w:cs="Segoe UI"/>
          <w:bCs/>
          <w:iCs/>
          <w:sz w:val="20"/>
          <w:szCs w:val="20"/>
          <w:lang w:val="it-IT"/>
        </w:rPr>
        <w:t xml:space="preserve">“Dal </w:t>
      </w:r>
      <w:r w:rsidR="008510D2" w:rsidRPr="00AB5383">
        <w:rPr>
          <w:rFonts w:ascii="Segoe UI" w:hAnsi="Segoe UI" w:cs="Segoe UI"/>
          <w:bCs/>
          <w:iCs/>
          <w:sz w:val="20"/>
          <w:szCs w:val="20"/>
          <w:lang w:val="it-IT"/>
        </w:rPr>
        <w:t>2014 a</w:t>
      </w:r>
      <w:r w:rsidRPr="00AB5383">
        <w:rPr>
          <w:rFonts w:ascii="Segoe UI" w:hAnsi="Segoe UI" w:cs="Segoe UI"/>
          <w:bCs/>
          <w:iCs/>
          <w:sz w:val="20"/>
          <w:szCs w:val="20"/>
          <w:lang w:val="it-IT"/>
        </w:rPr>
        <w:t xml:space="preserve"> oggi</w:t>
      </w:r>
      <w:r w:rsidR="008510D2" w:rsidRPr="00AB5383">
        <w:rPr>
          <w:rFonts w:ascii="Segoe UI" w:hAnsi="Segoe UI" w:cs="Segoe UI"/>
          <w:bCs/>
          <w:iCs/>
          <w:sz w:val="20"/>
          <w:szCs w:val="20"/>
          <w:lang w:val="it-IT"/>
        </w:rPr>
        <w:t xml:space="preserve"> abbiamo assistito </w:t>
      </w:r>
      <w:r w:rsidR="00BD7D37" w:rsidRPr="00AB5383">
        <w:rPr>
          <w:rFonts w:ascii="Segoe UI" w:hAnsi="Segoe UI" w:cs="Segoe UI"/>
          <w:bCs/>
          <w:iCs/>
          <w:sz w:val="20"/>
          <w:szCs w:val="20"/>
          <w:lang w:val="it-IT"/>
        </w:rPr>
        <w:t xml:space="preserve">in Europa </w:t>
      </w:r>
      <w:r w:rsidR="008510D2" w:rsidRPr="00AB5383">
        <w:rPr>
          <w:rFonts w:ascii="Segoe UI" w:hAnsi="Segoe UI" w:cs="Segoe UI"/>
          <w:bCs/>
          <w:iCs/>
          <w:sz w:val="20"/>
          <w:szCs w:val="20"/>
          <w:lang w:val="it-IT"/>
        </w:rPr>
        <w:t xml:space="preserve">a una </w:t>
      </w:r>
      <w:r w:rsidRPr="00AB5383">
        <w:rPr>
          <w:rFonts w:ascii="Segoe UI" w:hAnsi="Segoe UI" w:cs="Segoe UI"/>
          <w:bCs/>
          <w:iCs/>
          <w:sz w:val="20"/>
          <w:szCs w:val="20"/>
          <w:lang w:val="it-IT"/>
        </w:rPr>
        <w:t xml:space="preserve">adozione </w:t>
      </w:r>
      <w:r w:rsidR="008510D2" w:rsidRPr="00AB5383">
        <w:rPr>
          <w:rFonts w:ascii="Segoe UI" w:hAnsi="Segoe UI" w:cs="Segoe UI"/>
          <w:bCs/>
          <w:iCs/>
          <w:sz w:val="20"/>
          <w:szCs w:val="20"/>
          <w:lang w:val="it-IT"/>
        </w:rPr>
        <w:t xml:space="preserve">sempre più crescente </w:t>
      </w:r>
      <w:r w:rsidRPr="00AB5383">
        <w:rPr>
          <w:rFonts w:ascii="Segoe UI" w:hAnsi="Segoe UI" w:cs="Segoe UI"/>
          <w:bCs/>
          <w:iCs/>
          <w:sz w:val="20"/>
          <w:szCs w:val="20"/>
          <w:lang w:val="it-IT"/>
        </w:rPr>
        <w:t>d</w:t>
      </w:r>
      <w:r w:rsidR="008510D2" w:rsidRPr="00AB5383">
        <w:rPr>
          <w:rFonts w:ascii="Segoe UI" w:hAnsi="Segoe UI" w:cs="Segoe UI"/>
          <w:bCs/>
          <w:iCs/>
          <w:sz w:val="20"/>
          <w:szCs w:val="20"/>
          <w:lang w:val="it-IT"/>
        </w:rPr>
        <w:t>e</w:t>
      </w:r>
      <w:r w:rsidRPr="00AB5383">
        <w:rPr>
          <w:rFonts w:ascii="Segoe UI" w:hAnsi="Segoe UI" w:cs="Segoe UI"/>
          <w:bCs/>
          <w:iCs/>
          <w:sz w:val="20"/>
          <w:szCs w:val="20"/>
          <w:lang w:val="it-IT"/>
        </w:rPr>
        <w:t xml:space="preserve">i </w:t>
      </w:r>
      <w:r w:rsidR="00AF0B7C" w:rsidRPr="00AB5383">
        <w:rPr>
          <w:rFonts w:ascii="Segoe UI" w:hAnsi="Segoe UI" w:cs="Segoe UI"/>
          <w:bCs/>
          <w:iCs/>
          <w:sz w:val="20"/>
          <w:szCs w:val="20"/>
          <w:lang w:val="it-IT"/>
        </w:rPr>
        <w:t>pagamenti in mobilità</w:t>
      </w:r>
      <w:r w:rsidRPr="00AB5383">
        <w:rPr>
          <w:rFonts w:ascii="Segoe UI" w:hAnsi="Segoe UI" w:cs="Segoe UI"/>
          <w:bCs/>
          <w:iCs/>
          <w:sz w:val="20"/>
          <w:szCs w:val="20"/>
          <w:lang w:val="it-IT"/>
        </w:rPr>
        <w:t xml:space="preserve"> da parte </w:t>
      </w:r>
      <w:r w:rsidR="008510D2" w:rsidRPr="00AB5383">
        <w:rPr>
          <w:rFonts w:ascii="Segoe UI" w:hAnsi="Segoe UI" w:cs="Segoe UI"/>
          <w:bCs/>
          <w:iCs/>
          <w:sz w:val="20"/>
          <w:szCs w:val="20"/>
          <w:lang w:val="it-IT"/>
        </w:rPr>
        <w:t>dei consumatori</w:t>
      </w:r>
      <w:r w:rsidRPr="00AB5383">
        <w:rPr>
          <w:rFonts w:ascii="Segoe UI" w:hAnsi="Segoe UI" w:cs="Segoe UI"/>
          <w:bCs/>
          <w:iCs/>
          <w:sz w:val="20"/>
          <w:szCs w:val="20"/>
          <w:lang w:val="it-IT"/>
        </w:rPr>
        <w:t xml:space="preserve">. </w:t>
      </w:r>
      <w:r w:rsidR="00BD7D37" w:rsidRPr="00AB5383">
        <w:rPr>
          <w:rFonts w:ascii="Segoe UI" w:hAnsi="Segoe UI" w:cs="Segoe UI"/>
          <w:bCs/>
          <w:iCs/>
          <w:sz w:val="20"/>
          <w:szCs w:val="20"/>
          <w:lang w:val="it-IT"/>
        </w:rPr>
        <w:t>Il prossimo obiettivo</w:t>
      </w:r>
      <w:r w:rsidR="008510D2" w:rsidRPr="00AB5383">
        <w:rPr>
          <w:rFonts w:ascii="Segoe UI" w:hAnsi="Segoe UI" w:cs="Segoe UI"/>
          <w:bCs/>
          <w:iCs/>
          <w:sz w:val="20"/>
          <w:szCs w:val="20"/>
          <w:lang w:val="it-IT"/>
        </w:rPr>
        <w:t xml:space="preserve"> per</w:t>
      </w:r>
      <w:r w:rsidRPr="00AB5383">
        <w:rPr>
          <w:rFonts w:ascii="Segoe UI" w:hAnsi="Segoe UI" w:cs="Segoe UI"/>
          <w:bCs/>
          <w:iCs/>
          <w:sz w:val="20"/>
          <w:szCs w:val="20"/>
          <w:lang w:val="it-IT"/>
        </w:rPr>
        <w:t xml:space="preserve"> Visa </w:t>
      </w:r>
      <w:r w:rsidR="008510D2" w:rsidRPr="00AB5383">
        <w:rPr>
          <w:rFonts w:ascii="Segoe UI" w:hAnsi="Segoe UI" w:cs="Segoe UI"/>
          <w:bCs/>
          <w:iCs/>
          <w:sz w:val="20"/>
          <w:szCs w:val="20"/>
          <w:lang w:val="it-IT"/>
        </w:rPr>
        <w:t xml:space="preserve">sarà </w:t>
      </w:r>
      <w:r w:rsidRPr="00AB5383">
        <w:rPr>
          <w:rFonts w:ascii="Segoe UI" w:hAnsi="Segoe UI" w:cs="Segoe UI"/>
          <w:bCs/>
          <w:iCs/>
          <w:sz w:val="20"/>
          <w:szCs w:val="20"/>
          <w:lang w:val="it-IT"/>
        </w:rPr>
        <w:t xml:space="preserve">l’espansione del nostro servizio di </w:t>
      </w:r>
      <w:r w:rsidR="008510D2" w:rsidRPr="00AB5383">
        <w:rPr>
          <w:rFonts w:ascii="Segoe UI" w:hAnsi="Segoe UI" w:cs="Segoe UI"/>
          <w:bCs/>
          <w:iCs/>
          <w:sz w:val="20"/>
          <w:szCs w:val="20"/>
          <w:lang w:val="it-IT"/>
        </w:rPr>
        <w:t xml:space="preserve">tecnologia </w:t>
      </w:r>
      <w:r w:rsidRPr="00AB5383">
        <w:rPr>
          <w:rFonts w:ascii="Segoe UI" w:hAnsi="Segoe UI" w:cs="Segoe UI"/>
          <w:bCs/>
          <w:iCs/>
          <w:sz w:val="20"/>
          <w:szCs w:val="20"/>
          <w:lang w:val="it-IT"/>
        </w:rPr>
        <w:t>token, per garantire agli esercenti un</w:t>
      </w:r>
      <w:r w:rsidR="008510D2" w:rsidRPr="00AB5383">
        <w:rPr>
          <w:rFonts w:ascii="Segoe UI" w:hAnsi="Segoe UI" w:cs="Segoe UI"/>
          <w:bCs/>
          <w:iCs/>
          <w:sz w:val="20"/>
          <w:szCs w:val="20"/>
          <w:lang w:val="it-IT"/>
        </w:rPr>
        <w:t xml:space="preserve">a gestione semplice e in tutta sicurezza </w:t>
      </w:r>
      <w:r w:rsidRPr="00AB5383">
        <w:rPr>
          <w:rFonts w:ascii="Segoe UI" w:hAnsi="Segoe UI" w:cs="Segoe UI"/>
          <w:bCs/>
          <w:iCs/>
          <w:sz w:val="20"/>
          <w:szCs w:val="20"/>
          <w:lang w:val="it-IT"/>
        </w:rPr>
        <w:t xml:space="preserve">dei dati </w:t>
      </w:r>
      <w:r w:rsidR="008510D2" w:rsidRPr="00AB5383">
        <w:rPr>
          <w:rFonts w:ascii="Segoe UI" w:hAnsi="Segoe UI" w:cs="Segoe UI"/>
          <w:bCs/>
          <w:iCs/>
          <w:sz w:val="20"/>
          <w:szCs w:val="20"/>
          <w:lang w:val="it-IT"/>
        </w:rPr>
        <w:t xml:space="preserve">sensibili </w:t>
      </w:r>
      <w:r w:rsidRPr="00AB5383">
        <w:rPr>
          <w:rFonts w:ascii="Segoe UI" w:hAnsi="Segoe UI" w:cs="Segoe UI"/>
          <w:bCs/>
          <w:iCs/>
          <w:sz w:val="20"/>
          <w:szCs w:val="20"/>
          <w:lang w:val="it-IT"/>
        </w:rPr>
        <w:t xml:space="preserve">dei loro clienti </w:t>
      </w:r>
      <w:r w:rsidR="008510D2" w:rsidRPr="00AB5383">
        <w:rPr>
          <w:rFonts w:ascii="Segoe UI" w:hAnsi="Segoe UI" w:cs="Segoe UI"/>
          <w:bCs/>
          <w:iCs/>
          <w:sz w:val="20"/>
          <w:szCs w:val="20"/>
          <w:lang w:val="it-IT"/>
        </w:rPr>
        <w:t>in archivio</w:t>
      </w:r>
      <w:r w:rsidR="00BD7D37" w:rsidRPr="00AB5383">
        <w:rPr>
          <w:rFonts w:ascii="Segoe UI" w:hAnsi="Segoe UI" w:cs="Segoe UI"/>
          <w:bCs/>
          <w:iCs/>
          <w:sz w:val="20"/>
          <w:szCs w:val="20"/>
          <w:lang w:val="it-IT"/>
        </w:rPr>
        <w:t>, nonché</w:t>
      </w:r>
      <w:r w:rsidR="008510D2" w:rsidRPr="00AB5383">
        <w:rPr>
          <w:rFonts w:ascii="Segoe UI" w:hAnsi="Segoe UI" w:cs="Segoe UI"/>
          <w:bCs/>
          <w:iCs/>
          <w:sz w:val="20"/>
          <w:szCs w:val="20"/>
          <w:lang w:val="it-IT"/>
        </w:rPr>
        <w:t xml:space="preserve"> abilitare </w:t>
      </w:r>
      <w:r w:rsidRPr="00AB5383">
        <w:rPr>
          <w:rFonts w:ascii="Segoe UI" w:hAnsi="Segoe UI" w:cs="Segoe UI"/>
          <w:bCs/>
          <w:iCs/>
          <w:sz w:val="20"/>
          <w:szCs w:val="20"/>
          <w:lang w:val="it-IT"/>
        </w:rPr>
        <w:t>acquisti in sicurezza con una gamma più vasta di dispositivi connessi.”</w:t>
      </w:r>
    </w:p>
    <w:p w14:paraId="1D32657A" w14:textId="77777777" w:rsidR="008510D2" w:rsidRPr="00AB5383" w:rsidRDefault="008510D2" w:rsidP="00AB5383">
      <w:pPr>
        <w:spacing w:after="0" w:line="300" w:lineRule="exact"/>
        <w:jc w:val="both"/>
        <w:rPr>
          <w:rFonts w:ascii="Segoe UI" w:hAnsi="Segoe UI" w:cs="Segoe UI"/>
          <w:b/>
          <w:bCs/>
          <w:iCs/>
          <w:sz w:val="20"/>
          <w:szCs w:val="20"/>
          <w:lang w:val="it-IT"/>
        </w:rPr>
      </w:pPr>
      <w:r w:rsidRPr="00AB5383">
        <w:rPr>
          <w:rFonts w:ascii="Segoe UI" w:hAnsi="Segoe UI" w:cs="Segoe UI"/>
          <w:b/>
          <w:bCs/>
          <w:iCs/>
          <w:sz w:val="20"/>
          <w:szCs w:val="20"/>
          <w:lang w:val="it-IT"/>
        </w:rPr>
        <w:t xml:space="preserve">Elementi chiave per la crescita </w:t>
      </w:r>
      <w:proofErr w:type="gramStart"/>
      <w:r w:rsidRPr="00AB5383">
        <w:rPr>
          <w:rFonts w:ascii="Segoe UI" w:hAnsi="Segoe UI" w:cs="Segoe UI"/>
          <w:b/>
          <w:bCs/>
          <w:iCs/>
          <w:sz w:val="20"/>
          <w:szCs w:val="20"/>
          <w:lang w:val="it-IT"/>
        </w:rPr>
        <w:t>dei mobile</w:t>
      </w:r>
      <w:proofErr w:type="gramEnd"/>
      <w:r w:rsidRPr="00AB5383">
        <w:rPr>
          <w:rFonts w:ascii="Segoe UI" w:hAnsi="Segoe UI" w:cs="Segoe UI"/>
          <w:b/>
          <w:bCs/>
          <w:iCs/>
          <w:sz w:val="20"/>
          <w:szCs w:val="20"/>
          <w:lang w:val="it-IT"/>
        </w:rPr>
        <w:t xml:space="preserve"> payments in Europa</w:t>
      </w:r>
    </w:p>
    <w:p w14:paraId="316BB7A9" w14:textId="6463A536" w:rsidR="008510D2" w:rsidRPr="00AB5383" w:rsidRDefault="008510D2" w:rsidP="00AB5383">
      <w:pPr>
        <w:spacing w:after="120" w:line="300" w:lineRule="exact"/>
        <w:jc w:val="both"/>
        <w:rPr>
          <w:rFonts w:ascii="Segoe UI" w:hAnsi="Segoe UI" w:cs="Segoe UI"/>
          <w:bCs/>
          <w:iCs/>
          <w:sz w:val="20"/>
          <w:szCs w:val="20"/>
          <w:lang w:val="it-IT"/>
        </w:rPr>
      </w:pPr>
      <w:r w:rsidRPr="00AB5383">
        <w:rPr>
          <w:rFonts w:ascii="Segoe UI" w:hAnsi="Segoe UI" w:cs="Segoe UI"/>
          <w:bCs/>
          <w:iCs/>
          <w:sz w:val="20"/>
          <w:szCs w:val="20"/>
          <w:lang w:val="it-IT"/>
        </w:rPr>
        <w:t>Sicurezza, praticità e un numero crescente di punti vendita dotati di terminal</w:t>
      </w:r>
      <w:r w:rsidR="009920B7" w:rsidRPr="00AB5383">
        <w:rPr>
          <w:rFonts w:ascii="Segoe UI" w:hAnsi="Segoe UI" w:cs="Segoe UI"/>
          <w:bCs/>
          <w:iCs/>
          <w:sz w:val="20"/>
          <w:szCs w:val="20"/>
          <w:lang w:val="it-IT"/>
        </w:rPr>
        <w:t>i</w:t>
      </w:r>
      <w:r w:rsidRPr="00AB5383">
        <w:rPr>
          <w:rFonts w:ascii="Segoe UI" w:hAnsi="Segoe UI" w:cs="Segoe UI"/>
          <w:bCs/>
          <w:iCs/>
          <w:sz w:val="20"/>
          <w:szCs w:val="20"/>
          <w:lang w:val="it-IT"/>
        </w:rPr>
        <w:t xml:space="preserve"> di pagamento contactless sono fattori chiave per una massiccia adozione dei pagamenti in mobilità in tutta Europa. </w:t>
      </w:r>
      <w:r w:rsidR="009920B7" w:rsidRPr="00AB5383">
        <w:rPr>
          <w:rFonts w:ascii="Segoe UI" w:hAnsi="Segoe UI" w:cs="Segoe UI"/>
          <w:bCs/>
          <w:iCs/>
          <w:sz w:val="20"/>
          <w:szCs w:val="20"/>
          <w:lang w:val="it-IT"/>
        </w:rPr>
        <w:t>Visa Token Service</w:t>
      </w:r>
      <w:r w:rsidRPr="00AB5383">
        <w:rPr>
          <w:rFonts w:ascii="Segoe UI" w:hAnsi="Segoe UI" w:cs="Segoe UI"/>
          <w:bCs/>
          <w:iCs/>
          <w:sz w:val="20"/>
          <w:szCs w:val="20"/>
          <w:lang w:val="it-IT"/>
        </w:rPr>
        <w:t xml:space="preserve"> garantisce ai consumatori la totale tranquillità nel fare acquisti da dispositivo mobile, offrendo un’esperienza di acquisto senza pari anche per le spese quotidiane: dai biglietti per i mezzi pubblici</w:t>
      </w:r>
      <w:r w:rsidR="009920B7" w:rsidRPr="00AB5383">
        <w:rPr>
          <w:rFonts w:ascii="Segoe UI" w:hAnsi="Segoe UI" w:cs="Segoe UI"/>
          <w:bCs/>
          <w:iCs/>
          <w:sz w:val="20"/>
          <w:szCs w:val="20"/>
          <w:lang w:val="it-IT"/>
        </w:rPr>
        <w:t>,</w:t>
      </w:r>
      <w:r w:rsidRPr="00AB5383">
        <w:rPr>
          <w:rFonts w:ascii="Segoe UI" w:hAnsi="Segoe UI" w:cs="Segoe UI"/>
          <w:bCs/>
          <w:iCs/>
          <w:sz w:val="20"/>
          <w:szCs w:val="20"/>
          <w:lang w:val="it-IT"/>
        </w:rPr>
        <w:t xml:space="preserve"> al caffè della mattina, fino al</w:t>
      </w:r>
      <w:r w:rsidR="009920B7" w:rsidRPr="00AB5383">
        <w:rPr>
          <w:rFonts w:ascii="Segoe UI" w:hAnsi="Segoe UI" w:cs="Segoe UI"/>
          <w:bCs/>
          <w:iCs/>
          <w:sz w:val="20"/>
          <w:szCs w:val="20"/>
          <w:lang w:val="it-IT"/>
        </w:rPr>
        <w:t>le loro spese per l’intrattenimento</w:t>
      </w:r>
      <w:r w:rsidRPr="00AB5383">
        <w:rPr>
          <w:rFonts w:ascii="Segoe UI" w:hAnsi="Segoe UI" w:cs="Segoe UI"/>
          <w:bCs/>
          <w:iCs/>
          <w:sz w:val="20"/>
          <w:szCs w:val="20"/>
          <w:lang w:val="it-IT"/>
        </w:rPr>
        <w:t>. Inoltre, gli esercenti europei si stanno sempre più dotando di nuove tecnologie che supportano i pagamenti sia con carta, sia con dispositivi mobili (NFC).</w:t>
      </w:r>
    </w:p>
    <w:p w14:paraId="79E2967C" w14:textId="436326DF" w:rsidR="009920B7" w:rsidRPr="00AB5383" w:rsidRDefault="009920B7" w:rsidP="00AB5383">
      <w:pPr>
        <w:pStyle w:val="Paragrafoelenco"/>
        <w:numPr>
          <w:ilvl w:val="0"/>
          <w:numId w:val="6"/>
        </w:numPr>
        <w:spacing w:after="60" w:line="300" w:lineRule="exact"/>
        <w:ind w:left="357" w:hanging="357"/>
        <w:jc w:val="both"/>
        <w:rPr>
          <w:rFonts w:ascii="Segoe UI" w:hAnsi="Segoe UI" w:cs="Segoe UI"/>
          <w:bCs/>
          <w:iCs/>
          <w:sz w:val="20"/>
          <w:szCs w:val="20"/>
          <w:lang w:val="it-IT"/>
        </w:rPr>
      </w:pPr>
      <w:r w:rsidRPr="00AB5383">
        <w:rPr>
          <w:rFonts w:ascii="Segoe UI" w:hAnsi="Segoe UI" w:cs="Segoe UI"/>
          <w:bCs/>
          <w:iCs/>
          <w:sz w:val="20"/>
          <w:szCs w:val="20"/>
          <w:lang w:val="it-IT"/>
        </w:rPr>
        <w:t>In Europa, le cinque categorie merceologiche più popolari per pagamenti in mobilità sono ristoranti, supermercati, trasporti, snack e bevande, tempo libero e intrattenimento.</w:t>
      </w:r>
    </w:p>
    <w:p w14:paraId="6CEC1DA6" w14:textId="598D1A22" w:rsidR="009920B7" w:rsidRPr="00AB5383" w:rsidRDefault="009920B7" w:rsidP="00AB5383">
      <w:pPr>
        <w:pStyle w:val="Paragrafoelenco"/>
        <w:numPr>
          <w:ilvl w:val="0"/>
          <w:numId w:val="6"/>
        </w:numPr>
        <w:spacing w:after="60" w:line="300" w:lineRule="exact"/>
        <w:ind w:left="357" w:hanging="357"/>
        <w:jc w:val="both"/>
        <w:rPr>
          <w:rFonts w:ascii="Segoe UI" w:hAnsi="Segoe UI" w:cs="Segoe UI"/>
          <w:bCs/>
          <w:iCs/>
          <w:sz w:val="20"/>
          <w:szCs w:val="20"/>
          <w:lang w:val="it-IT"/>
        </w:rPr>
      </w:pPr>
      <w:r w:rsidRPr="00AB5383">
        <w:rPr>
          <w:rFonts w:ascii="Segoe UI" w:hAnsi="Segoe UI" w:cs="Segoe UI"/>
          <w:bCs/>
          <w:iCs/>
          <w:sz w:val="20"/>
          <w:szCs w:val="20"/>
          <w:lang w:val="it-IT"/>
        </w:rPr>
        <w:lastRenderedPageBreak/>
        <w:t>Quando utilizzano i loro dispositivi mobili per gli acquisti, i consumatori europei spendono una media di €9 presso i punti di vendita fisici, mentre l’importo medio è di €41 per le transazioni online.</w:t>
      </w:r>
    </w:p>
    <w:p w14:paraId="2D1B9E82" w14:textId="6DE9E203" w:rsidR="009920B7" w:rsidRPr="00AB5383" w:rsidRDefault="009920B7" w:rsidP="00AB5383">
      <w:pPr>
        <w:pStyle w:val="Paragrafoelenco"/>
        <w:numPr>
          <w:ilvl w:val="0"/>
          <w:numId w:val="6"/>
        </w:numPr>
        <w:spacing w:after="60" w:line="300" w:lineRule="exact"/>
        <w:ind w:left="357" w:hanging="357"/>
        <w:jc w:val="both"/>
        <w:rPr>
          <w:rFonts w:ascii="Segoe UI" w:hAnsi="Segoe UI" w:cs="Segoe UI"/>
          <w:bCs/>
          <w:iCs/>
          <w:sz w:val="20"/>
          <w:szCs w:val="20"/>
          <w:lang w:val="it-IT"/>
        </w:rPr>
      </w:pPr>
      <w:r w:rsidRPr="00AB5383">
        <w:rPr>
          <w:rFonts w:ascii="Segoe UI" w:hAnsi="Segoe UI" w:cs="Segoe UI"/>
          <w:bCs/>
          <w:iCs/>
          <w:sz w:val="20"/>
          <w:szCs w:val="20"/>
          <w:lang w:val="it-IT"/>
        </w:rPr>
        <w:t xml:space="preserve">Quando viaggiano all’estero, i cittadini europei utilizzano il loro dispositivo mobile per effettuare acquisti in 91 Paesi in tutto il mondo, </w:t>
      </w:r>
      <w:r w:rsidR="009F4B27" w:rsidRPr="00AB5383">
        <w:rPr>
          <w:rFonts w:ascii="Segoe UI" w:hAnsi="Segoe UI" w:cs="Segoe UI"/>
          <w:bCs/>
          <w:iCs/>
          <w:sz w:val="20"/>
          <w:szCs w:val="20"/>
          <w:lang w:val="it-IT"/>
        </w:rPr>
        <w:t xml:space="preserve">a </w:t>
      </w:r>
      <w:r w:rsidRPr="00AB5383">
        <w:rPr>
          <w:rFonts w:ascii="Segoe UI" w:hAnsi="Segoe UI" w:cs="Segoe UI"/>
          <w:bCs/>
          <w:iCs/>
          <w:sz w:val="20"/>
          <w:szCs w:val="20"/>
          <w:lang w:val="it-IT"/>
        </w:rPr>
        <w:t>dimostrazione di quanto le persone si sentano sicure nell’utilizzare smartphone e tablet per effettuare acquisti in altri Paesi.</w:t>
      </w:r>
    </w:p>
    <w:p w14:paraId="00EBB1A4" w14:textId="7CAF0961" w:rsidR="009F4B27" w:rsidRPr="00AB5383" w:rsidRDefault="009F4B27" w:rsidP="00AB5383">
      <w:pPr>
        <w:pStyle w:val="Paragrafoelenco"/>
        <w:numPr>
          <w:ilvl w:val="0"/>
          <w:numId w:val="6"/>
        </w:numPr>
        <w:spacing w:after="240" w:line="300" w:lineRule="exact"/>
        <w:ind w:left="357" w:hanging="357"/>
        <w:jc w:val="both"/>
        <w:rPr>
          <w:rFonts w:ascii="Segoe UI" w:hAnsi="Segoe UI" w:cs="Segoe UI"/>
          <w:bCs/>
          <w:iCs/>
          <w:sz w:val="20"/>
          <w:szCs w:val="20"/>
        </w:rPr>
      </w:pPr>
      <w:proofErr w:type="spellStart"/>
      <w:r w:rsidRPr="00AB5383">
        <w:rPr>
          <w:rFonts w:ascii="Segoe UI" w:hAnsi="Segoe UI" w:cs="Segoe UI"/>
          <w:bCs/>
          <w:iCs/>
          <w:sz w:val="20"/>
          <w:szCs w:val="20"/>
        </w:rPr>
        <w:t>Sono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oltre</w:t>
      </w:r>
      <w:proofErr w:type="spellEnd"/>
      <w:r w:rsidRPr="00AB5383">
        <w:rPr>
          <w:rFonts w:ascii="Segoe UI" w:hAnsi="Segoe UI" w:cs="Segoe UI"/>
          <w:bCs/>
          <w:iCs/>
          <w:sz w:val="20"/>
          <w:szCs w:val="20"/>
        </w:rPr>
        <w:t xml:space="preserve"> 12 </w:t>
      </w:r>
      <w:proofErr w:type="spellStart"/>
      <w:r w:rsidRPr="00AB5383">
        <w:rPr>
          <w:rFonts w:ascii="Segoe UI" w:hAnsi="Segoe UI" w:cs="Segoe UI"/>
          <w:bCs/>
          <w:iCs/>
          <w:sz w:val="20"/>
          <w:szCs w:val="20"/>
        </w:rPr>
        <w:t>milioni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gli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esercenti</w:t>
      </w:r>
      <w:proofErr w:type="spellEnd"/>
      <w:r w:rsidRPr="00AB5383">
        <w:rPr>
          <w:rFonts w:ascii="Segoe UI" w:hAnsi="Segoe UI" w:cs="Segoe UI"/>
          <w:bCs/>
          <w:iCs/>
          <w:sz w:val="20"/>
          <w:szCs w:val="20"/>
        </w:rPr>
        <w:t xml:space="preserve"> in Europa </w:t>
      </w:r>
      <w:proofErr w:type="spellStart"/>
      <w:r w:rsidRPr="00AB5383">
        <w:rPr>
          <w:rFonts w:ascii="Segoe UI" w:hAnsi="Segoe UI" w:cs="Segoe UI"/>
          <w:bCs/>
          <w:iCs/>
          <w:sz w:val="20"/>
          <w:szCs w:val="20"/>
        </w:rPr>
        <w:t>che</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accettano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pagamenti</w:t>
      </w:r>
      <w:proofErr w:type="spellEnd"/>
      <w:r w:rsidRPr="00AB5383">
        <w:rPr>
          <w:rFonts w:ascii="Segoe UI" w:hAnsi="Segoe UI" w:cs="Segoe UI"/>
          <w:bCs/>
          <w:iCs/>
          <w:sz w:val="20"/>
          <w:szCs w:val="20"/>
        </w:rPr>
        <w:t xml:space="preserve"> in </w:t>
      </w:r>
      <w:proofErr w:type="spellStart"/>
      <w:r w:rsidRPr="00AB5383">
        <w:rPr>
          <w:rFonts w:ascii="Segoe UI" w:hAnsi="Segoe UI" w:cs="Segoe UI"/>
          <w:bCs/>
          <w:iCs/>
          <w:sz w:val="20"/>
          <w:szCs w:val="20"/>
        </w:rPr>
        <w:t>modalità</w:t>
      </w:r>
      <w:proofErr w:type="spellEnd"/>
      <w:r w:rsidRPr="00AB5383">
        <w:rPr>
          <w:rFonts w:ascii="Segoe UI" w:hAnsi="Segoe UI" w:cs="Segoe UI"/>
          <w:bCs/>
          <w:iCs/>
          <w:sz w:val="20"/>
          <w:szCs w:val="20"/>
        </w:rPr>
        <w:t xml:space="preserve"> contactless </w:t>
      </w:r>
      <w:proofErr w:type="spellStart"/>
      <w:r w:rsidRPr="00AB5383">
        <w:rPr>
          <w:rFonts w:ascii="Segoe UI" w:hAnsi="Segoe UI" w:cs="Segoe UI"/>
          <w:bCs/>
          <w:iCs/>
          <w:sz w:val="20"/>
          <w:szCs w:val="20"/>
        </w:rPr>
        <w:t>sia</w:t>
      </w:r>
      <w:proofErr w:type="spellEnd"/>
      <w:r w:rsidRPr="00AB5383">
        <w:rPr>
          <w:rFonts w:ascii="Segoe UI" w:hAnsi="Segoe UI" w:cs="Segoe UI"/>
          <w:bCs/>
          <w:iCs/>
          <w:sz w:val="20"/>
          <w:szCs w:val="20"/>
        </w:rPr>
        <w:t xml:space="preserve"> con carta </w:t>
      </w:r>
      <w:proofErr w:type="spellStart"/>
      <w:r w:rsidRPr="00AB5383">
        <w:rPr>
          <w:rFonts w:ascii="Segoe UI" w:hAnsi="Segoe UI" w:cs="Segoe UI"/>
          <w:bCs/>
          <w:iCs/>
          <w:sz w:val="20"/>
          <w:szCs w:val="20"/>
        </w:rPr>
        <w:t>sia</w:t>
      </w:r>
      <w:proofErr w:type="spellEnd"/>
      <w:r w:rsidRPr="00AB5383">
        <w:rPr>
          <w:rFonts w:ascii="Segoe UI" w:hAnsi="Segoe UI" w:cs="Segoe UI"/>
          <w:bCs/>
          <w:iCs/>
          <w:sz w:val="20"/>
          <w:szCs w:val="20"/>
        </w:rPr>
        <w:t xml:space="preserve"> con </w:t>
      </w:r>
      <w:proofErr w:type="spellStart"/>
      <w:r w:rsidRPr="00AB5383">
        <w:rPr>
          <w:rFonts w:ascii="Segoe UI" w:hAnsi="Segoe UI" w:cs="Segoe UI"/>
          <w:bCs/>
          <w:iCs/>
          <w:sz w:val="20"/>
          <w:szCs w:val="20"/>
        </w:rPr>
        <w:t>dispositivi</w:t>
      </w:r>
      <w:proofErr w:type="spellEnd"/>
      <w:r w:rsidRPr="00AB5383">
        <w:rPr>
          <w:rFonts w:ascii="Segoe UI" w:hAnsi="Segoe UI" w:cs="Segoe UI"/>
          <w:bCs/>
          <w:iCs/>
          <w:sz w:val="20"/>
          <w:szCs w:val="20"/>
        </w:rPr>
        <w:t xml:space="preserve"> mobile </w:t>
      </w:r>
      <w:proofErr w:type="spellStart"/>
      <w:r w:rsidRPr="00AB5383">
        <w:rPr>
          <w:rFonts w:ascii="Segoe UI" w:hAnsi="Segoe UI" w:cs="Segoe UI"/>
          <w:bCs/>
          <w:iCs/>
          <w:sz w:val="20"/>
          <w:szCs w:val="20"/>
        </w:rPr>
        <w:t>nei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propri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punti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vendita</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fisici</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che</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hanno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generato</w:t>
      </w:r>
      <w:proofErr w:type="spellEnd"/>
      <w:r w:rsidRPr="00AB5383">
        <w:rPr>
          <w:rFonts w:ascii="Segoe UI" w:hAnsi="Segoe UI" w:cs="Segoe UI"/>
          <w:bCs/>
          <w:iCs/>
          <w:sz w:val="20"/>
          <w:szCs w:val="20"/>
        </w:rPr>
        <w:t xml:space="preserve"> 5 </w:t>
      </w:r>
      <w:proofErr w:type="spellStart"/>
      <w:r w:rsidRPr="00AB5383">
        <w:rPr>
          <w:rFonts w:ascii="Segoe UI" w:hAnsi="Segoe UI" w:cs="Segoe UI"/>
          <w:bCs/>
          <w:iCs/>
          <w:sz w:val="20"/>
          <w:szCs w:val="20"/>
        </w:rPr>
        <w:t>miliardi</w:t>
      </w:r>
      <w:proofErr w:type="spellEnd"/>
      <w:r w:rsidRPr="00AB5383">
        <w:rPr>
          <w:rFonts w:ascii="Segoe UI" w:hAnsi="Segoe UI" w:cs="Segoe UI"/>
          <w:bCs/>
          <w:iCs/>
          <w:sz w:val="20"/>
          <w:szCs w:val="20"/>
        </w:rPr>
        <w:t xml:space="preserve"> di </w:t>
      </w:r>
      <w:proofErr w:type="spellStart"/>
      <w:r w:rsidRPr="00AB5383">
        <w:rPr>
          <w:rFonts w:ascii="Segoe UI" w:hAnsi="Segoe UI" w:cs="Segoe UI"/>
          <w:bCs/>
          <w:iCs/>
          <w:sz w:val="20"/>
          <w:szCs w:val="20"/>
        </w:rPr>
        <w:t>transazioni</w:t>
      </w:r>
      <w:proofErr w:type="spellEnd"/>
      <w:r w:rsidRPr="00AB5383">
        <w:rPr>
          <w:rFonts w:ascii="Segoe UI" w:hAnsi="Segoe UI" w:cs="Segoe UI"/>
          <w:bCs/>
          <w:iCs/>
          <w:sz w:val="20"/>
          <w:szCs w:val="20"/>
        </w:rPr>
        <w:t xml:space="preserve"> contactless con </w:t>
      </w:r>
      <w:proofErr w:type="spellStart"/>
      <w:r w:rsidRPr="00AB5383">
        <w:rPr>
          <w:rFonts w:ascii="Segoe UI" w:hAnsi="Segoe UI" w:cs="Segoe UI"/>
          <w:bCs/>
          <w:iCs/>
          <w:sz w:val="20"/>
          <w:szCs w:val="20"/>
        </w:rPr>
        <w:t>prodotti</w:t>
      </w:r>
      <w:proofErr w:type="spellEnd"/>
      <w:r w:rsidRPr="00AB5383">
        <w:rPr>
          <w:rFonts w:ascii="Segoe UI" w:hAnsi="Segoe UI" w:cs="Segoe UI"/>
          <w:bCs/>
          <w:iCs/>
          <w:sz w:val="20"/>
          <w:szCs w:val="20"/>
        </w:rPr>
        <w:t xml:space="preserve"> Visa</w:t>
      </w:r>
      <w:r w:rsidRPr="00AB5383">
        <w:rPr>
          <w:rStyle w:val="Rimandonotadichiusura"/>
          <w:rFonts w:ascii="Segoe UI" w:hAnsi="Segoe UI" w:cs="Segoe UI"/>
          <w:bCs/>
          <w:iCs/>
          <w:sz w:val="20"/>
          <w:szCs w:val="20"/>
        </w:rPr>
        <w:endnoteReference w:id="1"/>
      </w:r>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il</w:t>
      </w:r>
      <w:proofErr w:type="spellEnd"/>
      <w:r w:rsidRPr="00AB5383">
        <w:rPr>
          <w:rFonts w:ascii="Segoe UI" w:hAnsi="Segoe UI" w:cs="Segoe UI"/>
          <w:bCs/>
          <w:iCs/>
          <w:sz w:val="20"/>
          <w:szCs w:val="20"/>
        </w:rPr>
        <w:t xml:space="preserve"> 32% di </w:t>
      </w:r>
      <w:proofErr w:type="spellStart"/>
      <w:r w:rsidRPr="00AB5383">
        <w:rPr>
          <w:rFonts w:ascii="Segoe UI" w:hAnsi="Segoe UI" w:cs="Segoe UI"/>
          <w:bCs/>
          <w:iCs/>
          <w:sz w:val="20"/>
          <w:szCs w:val="20"/>
        </w:rPr>
        <w:t>tutte</w:t>
      </w:r>
      <w:proofErr w:type="spellEnd"/>
      <w:r w:rsidRPr="00AB5383">
        <w:rPr>
          <w:rFonts w:ascii="Segoe UI" w:hAnsi="Segoe UI" w:cs="Segoe UI"/>
          <w:bCs/>
          <w:iCs/>
          <w:sz w:val="20"/>
          <w:szCs w:val="20"/>
        </w:rPr>
        <w:t xml:space="preserve"> le </w:t>
      </w:r>
      <w:proofErr w:type="spellStart"/>
      <w:r w:rsidRPr="00AB5383">
        <w:rPr>
          <w:rFonts w:ascii="Segoe UI" w:hAnsi="Segoe UI" w:cs="Segoe UI"/>
          <w:bCs/>
          <w:iCs/>
          <w:sz w:val="20"/>
          <w:szCs w:val="20"/>
        </w:rPr>
        <w:t>transazioni</w:t>
      </w:r>
      <w:proofErr w:type="spellEnd"/>
      <w:r w:rsidRPr="00AB5383">
        <w:rPr>
          <w:rFonts w:ascii="Segoe UI" w:hAnsi="Segoe UI" w:cs="Segoe UI"/>
          <w:bCs/>
          <w:iCs/>
          <w:sz w:val="20"/>
          <w:szCs w:val="20"/>
        </w:rPr>
        <w:t xml:space="preserve"> elaborate da Visa </w:t>
      </w:r>
      <w:proofErr w:type="spellStart"/>
      <w:r w:rsidRPr="00AB5383">
        <w:rPr>
          <w:rFonts w:ascii="Segoe UI" w:hAnsi="Segoe UI" w:cs="Segoe UI"/>
          <w:bCs/>
          <w:iCs/>
          <w:sz w:val="20"/>
          <w:szCs w:val="20"/>
        </w:rPr>
        <w:t>presso</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punti</w:t>
      </w:r>
      <w:proofErr w:type="spellEnd"/>
      <w:r w:rsidRPr="00AB5383">
        <w:rPr>
          <w:rFonts w:ascii="Segoe UI" w:hAnsi="Segoe UI" w:cs="Segoe UI"/>
          <w:bCs/>
          <w:iCs/>
          <w:sz w:val="20"/>
          <w:szCs w:val="20"/>
        </w:rPr>
        <w:t xml:space="preserve"> di </w:t>
      </w:r>
      <w:proofErr w:type="spellStart"/>
      <w:r w:rsidRPr="00AB5383">
        <w:rPr>
          <w:rFonts w:ascii="Segoe UI" w:hAnsi="Segoe UI" w:cs="Segoe UI"/>
          <w:bCs/>
          <w:iCs/>
          <w:sz w:val="20"/>
          <w:szCs w:val="20"/>
        </w:rPr>
        <w:t>vendita</w:t>
      </w:r>
      <w:proofErr w:type="spellEnd"/>
      <w:r w:rsidRPr="00AB5383">
        <w:rPr>
          <w:rFonts w:ascii="Segoe UI" w:hAnsi="Segoe UI" w:cs="Segoe UI"/>
          <w:bCs/>
          <w:iCs/>
          <w:sz w:val="20"/>
          <w:szCs w:val="20"/>
        </w:rPr>
        <w:t xml:space="preserve"> </w:t>
      </w:r>
      <w:proofErr w:type="spellStart"/>
      <w:r w:rsidRPr="00AB5383">
        <w:rPr>
          <w:rFonts w:ascii="Segoe UI" w:hAnsi="Segoe UI" w:cs="Segoe UI"/>
          <w:bCs/>
          <w:iCs/>
          <w:sz w:val="20"/>
          <w:szCs w:val="20"/>
        </w:rPr>
        <w:t>fisici</w:t>
      </w:r>
      <w:proofErr w:type="spellEnd"/>
      <w:r w:rsidR="004137E1" w:rsidRPr="00AB5383">
        <w:rPr>
          <w:rStyle w:val="Rimandonotadichiusura"/>
          <w:rFonts w:ascii="Segoe UI" w:hAnsi="Segoe UI" w:cs="Segoe UI"/>
          <w:bCs/>
          <w:iCs/>
          <w:color w:val="auto"/>
          <w:sz w:val="20"/>
          <w:szCs w:val="20"/>
        </w:rPr>
        <w:endnoteReference w:id="2"/>
      </w:r>
      <w:r w:rsidR="004137E1" w:rsidRPr="00AB5383">
        <w:rPr>
          <w:rFonts w:ascii="Segoe UI" w:hAnsi="Segoe UI" w:cs="Segoe UI"/>
          <w:bCs/>
          <w:iCs/>
          <w:color w:val="auto"/>
          <w:sz w:val="20"/>
          <w:szCs w:val="20"/>
        </w:rPr>
        <w:t>.</w:t>
      </w:r>
      <w:r w:rsidRPr="00AB5383">
        <w:rPr>
          <w:rFonts w:ascii="Segoe UI" w:hAnsi="Segoe UI" w:cs="Segoe UI"/>
          <w:bCs/>
          <w:iCs/>
          <w:sz w:val="20"/>
          <w:szCs w:val="20"/>
        </w:rPr>
        <w:t xml:space="preserve"> </w:t>
      </w:r>
    </w:p>
    <w:p w14:paraId="1FAA6971" w14:textId="13691FBB" w:rsidR="009F4B27" w:rsidRPr="00AB5383" w:rsidRDefault="004137E1" w:rsidP="00AB5383">
      <w:pPr>
        <w:pStyle w:val="Paragrafoelenco"/>
        <w:spacing w:after="120" w:line="300" w:lineRule="exact"/>
        <w:ind w:left="0"/>
        <w:jc w:val="both"/>
        <w:rPr>
          <w:rFonts w:ascii="Segoe UI" w:hAnsi="Segoe UI" w:cs="Segoe UI"/>
          <w:b/>
          <w:bCs/>
          <w:iCs/>
          <w:sz w:val="20"/>
          <w:szCs w:val="20"/>
        </w:rPr>
      </w:pPr>
      <w:proofErr w:type="spellStart"/>
      <w:r w:rsidRPr="00AB5383">
        <w:rPr>
          <w:rFonts w:ascii="Segoe UI" w:hAnsi="Segoe UI" w:cs="Segoe UI"/>
          <w:b/>
          <w:bCs/>
          <w:iCs/>
          <w:sz w:val="20"/>
          <w:szCs w:val="20"/>
        </w:rPr>
        <w:t>Rendere</w:t>
      </w:r>
      <w:proofErr w:type="spellEnd"/>
      <w:r w:rsidRPr="00AB5383">
        <w:rPr>
          <w:rFonts w:ascii="Segoe UI" w:hAnsi="Segoe UI" w:cs="Segoe UI"/>
          <w:b/>
          <w:bCs/>
          <w:iCs/>
          <w:sz w:val="20"/>
          <w:szCs w:val="20"/>
        </w:rPr>
        <w:t xml:space="preserve"> </w:t>
      </w:r>
      <w:proofErr w:type="spellStart"/>
      <w:r w:rsidRPr="00AB5383">
        <w:rPr>
          <w:rFonts w:ascii="Segoe UI" w:hAnsi="Segoe UI" w:cs="Segoe UI"/>
          <w:b/>
          <w:bCs/>
          <w:iCs/>
          <w:sz w:val="20"/>
          <w:szCs w:val="20"/>
        </w:rPr>
        <w:t>possibile</w:t>
      </w:r>
      <w:proofErr w:type="spellEnd"/>
      <w:r w:rsidRPr="00AB5383">
        <w:rPr>
          <w:rFonts w:ascii="Segoe UI" w:hAnsi="Segoe UI" w:cs="Segoe UI"/>
          <w:b/>
          <w:bCs/>
          <w:iCs/>
          <w:sz w:val="20"/>
          <w:szCs w:val="20"/>
        </w:rPr>
        <w:t xml:space="preserve"> </w:t>
      </w:r>
      <w:proofErr w:type="spellStart"/>
      <w:r w:rsidRPr="00AB5383">
        <w:rPr>
          <w:rFonts w:ascii="Segoe UI" w:hAnsi="Segoe UI" w:cs="Segoe UI"/>
          <w:b/>
          <w:bCs/>
          <w:iCs/>
          <w:sz w:val="20"/>
          <w:szCs w:val="20"/>
        </w:rPr>
        <w:t>il</w:t>
      </w:r>
      <w:proofErr w:type="spellEnd"/>
      <w:r w:rsidRPr="00AB5383">
        <w:rPr>
          <w:rFonts w:ascii="Segoe UI" w:hAnsi="Segoe UI" w:cs="Segoe UI"/>
          <w:b/>
          <w:bCs/>
          <w:iCs/>
          <w:sz w:val="20"/>
          <w:szCs w:val="20"/>
        </w:rPr>
        <w:t xml:space="preserve"> </w:t>
      </w:r>
      <w:proofErr w:type="spellStart"/>
      <w:r w:rsidR="009F4B27" w:rsidRPr="00AB5383">
        <w:rPr>
          <w:rFonts w:ascii="Segoe UI" w:hAnsi="Segoe UI" w:cs="Segoe UI"/>
          <w:b/>
          <w:bCs/>
          <w:iCs/>
          <w:sz w:val="20"/>
          <w:szCs w:val="20"/>
        </w:rPr>
        <w:t>commercio</w:t>
      </w:r>
      <w:proofErr w:type="spellEnd"/>
      <w:r w:rsidR="009F4B27" w:rsidRPr="00AB5383">
        <w:rPr>
          <w:rFonts w:ascii="Segoe UI" w:hAnsi="Segoe UI" w:cs="Segoe UI"/>
          <w:b/>
          <w:bCs/>
          <w:iCs/>
          <w:sz w:val="20"/>
          <w:szCs w:val="20"/>
        </w:rPr>
        <w:t xml:space="preserve"> </w:t>
      </w:r>
      <w:proofErr w:type="spellStart"/>
      <w:r w:rsidR="009F4B27" w:rsidRPr="00AB5383">
        <w:rPr>
          <w:rFonts w:ascii="Segoe UI" w:hAnsi="Segoe UI" w:cs="Segoe UI"/>
          <w:b/>
          <w:bCs/>
          <w:iCs/>
          <w:sz w:val="20"/>
          <w:szCs w:val="20"/>
        </w:rPr>
        <w:t>elettronico</w:t>
      </w:r>
      <w:proofErr w:type="spellEnd"/>
      <w:r w:rsidR="009F4B27" w:rsidRPr="00AB5383">
        <w:rPr>
          <w:rFonts w:ascii="Segoe UI" w:hAnsi="Segoe UI" w:cs="Segoe UI"/>
          <w:b/>
          <w:bCs/>
          <w:iCs/>
          <w:sz w:val="20"/>
          <w:szCs w:val="20"/>
        </w:rPr>
        <w:t xml:space="preserve"> </w:t>
      </w:r>
      <w:r w:rsidRPr="00AB5383">
        <w:rPr>
          <w:rFonts w:ascii="Segoe UI" w:hAnsi="Segoe UI" w:cs="Segoe UI"/>
          <w:b/>
          <w:bCs/>
          <w:iCs/>
          <w:sz w:val="20"/>
          <w:szCs w:val="20"/>
        </w:rPr>
        <w:t>con</w:t>
      </w:r>
      <w:r w:rsidR="009F4B27" w:rsidRPr="00AB5383">
        <w:rPr>
          <w:rFonts w:ascii="Segoe UI" w:hAnsi="Segoe UI" w:cs="Segoe UI"/>
          <w:b/>
          <w:bCs/>
          <w:iCs/>
          <w:sz w:val="20"/>
          <w:szCs w:val="20"/>
        </w:rPr>
        <w:t xml:space="preserve"> </w:t>
      </w:r>
      <w:proofErr w:type="spellStart"/>
      <w:r w:rsidR="009F4B27" w:rsidRPr="00AB5383">
        <w:rPr>
          <w:rFonts w:ascii="Segoe UI" w:hAnsi="Segoe UI" w:cs="Segoe UI"/>
          <w:b/>
          <w:bCs/>
          <w:iCs/>
          <w:sz w:val="20"/>
          <w:szCs w:val="20"/>
        </w:rPr>
        <w:t>l’IoT</w:t>
      </w:r>
      <w:proofErr w:type="spellEnd"/>
      <w:r w:rsidR="009F4B27" w:rsidRPr="00AB5383">
        <w:rPr>
          <w:rFonts w:ascii="Segoe UI" w:hAnsi="Segoe UI" w:cs="Segoe UI"/>
          <w:b/>
          <w:bCs/>
          <w:iCs/>
          <w:sz w:val="20"/>
          <w:szCs w:val="20"/>
        </w:rPr>
        <w:t xml:space="preserve"> (Inte</w:t>
      </w:r>
      <w:r w:rsidRPr="00AB5383">
        <w:rPr>
          <w:rFonts w:ascii="Segoe UI" w:hAnsi="Segoe UI" w:cs="Segoe UI"/>
          <w:b/>
          <w:bCs/>
          <w:iCs/>
          <w:sz w:val="20"/>
          <w:szCs w:val="20"/>
        </w:rPr>
        <w:t>rnet of Things)</w:t>
      </w:r>
    </w:p>
    <w:p w14:paraId="5834FBE6" w14:textId="7FB63EB6" w:rsidR="004137E1" w:rsidRPr="00AB5383" w:rsidRDefault="004137E1" w:rsidP="00AB5383">
      <w:pPr>
        <w:pBdr>
          <w:top w:val="nil"/>
          <w:left w:val="nil"/>
          <w:bottom w:val="nil"/>
          <w:right w:val="nil"/>
          <w:between w:val="nil"/>
          <w:bar w:val="nil"/>
        </w:pBdr>
        <w:spacing w:after="120" w:line="300" w:lineRule="exact"/>
        <w:jc w:val="both"/>
        <w:rPr>
          <w:rFonts w:ascii="Segoe UI" w:eastAsia="Calibri" w:hAnsi="Segoe UI" w:cs="Segoe UI"/>
          <w:bCs/>
          <w:iCs/>
          <w:color w:val="000000"/>
          <w:sz w:val="20"/>
          <w:szCs w:val="20"/>
          <w:u w:color="000000"/>
          <w:bdr w:val="nil"/>
          <w:lang w:val="it-IT" w:eastAsia="en-GB"/>
        </w:rPr>
      </w:pPr>
      <w:r w:rsidRPr="00AB5383">
        <w:rPr>
          <w:rFonts w:ascii="Segoe UI" w:eastAsia="Calibri" w:hAnsi="Segoe UI" w:cs="Segoe UI"/>
          <w:bCs/>
          <w:iCs/>
          <w:color w:val="000000"/>
          <w:sz w:val="20"/>
          <w:szCs w:val="20"/>
          <w:u w:color="000000"/>
          <w:bdr w:val="nil"/>
          <w:lang w:val="it-IT" w:eastAsia="en-GB"/>
        </w:rPr>
        <w:t xml:space="preserve">Il Visa Token Service, e la capacità di rimuovere ogni informazione sensibile </w:t>
      </w:r>
      <w:r w:rsidR="00AF0B7C" w:rsidRPr="00AB5383">
        <w:rPr>
          <w:rFonts w:ascii="Segoe UI" w:eastAsia="Calibri" w:hAnsi="Segoe UI" w:cs="Segoe UI"/>
          <w:bCs/>
          <w:iCs/>
          <w:color w:val="000000"/>
          <w:sz w:val="20"/>
          <w:szCs w:val="20"/>
          <w:u w:color="000000"/>
          <w:bdr w:val="nil"/>
          <w:lang w:val="it-IT" w:eastAsia="en-GB"/>
        </w:rPr>
        <w:t xml:space="preserve">della carta </w:t>
      </w:r>
      <w:r w:rsidRPr="00AB5383">
        <w:rPr>
          <w:rFonts w:ascii="Segoe UI" w:eastAsia="Calibri" w:hAnsi="Segoe UI" w:cs="Segoe UI"/>
          <w:bCs/>
          <w:iCs/>
          <w:color w:val="000000"/>
          <w:sz w:val="20"/>
          <w:szCs w:val="20"/>
          <w:u w:color="000000"/>
          <w:bdr w:val="nil"/>
          <w:lang w:val="it-IT" w:eastAsia="en-GB"/>
        </w:rPr>
        <w:t xml:space="preserve">di pagamento del consumatore </w:t>
      </w:r>
      <w:r w:rsidR="00BD7D37" w:rsidRPr="00AB5383">
        <w:rPr>
          <w:rFonts w:ascii="Segoe UI" w:eastAsia="Calibri" w:hAnsi="Segoe UI" w:cs="Segoe UI"/>
          <w:bCs/>
          <w:iCs/>
          <w:color w:val="000000"/>
          <w:sz w:val="20"/>
          <w:szCs w:val="20"/>
          <w:u w:color="000000"/>
          <w:bdr w:val="nil"/>
          <w:lang w:val="it-IT" w:eastAsia="en-GB"/>
        </w:rPr>
        <w:t>quando effettua</w:t>
      </w:r>
      <w:r w:rsidRPr="00AB5383">
        <w:rPr>
          <w:rFonts w:ascii="Segoe UI" w:eastAsia="Calibri" w:hAnsi="Segoe UI" w:cs="Segoe UI"/>
          <w:bCs/>
          <w:iCs/>
          <w:color w:val="000000"/>
          <w:sz w:val="20"/>
          <w:szCs w:val="20"/>
          <w:u w:color="000000"/>
          <w:bdr w:val="nil"/>
          <w:lang w:val="it-IT" w:eastAsia="en-GB"/>
        </w:rPr>
        <w:t xml:space="preserve"> acquisti presso canali digitali, è un pilastro per l’implementazione di transazioni sicure attraverso una vasta gamma di (IoT) dispositivi connessi, siano essi un orologio o un anello, fino a elettrodomestici e auto.</w:t>
      </w:r>
    </w:p>
    <w:p w14:paraId="19A22522" w14:textId="115C32C4" w:rsidR="004137E1" w:rsidRPr="00AB5383" w:rsidRDefault="00AB5383" w:rsidP="00AB5383">
      <w:pPr>
        <w:pStyle w:val="Paragrafoelenco"/>
        <w:spacing w:after="120" w:line="300" w:lineRule="exact"/>
        <w:ind w:left="0"/>
        <w:rPr>
          <w:rFonts w:ascii="Segoe UI" w:hAnsi="Segoe UI" w:cs="Segoe UI"/>
          <w:bCs/>
          <w:iCs/>
          <w:sz w:val="20"/>
          <w:szCs w:val="20"/>
          <w:lang w:val="it-IT"/>
        </w:rPr>
      </w:pPr>
      <w:hyperlink r:id="rId9" w:history="1">
        <w:r w:rsidR="004137E1" w:rsidRPr="00AB5383">
          <w:rPr>
            <w:rStyle w:val="Collegamentoipertestuale"/>
            <w:rFonts w:ascii="Segoe UI" w:hAnsi="Segoe UI" w:cs="Segoe UI"/>
            <w:bCs/>
            <w:iCs/>
            <w:sz w:val="20"/>
            <w:szCs w:val="20"/>
            <w:lang w:val="it-IT"/>
          </w:rPr>
          <w:t>La collaborazione di Visa con IBM</w:t>
        </w:r>
      </w:hyperlink>
      <w:r w:rsidR="004137E1" w:rsidRPr="00AB5383">
        <w:rPr>
          <w:rFonts w:ascii="Segoe UI" w:hAnsi="Segoe UI" w:cs="Segoe UI"/>
          <w:bCs/>
          <w:iCs/>
          <w:sz w:val="20"/>
          <w:szCs w:val="20"/>
          <w:lang w:val="it-IT"/>
        </w:rPr>
        <w:t>, annunciata la scorsa settimana all’inaugurazione del nuovo Centro di Ricerca per la piattaforma Watson IoT a Monaco, nasce proprio da una visione condivisa e dalla volontà di abilitare a pagamenti e transazioni molti dei 20 miliardi di dispositivi connessi che entro il 2020</w:t>
      </w:r>
      <w:r w:rsidR="004137E1" w:rsidRPr="00AB5383">
        <w:rPr>
          <w:rFonts w:ascii="Segoe UI" w:hAnsi="Segoe UI" w:cs="Segoe UI"/>
          <w:bCs/>
          <w:iCs/>
          <w:sz w:val="20"/>
          <w:szCs w:val="20"/>
          <w:vertAlign w:val="superscript"/>
        </w:rPr>
        <w:endnoteReference w:id="3"/>
      </w:r>
      <w:r w:rsidR="004137E1" w:rsidRPr="00AB5383">
        <w:rPr>
          <w:rFonts w:ascii="Segoe UI" w:hAnsi="Segoe UI" w:cs="Segoe UI"/>
          <w:bCs/>
          <w:iCs/>
          <w:sz w:val="20"/>
          <w:szCs w:val="20"/>
          <w:lang w:val="it-IT"/>
        </w:rPr>
        <w:t xml:space="preserve"> si stima popoleranno l’economia globale.</w:t>
      </w:r>
    </w:p>
    <w:p w14:paraId="30D1F81A" w14:textId="017BA2D6" w:rsidR="004137E1" w:rsidRPr="00AB5383" w:rsidRDefault="004137E1" w:rsidP="00AB5383">
      <w:pPr>
        <w:pBdr>
          <w:top w:val="nil"/>
          <w:left w:val="nil"/>
          <w:bottom w:val="nil"/>
          <w:right w:val="nil"/>
          <w:between w:val="nil"/>
          <w:bar w:val="nil"/>
        </w:pBdr>
        <w:spacing w:after="120" w:line="300" w:lineRule="exact"/>
        <w:jc w:val="both"/>
        <w:rPr>
          <w:rFonts w:ascii="Segoe UI" w:eastAsia="Calibri" w:hAnsi="Segoe UI" w:cs="Segoe UI"/>
          <w:bCs/>
          <w:iCs/>
          <w:color w:val="000000"/>
          <w:sz w:val="20"/>
          <w:szCs w:val="20"/>
          <w:u w:color="000000"/>
          <w:bdr w:val="nil"/>
          <w:lang w:val="it-IT" w:eastAsia="en-GB"/>
        </w:rPr>
      </w:pPr>
      <w:r w:rsidRPr="00AB5383">
        <w:rPr>
          <w:rFonts w:ascii="Segoe UI" w:eastAsia="Calibri" w:hAnsi="Segoe UI" w:cs="Segoe UI"/>
          <w:bCs/>
          <w:iCs/>
          <w:color w:val="000000"/>
          <w:sz w:val="20"/>
          <w:szCs w:val="20"/>
          <w:u w:color="000000"/>
          <w:bdr w:val="nil"/>
          <w:lang w:val="it-IT" w:eastAsia="en-GB"/>
        </w:rPr>
        <w:t>Nell’ambito della collaborazione tra le due società, renderemo accessibile ai clienti della piattaforma IBM Watson IoT il Visa Token Service attraverso un network di fornitori di servizi token (TSP) all’interno del nostro programma di partnership Visa Ready.</w:t>
      </w:r>
    </w:p>
    <w:p w14:paraId="6EB2C00F" w14:textId="1CEEE836" w:rsidR="008169C3" w:rsidRDefault="004137E1" w:rsidP="00AB5383">
      <w:pPr>
        <w:pStyle w:val="Paragrafoelenco"/>
        <w:spacing w:after="120" w:line="300" w:lineRule="exact"/>
        <w:ind w:left="0"/>
        <w:jc w:val="center"/>
        <w:rPr>
          <w:rFonts w:ascii="Segoe UI" w:hAnsi="Segoe UI" w:cs="Segoe UI"/>
          <w:sz w:val="20"/>
          <w:szCs w:val="20"/>
          <w:lang w:val="sv-SE"/>
        </w:rPr>
      </w:pPr>
      <w:r w:rsidRPr="00AB5383">
        <w:rPr>
          <w:rFonts w:ascii="Segoe UI" w:hAnsi="Segoe UI" w:cs="Segoe UI"/>
          <w:sz w:val="20"/>
          <w:szCs w:val="20"/>
          <w:lang w:val="sv-SE"/>
        </w:rPr>
        <w:t>FINE</w:t>
      </w:r>
    </w:p>
    <w:p w14:paraId="144F265A" w14:textId="3B7F1028" w:rsidR="00A942BD" w:rsidRDefault="00A942BD" w:rsidP="00AB5383">
      <w:pPr>
        <w:pStyle w:val="Paragrafoelenco"/>
        <w:spacing w:after="120" w:line="300" w:lineRule="exact"/>
        <w:ind w:left="0"/>
        <w:jc w:val="center"/>
        <w:rPr>
          <w:rFonts w:ascii="Segoe UI" w:hAnsi="Segoe UI" w:cs="Segoe UI"/>
          <w:sz w:val="20"/>
          <w:szCs w:val="20"/>
          <w:lang w:val="sv-SE"/>
        </w:rPr>
      </w:pPr>
    </w:p>
    <w:p w14:paraId="149B909F" w14:textId="77777777" w:rsidR="00A942BD" w:rsidRPr="00AB5383" w:rsidRDefault="00A942BD" w:rsidP="00AB5383">
      <w:pPr>
        <w:pStyle w:val="Paragrafoelenco"/>
        <w:spacing w:after="120" w:line="300" w:lineRule="exact"/>
        <w:ind w:left="0"/>
        <w:jc w:val="center"/>
        <w:rPr>
          <w:rFonts w:ascii="Segoe UI" w:hAnsi="Segoe UI" w:cs="Segoe UI"/>
          <w:sz w:val="20"/>
          <w:szCs w:val="20"/>
          <w:lang w:val="sv-SE"/>
        </w:rPr>
      </w:pPr>
    </w:p>
    <w:p w14:paraId="543C85C3" w14:textId="21A48CB3" w:rsidR="004218B4" w:rsidRPr="00AB5383" w:rsidRDefault="008F39E8" w:rsidP="004218B4">
      <w:pPr>
        <w:rPr>
          <w:rFonts w:ascii="Arial" w:hAnsi="Arial" w:cs="Arial"/>
          <w:color w:val="000000"/>
          <w:sz w:val="17"/>
          <w:szCs w:val="17"/>
          <w:lang w:val="hu-HU"/>
        </w:rPr>
      </w:pPr>
      <w:r w:rsidRPr="00AB5383">
        <w:rPr>
          <w:rFonts w:ascii="Arial" w:hAnsi="Arial" w:cs="Arial"/>
          <w:b/>
          <w:bCs/>
          <w:color w:val="333333"/>
          <w:sz w:val="17"/>
          <w:szCs w:val="17"/>
          <w:bdr w:val="none" w:sz="0" w:space="0" w:color="auto" w:frame="1"/>
          <w:shd w:val="clear" w:color="auto" w:fill="FFFFFF"/>
        </w:rPr>
        <w:t>Visa</w:t>
      </w:r>
      <w:r w:rsidR="00AB5383" w:rsidRPr="00AB5383">
        <w:rPr>
          <w:rFonts w:ascii="Arial" w:hAnsi="Arial" w:cs="Arial"/>
          <w:color w:val="333333"/>
          <w:sz w:val="17"/>
          <w:szCs w:val="17"/>
        </w:rPr>
        <w:t xml:space="preserve"> - </w:t>
      </w:r>
      <w:r w:rsidRPr="00AB5383">
        <w:rPr>
          <w:rFonts w:ascii="Arial" w:hAnsi="Arial" w:cs="Arial"/>
          <w:b/>
          <w:color w:val="333333"/>
          <w:sz w:val="17"/>
          <w:szCs w:val="17"/>
          <w:bdr w:val="none" w:sz="0" w:space="0" w:color="auto" w:frame="1"/>
          <w:shd w:val="clear" w:color="auto" w:fill="FFFFFF"/>
        </w:rPr>
        <w:t>Visa Inc. (NYSE: V)</w:t>
      </w:r>
      <w:r w:rsidRPr="00AB5383">
        <w:rPr>
          <w:rFonts w:ascii="Arial" w:hAnsi="Arial" w:cs="Arial"/>
          <w:color w:val="333333"/>
          <w:sz w:val="17"/>
          <w:szCs w:val="17"/>
          <w:bdr w:val="none" w:sz="0" w:space="0" w:color="auto" w:frame="1"/>
          <w:shd w:val="clear" w:color="auto" w:fill="FFFFFF"/>
        </w:rPr>
        <w:t xml:space="preserve"> è </w:t>
      </w:r>
      <w:proofErr w:type="spellStart"/>
      <w:r w:rsidRPr="00AB5383">
        <w:rPr>
          <w:rFonts w:ascii="Arial" w:hAnsi="Arial" w:cs="Arial"/>
          <w:color w:val="333333"/>
          <w:sz w:val="17"/>
          <w:szCs w:val="17"/>
          <w:bdr w:val="none" w:sz="0" w:space="0" w:color="auto" w:frame="1"/>
          <w:shd w:val="clear" w:color="auto" w:fill="FFFFFF"/>
        </w:rPr>
        <w:t>una</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società</w:t>
      </w:r>
      <w:proofErr w:type="spellEnd"/>
      <w:r w:rsidRPr="00AB5383">
        <w:rPr>
          <w:rFonts w:ascii="Arial" w:hAnsi="Arial" w:cs="Arial"/>
          <w:color w:val="333333"/>
          <w:sz w:val="17"/>
          <w:szCs w:val="17"/>
          <w:bdr w:val="none" w:sz="0" w:space="0" w:color="auto" w:frame="1"/>
          <w:shd w:val="clear" w:color="auto" w:fill="FFFFFF"/>
        </w:rPr>
        <w:t xml:space="preserve"> di </w:t>
      </w:r>
      <w:proofErr w:type="spellStart"/>
      <w:r w:rsidRPr="00AB5383">
        <w:rPr>
          <w:rFonts w:ascii="Arial" w:hAnsi="Arial" w:cs="Arial"/>
          <w:color w:val="333333"/>
          <w:sz w:val="17"/>
          <w:szCs w:val="17"/>
          <w:bdr w:val="none" w:sz="0" w:space="0" w:color="auto" w:frame="1"/>
          <w:shd w:val="clear" w:color="auto" w:fill="FFFFFF"/>
        </w:rPr>
        <w:t>tecnologia</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globale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dei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pagamenti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che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collega</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consumatori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imprese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istituzioni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finanziarie</w:t>
      </w:r>
      <w:proofErr w:type="spellEnd"/>
      <w:r w:rsidRPr="00AB5383">
        <w:rPr>
          <w:rFonts w:ascii="Arial" w:hAnsi="Arial" w:cs="Arial"/>
          <w:color w:val="333333"/>
          <w:sz w:val="17"/>
          <w:szCs w:val="17"/>
          <w:bdr w:val="none" w:sz="0" w:space="0" w:color="auto" w:frame="1"/>
          <w:shd w:val="clear" w:color="auto" w:fill="FFFFFF"/>
        </w:rPr>
        <w:t xml:space="preserve"> e </w:t>
      </w:r>
      <w:proofErr w:type="spellStart"/>
      <w:r w:rsidRPr="00AB5383">
        <w:rPr>
          <w:rFonts w:ascii="Arial" w:hAnsi="Arial" w:cs="Arial"/>
          <w:color w:val="333333"/>
          <w:sz w:val="17"/>
          <w:szCs w:val="17"/>
          <w:bdr w:val="none" w:sz="0" w:space="0" w:color="auto" w:frame="1"/>
          <w:shd w:val="clear" w:color="auto" w:fill="FFFFFF"/>
        </w:rPr>
        <w:t>governi</w:t>
      </w:r>
      <w:proofErr w:type="spellEnd"/>
      <w:r w:rsidRPr="00AB5383">
        <w:rPr>
          <w:rFonts w:ascii="Arial" w:hAnsi="Arial" w:cs="Arial"/>
          <w:color w:val="333333"/>
          <w:sz w:val="17"/>
          <w:szCs w:val="17"/>
          <w:bdr w:val="none" w:sz="0" w:space="0" w:color="auto" w:frame="1"/>
          <w:shd w:val="clear" w:color="auto" w:fill="FFFFFF"/>
        </w:rPr>
        <w:t xml:space="preserve"> in </w:t>
      </w:r>
      <w:proofErr w:type="spellStart"/>
      <w:r w:rsidRPr="00AB5383">
        <w:rPr>
          <w:rFonts w:ascii="Arial" w:hAnsi="Arial" w:cs="Arial"/>
          <w:color w:val="333333"/>
          <w:sz w:val="17"/>
          <w:szCs w:val="17"/>
          <w:bdr w:val="none" w:sz="0" w:space="0" w:color="auto" w:frame="1"/>
          <w:shd w:val="clear" w:color="auto" w:fill="FFFFFF"/>
        </w:rPr>
        <w:t>più</w:t>
      </w:r>
      <w:proofErr w:type="spellEnd"/>
      <w:r w:rsidRPr="00AB5383">
        <w:rPr>
          <w:rFonts w:ascii="Arial" w:hAnsi="Arial" w:cs="Arial"/>
          <w:color w:val="333333"/>
          <w:sz w:val="17"/>
          <w:szCs w:val="17"/>
          <w:bdr w:val="none" w:sz="0" w:space="0" w:color="auto" w:frame="1"/>
          <w:shd w:val="clear" w:color="auto" w:fill="FFFFFF"/>
        </w:rPr>
        <w:t xml:space="preserve"> di 200 </w:t>
      </w:r>
      <w:proofErr w:type="spellStart"/>
      <w:r w:rsidRPr="00AB5383">
        <w:rPr>
          <w:rFonts w:ascii="Arial" w:hAnsi="Arial" w:cs="Arial"/>
          <w:color w:val="333333"/>
          <w:sz w:val="17"/>
          <w:szCs w:val="17"/>
          <w:bdr w:val="none" w:sz="0" w:space="0" w:color="auto" w:frame="1"/>
          <w:shd w:val="clear" w:color="auto" w:fill="FFFFFF"/>
        </w:rPr>
        <w:t>paesi</w:t>
      </w:r>
      <w:proofErr w:type="spellEnd"/>
      <w:r w:rsidRPr="00AB5383">
        <w:rPr>
          <w:rFonts w:ascii="Arial" w:hAnsi="Arial" w:cs="Arial"/>
          <w:color w:val="333333"/>
          <w:sz w:val="17"/>
          <w:szCs w:val="17"/>
          <w:bdr w:val="none" w:sz="0" w:space="0" w:color="auto" w:frame="1"/>
          <w:shd w:val="clear" w:color="auto" w:fill="FFFFFF"/>
        </w:rPr>
        <w:t xml:space="preserve"> e </w:t>
      </w:r>
      <w:proofErr w:type="spellStart"/>
      <w:r w:rsidRPr="00AB5383">
        <w:rPr>
          <w:rFonts w:ascii="Arial" w:hAnsi="Arial" w:cs="Arial"/>
          <w:color w:val="333333"/>
          <w:sz w:val="17"/>
          <w:szCs w:val="17"/>
          <w:bdr w:val="none" w:sz="0" w:space="0" w:color="auto" w:frame="1"/>
          <w:shd w:val="clear" w:color="auto" w:fill="FFFFFF"/>
        </w:rPr>
        <w:t>territori</w:t>
      </w:r>
      <w:proofErr w:type="spellEnd"/>
      <w:r w:rsidRPr="00AB5383">
        <w:rPr>
          <w:rFonts w:ascii="Arial" w:hAnsi="Arial" w:cs="Arial"/>
          <w:color w:val="333333"/>
          <w:sz w:val="17"/>
          <w:szCs w:val="17"/>
          <w:bdr w:val="none" w:sz="0" w:space="0" w:color="auto" w:frame="1"/>
          <w:shd w:val="clear" w:color="auto" w:fill="FFFFFF"/>
        </w:rPr>
        <w:t xml:space="preserve"> per </w:t>
      </w:r>
      <w:proofErr w:type="spellStart"/>
      <w:r w:rsidRPr="00AB5383">
        <w:rPr>
          <w:rFonts w:ascii="Arial" w:hAnsi="Arial" w:cs="Arial"/>
          <w:color w:val="333333"/>
          <w:sz w:val="17"/>
          <w:szCs w:val="17"/>
          <w:bdr w:val="none" w:sz="0" w:space="0" w:color="auto" w:frame="1"/>
          <w:shd w:val="clear" w:color="auto" w:fill="FFFFFF"/>
        </w:rPr>
        <w:t>effettuare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pagamenti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elettronici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veloci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sicuri</w:t>
      </w:r>
      <w:proofErr w:type="spellEnd"/>
      <w:r w:rsidRPr="00AB5383">
        <w:rPr>
          <w:rFonts w:ascii="Arial" w:hAnsi="Arial" w:cs="Arial"/>
          <w:color w:val="333333"/>
          <w:sz w:val="17"/>
          <w:szCs w:val="17"/>
          <w:bdr w:val="none" w:sz="0" w:space="0" w:color="auto" w:frame="1"/>
          <w:shd w:val="clear" w:color="auto" w:fill="FFFFFF"/>
        </w:rPr>
        <w:t xml:space="preserve"> e </w:t>
      </w:r>
      <w:proofErr w:type="spellStart"/>
      <w:r w:rsidRPr="00AB5383">
        <w:rPr>
          <w:rFonts w:ascii="Arial" w:hAnsi="Arial" w:cs="Arial"/>
          <w:color w:val="333333"/>
          <w:sz w:val="17"/>
          <w:szCs w:val="17"/>
          <w:bdr w:val="none" w:sz="0" w:space="0" w:color="auto" w:frame="1"/>
          <w:shd w:val="clear" w:color="auto" w:fill="FFFFFF"/>
        </w:rPr>
        <w:t>affidabili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Gestiamo</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uno</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dei</w:t>
      </w:r>
      <w:proofErr w:type="spellEnd"/>
      <w:r w:rsidRPr="00AB5383">
        <w:rPr>
          <w:rFonts w:ascii="Arial" w:hAnsi="Arial" w:cs="Arial"/>
          <w:color w:val="333333"/>
          <w:sz w:val="17"/>
          <w:szCs w:val="17"/>
          <w:bdr w:val="none" w:sz="0" w:space="0" w:color="auto" w:frame="1"/>
          <w:shd w:val="clear" w:color="auto" w:fill="FFFFFF"/>
        </w:rPr>
        <w:t xml:space="preserve"> network </w:t>
      </w:r>
      <w:proofErr w:type="spellStart"/>
      <w:r w:rsidRPr="00AB5383">
        <w:rPr>
          <w:rFonts w:ascii="Arial" w:hAnsi="Arial" w:cs="Arial"/>
          <w:color w:val="333333"/>
          <w:sz w:val="17"/>
          <w:szCs w:val="17"/>
          <w:bdr w:val="none" w:sz="0" w:space="0" w:color="auto" w:frame="1"/>
          <w:shd w:val="clear" w:color="auto" w:fill="FFFFFF"/>
        </w:rPr>
        <w:t>più</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avanzati</w:t>
      </w:r>
      <w:proofErr w:type="spellEnd"/>
      <w:r w:rsidRPr="00AB5383">
        <w:rPr>
          <w:rFonts w:ascii="Arial" w:hAnsi="Arial" w:cs="Arial"/>
          <w:color w:val="333333"/>
          <w:sz w:val="17"/>
          <w:szCs w:val="17"/>
          <w:bdr w:val="none" w:sz="0" w:space="0" w:color="auto" w:frame="1"/>
          <w:shd w:val="clear" w:color="auto" w:fill="FFFFFF"/>
        </w:rPr>
        <w:t xml:space="preserve"> al </w:t>
      </w:r>
      <w:proofErr w:type="spellStart"/>
      <w:r w:rsidRPr="00AB5383">
        <w:rPr>
          <w:rFonts w:ascii="Arial" w:hAnsi="Arial" w:cs="Arial"/>
          <w:color w:val="333333"/>
          <w:sz w:val="17"/>
          <w:szCs w:val="17"/>
          <w:bdr w:val="none" w:sz="0" w:space="0" w:color="auto" w:frame="1"/>
          <w:shd w:val="clear" w:color="auto" w:fill="FFFFFF"/>
        </w:rPr>
        <w:t>mondo</w:t>
      </w:r>
      <w:proofErr w:type="spellEnd"/>
      <w:r w:rsidRPr="00AB5383">
        <w:rPr>
          <w:rFonts w:ascii="Arial" w:hAnsi="Arial" w:cs="Arial"/>
          <w:color w:val="333333"/>
          <w:sz w:val="17"/>
          <w:szCs w:val="17"/>
          <w:bdr w:val="none" w:sz="0" w:space="0" w:color="auto" w:frame="1"/>
          <w:shd w:val="clear" w:color="auto" w:fill="FFFFFF"/>
        </w:rPr>
        <w:t xml:space="preserve"> - </w:t>
      </w:r>
      <w:proofErr w:type="spellStart"/>
      <w:r w:rsidRPr="00AB5383">
        <w:rPr>
          <w:rFonts w:ascii="Arial" w:hAnsi="Arial" w:cs="Arial"/>
          <w:color w:val="333333"/>
          <w:sz w:val="17"/>
          <w:szCs w:val="17"/>
          <w:bdr w:val="none" w:sz="0" w:space="0" w:color="auto" w:frame="1"/>
          <w:shd w:val="clear" w:color="auto" w:fill="FFFFFF"/>
        </w:rPr>
        <w:t>VisaNet</w:t>
      </w:r>
      <w:proofErr w:type="spellEnd"/>
      <w:r w:rsidRPr="00AB5383">
        <w:rPr>
          <w:rFonts w:ascii="Arial" w:hAnsi="Arial" w:cs="Arial"/>
          <w:color w:val="333333"/>
          <w:sz w:val="17"/>
          <w:szCs w:val="17"/>
          <w:bdr w:val="none" w:sz="0" w:space="0" w:color="auto" w:frame="1"/>
          <w:shd w:val="clear" w:color="auto" w:fill="FFFFFF"/>
        </w:rPr>
        <w:t xml:space="preserve"> - </w:t>
      </w:r>
      <w:proofErr w:type="spellStart"/>
      <w:r w:rsidRPr="00AB5383">
        <w:rPr>
          <w:rFonts w:ascii="Arial" w:hAnsi="Arial" w:cs="Arial"/>
          <w:color w:val="333333"/>
          <w:sz w:val="17"/>
          <w:szCs w:val="17"/>
          <w:bdr w:val="none" w:sz="0" w:space="0" w:color="auto" w:frame="1"/>
          <w:shd w:val="clear" w:color="auto" w:fill="FFFFFF"/>
        </w:rPr>
        <w:t>che</w:t>
      </w:r>
      <w:proofErr w:type="spellEnd"/>
      <w:r w:rsidRPr="00AB5383">
        <w:rPr>
          <w:rFonts w:ascii="Arial" w:hAnsi="Arial" w:cs="Arial"/>
          <w:color w:val="333333"/>
          <w:sz w:val="17"/>
          <w:szCs w:val="17"/>
          <w:bdr w:val="none" w:sz="0" w:space="0" w:color="auto" w:frame="1"/>
          <w:shd w:val="clear" w:color="auto" w:fill="FFFFFF"/>
        </w:rPr>
        <w:t xml:space="preserve"> è in </w:t>
      </w:r>
      <w:proofErr w:type="spellStart"/>
      <w:r w:rsidRPr="00AB5383">
        <w:rPr>
          <w:rFonts w:ascii="Arial" w:hAnsi="Arial" w:cs="Arial"/>
          <w:color w:val="333333"/>
          <w:sz w:val="17"/>
          <w:szCs w:val="17"/>
          <w:bdr w:val="none" w:sz="0" w:space="0" w:color="auto" w:frame="1"/>
          <w:shd w:val="clear" w:color="auto" w:fill="FFFFFF"/>
        </w:rPr>
        <w:t>grado</w:t>
      </w:r>
      <w:proofErr w:type="spellEnd"/>
      <w:r w:rsidRPr="00AB5383">
        <w:rPr>
          <w:rFonts w:ascii="Arial" w:hAnsi="Arial" w:cs="Arial"/>
          <w:color w:val="333333"/>
          <w:sz w:val="17"/>
          <w:szCs w:val="17"/>
          <w:bdr w:val="none" w:sz="0" w:space="0" w:color="auto" w:frame="1"/>
          <w:shd w:val="clear" w:color="auto" w:fill="FFFFFF"/>
        </w:rPr>
        <w:t xml:space="preserve"> di </w:t>
      </w:r>
      <w:proofErr w:type="spellStart"/>
      <w:r w:rsidRPr="00AB5383">
        <w:rPr>
          <w:rFonts w:ascii="Arial" w:hAnsi="Arial" w:cs="Arial"/>
          <w:color w:val="333333"/>
          <w:sz w:val="17"/>
          <w:szCs w:val="17"/>
          <w:bdr w:val="none" w:sz="0" w:space="0" w:color="auto" w:frame="1"/>
          <w:shd w:val="clear" w:color="auto" w:fill="FFFFFF"/>
        </w:rPr>
        <w:t>elaborare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più</w:t>
      </w:r>
      <w:proofErr w:type="spellEnd"/>
      <w:r w:rsidRPr="00AB5383">
        <w:rPr>
          <w:rFonts w:ascii="Arial" w:hAnsi="Arial" w:cs="Arial"/>
          <w:color w:val="333333"/>
          <w:sz w:val="17"/>
          <w:szCs w:val="17"/>
          <w:bdr w:val="none" w:sz="0" w:space="0" w:color="auto" w:frame="1"/>
          <w:shd w:val="clear" w:color="auto" w:fill="FFFFFF"/>
        </w:rPr>
        <w:t xml:space="preserve"> di 65.000 </w:t>
      </w:r>
      <w:proofErr w:type="spellStart"/>
      <w:r w:rsidRPr="00AB5383">
        <w:rPr>
          <w:rFonts w:ascii="Arial" w:hAnsi="Arial" w:cs="Arial"/>
          <w:color w:val="333333"/>
          <w:sz w:val="17"/>
          <w:szCs w:val="17"/>
          <w:bdr w:val="none" w:sz="0" w:space="0" w:color="auto" w:frame="1"/>
          <w:shd w:val="clear" w:color="auto" w:fill="FFFFFF"/>
        </w:rPr>
        <w:t>messaggi</w:t>
      </w:r>
      <w:proofErr w:type="spellEnd"/>
      <w:r w:rsidRPr="00AB5383">
        <w:rPr>
          <w:rFonts w:ascii="Arial" w:hAnsi="Arial" w:cs="Arial"/>
          <w:color w:val="333333"/>
          <w:sz w:val="17"/>
          <w:szCs w:val="17"/>
          <w:bdr w:val="none" w:sz="0" w:space="0" w:color="auto" w:frame="1"/>
          <w:shd w:val="clear" w:color="auto" w:fill="FFFFFF"/>
        </w:rPr>
        <w:t xml:space="preserve"> di </w:t>
      </w:r>
      <w:proofErr w:type="spellStart"/>
      <w:r w:rsidRPr="00AB5383">
        <w:rPr>
          <w:rFonts w:ascii="Arial" w:hAnsi="Arial" w:cs="Arial"/>
          <w:color w:val="333333"/>
          <w:sz w:val="17"/>
          <w:szCs w:val="17"/>
          <w:bdr w:val="none" w:sz="0" w:space="0" w:color="auto" w:frame="1"/>
          <w:shd w:val="clear" w:color="auto" w:fill="FFFFFF"/>
        </w:rPr>
        <w:t>transazioni</w:t>
      </w:r>
      <w:proofErr w:type="spellEnd"/>
      <w:r w:rsidRPr="00AB5383">
        <w:rPr>
          <w:rFonts w:ascii="Arial" w:hAnsi="Arial" w:cs="Arial"/>
          <w:color w:val="333333"/>
          <w:sz w:val="17"/>
          <w:szCs w:val="17"/>
          <w:bdr w:val="none" w:sz="0" w:space="0" w:color="auto" w:frame="1"/>
          <w:shd w:val="clear" w:color="auto" w:fill="FFFFFF"/>
        </w:rPr>
        <w:t xml:space="preserve"> al secondo, con </w:t>
      </w:r>
      <w:proofErr w:type="spellStart"/>
      <w:r w:rsidRPr="00AB5383">
        <w:rPr>
          <w:rFonts w:ascii="Arial" w:hAnsi="Arial" w:cs="Arial"/>
          <w:color w:val="333333"/>
          <w:sz w:val="17"/>
          <w:szCs w:val="17"/>
          <w:bdr w:val="none" w:sz="0" w:space="0" w:color="auto" w:frame="1"/>
          <w:shd w:val="clear" w:color="auto" w:fill="FFFFFF"/>
        </w:rPr>
        <w:t>protezione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contro</w:t>
      </w:r>
      <w:proofErr w:type="spellEnd"/>
      <w:r w:rsidRPr="00AB5383">
        <w:rPr>
          <w:rFonts w:ascii="Arial" w:hAnsi="Arial" w:cs="Arial"/>
          <w:color w:val="333333"/>
          <w:sz w:val="17"/>
          <w:szCs w:val="17"/>
          <w:bdr w:val="none" w:sz="0" w:space="0" w:color="auto" w:frame="1"/>
          <w:shd w:val="clear" w:color="auto" w:fill="FFFFFF"/>
        </w:rPr>
        <w:t xml:space="preserve"> le </w:t>
      </w:r>
      <w:proofErr w:type="spellStart"/>
      <w:r w:rsidRPr="00AB5383">
        <w:rPr>
          <w:rFonts w:ascii="Arial" w:hAnsi="Arial" w:cs="Arial"/>
          <w:color w:val="333333"/>
          <w:sz w:val="17"/>
          <w:szCs w:val="17"/>
          <w:bdr w:val="none" w:sz="0" w:space="0" w:color="auto" w:frame="1"/>
          <w:shd w:val="clear" w:color="auto" w:fill="FFFFFF"/>
        </w:rPr>
        <w:t>frodi</w:t>
      </w:r>
      <w:proofErr w:type="spellEnd"/>
      <w:r w:rsidRPr="00AB5383">
        <w:rPr>
          <w:rFonts w:ascii="Arial" w:hAnsi="Arial" w:cs="Arial"/>
          <w:color w:val="333333"/>
          <w:sz w:val="17"/>
          <w:szCs w:val="17"/>
          <w:bdr w:val="none" w:sz="0" w:space="0" w:color="auto" w:frame="1"/>
          <w:shd w:val="clear" w:color="auto" w:fill="FFFFFF"/>
        </w:rPr>
        <w:t xml:space="preserve"> per </w:t>
      </w:r>
      <w:proofErr w:type="spellStart"/>
      <w:r w:rsidRPr="00AB5383">
        <w:rPr>
          <w:rFonts w:ascii="Arial" w:hAnsi="Arial" w:cs="Arial"/>
          <w:color w:val="333333"/>
          <w:sz w:val="17"/>
          <w:szCs w:val="17"/>
          <w:bdr w:val="none" w:sz="0" w:space="0" w:color="auto" w:frame="1"/>
          <w:shd w:val="clear" w:color="auto" w:fill="FFFFFF"/>
        </w:rPr>
        <w:t>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consumatori</w:t>
      </w:r>
      <w:proofErr w:type="spellEnd"/>
      <w:r w:rsidRPr="00AB5383">
        <w:rPr>
          <w:rFonts w:ascii="Arial" w:hAnsi="Arial" w:cs="Arial"/>
          <w:color w:val="333333"/>
          <w:sz w:val="17"/>
          <w:szCs w:val="17"/>
          <w:bdr w:val="none" w:sz="0" w:space="0" w:color="auto" w:frame="1"/>
          <w:shd w:val="clear" w:color="auto" w:fill="FFFFFF"/>
        </w:rPr>
        <w:t xml:space="preserve"> e </w:t>
      </w:r>
      <w:proofErr w:type="spellStart"/>
      <w:r w:rsidRPr="00AB5383">
        <w:rPr>
          <w:rFonts w:ascii="Arial" w:hAnsi="Arial" w:cs="Arial"/>
          <w:color w:val="333333"/>
          <w:sz w:val="17"/>
          <w:szCs w:val="17"/>
          <w:bdr w:val="none" w:sz="0" w:space="0" w:color="auto" w:frame="1"/>
          <w:shd w:val="clear" w:color="auto" w:fill="FFFFFF"/>
        </w:rPr>
        <w:t>pagamento</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assicurato</w:t>
      </w:r>
      <w:proofErr w:type="spellEnd"/>
      <w:r w:rsidRPr="00AB5383">
        <w:rPr>
          <w:rFonts w:ascii="Arial" w:hAnsi="Arial" w:cs="Arial"/>
          <w:color w:val="333333"/>
          <w:sz w:val="17"/>
          <w:szCs w:val="17"/>
          <w:bdr w:val="none" w:sz="0" w:space="0" w:color="auto" w:frame="1"/>
          <w:shd w:val="clear" w:color="auto" w:fill="FFFFFF"/>
        </w:rPr>
        <w:t xml:space="preserve"> per </w:t>
      </w:r>
      <w:proofErr w:type="spellStart"/>
      <w:r w:rsidRPr="00AB5383">
        <w:rPr>
          <w:rFonts w:ascii="Arial" w:hAnsi="Arial" w:cs="Arial"/>
          <w:color w:val="333333"/>
          <w:sz w:val="17"/>
          <w:szCs w:val="17"/>
          <w:bdr w:val="none" w:sz="0" w:space="0" w:color="auto" w:frame="1"/>
          <w:shd w:val="clear" w:color="auto" w:fill="FFFFFF"/>
        </w:rPr>
        <w:t>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commercianti</w:t>
      </w:r>
      <w:proofErr w:type="spellEnd"/>
      <w:r w:rsidRPr="00AB5383">
        <w:rPr>
          <w:rFonts w:ascii="Arial" w:hAnsi="Arial" w:cs="Arial"/>
          <w:color w:val="333333"/>
          <w:sz w:val="17"/>
          <w:szCs w:val="17"/>
          <w:bdr w:val="none" w:sz="0" w:space="0" w:color="auto" w:frame="1"/>
          <w:shd w:val="clear" w:color="auto" w:fill="FFFFFF"/>
        </w:rPr>
        <w:t xml:space="preserve">. Visa non è </w:t>
      </w:r>
      <w:proofErr w:type="spellStart"/>
      <w:r w:rsidRPr="00AB5383">
        <w:rPr>
          <w:rFonts w:ascii="Arial" w:hAnsi="Arial" w:cs="Arial"/>
          <w:color w:val="333333"/>
          <w:sz w:val="17"/>
          <w:szCs w:val="17"/>
          <w:bdr w:val="none" w:sz="0" w:space="0" w:color="auto" w:frame="1"/>
          <w:shd w:val="clear" w:color="auto" w:fill="FFFFFF"/>
        </w:rPr>
        <w:t>una</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banca</w:t>
      </w:r>
      <w:proofErr w:type="spellEnd"/>
      <w:r w:rsidRPr="00AB5383">
        <w:rPr>
          <w:rFonts w:ascii="Arial" w:hAnsi="Arial" w:cs="Arial"/>
          <w:color w:val="333333"/>
          <w:sz w:val="17"/>
          <w:szCs w:val="17"/>
          <w:bdr w:val="none" w:sz="0" w:space="0" w:color="auto" w:frame="1"/>
          <w:shd w:val="clear" w:color="auto" w:fill="FFFFFF"/>
        </w:rPr>
        <w:t xml:space="preserve"> e non </w:t>
      </w:r>
      <w:proofErr w:type="spellStart"/>
      <w:r w:rsidRPr="00AB5383">
        <w:rPr>
          <w:rFonts w:ascii="Arial" w:hAnsi="Arial" w:cs="Arial"/>
          <w:color w:val="333333"/>
          <w:sz w:val="17"/>
          <w:szCs w:val="17"/>
          <w:bdr w:val="none" w:sz="0" w:space="0" w:color="auto" w:frame="1"/>
          <w:shd w:val="clear" w:color="auto" w:fill="FFFFFF"/>
        </w:rPr>
        <w:t>emette</w:t>
      </w:r>
      <w:proofErr w:type="spellEnd"/>
      <w:r w:rsidRPr="00AB5383">
        <w:rPr>
          <w:rFonts w:ascii="Arial" w:hAnsi="Arial" w:cs="Arial"/>
          <w:color w:val="333333"/>
          <w:sz w:val="17"/>
          <w:szCs w:val="17"/>
          <w:bdr w:val="none" w:sz="0" w:space="0" w:color="auto" w:frame="1"/>
          <w:shd w:val="clear" w:color="auto" w:fill="FFFFFF"/>
        </w:rPr>
        <w:t xml:space="preserve"> carte, </w:t>
      </w:r>
      <w:proofErr w:type="spellStart"/>
      <w:r w:rsidRPr="00AB5383">
        <w:rPr>
          <w:rFonts w:ascii="Arial" w:hAnsi="Arial" w:cs="Arial"/>
          <w:color w:val="333333"/>
          <w:sz w:val="17"/>
          <w:szCs w:val="17"/>
          <w:bdr w:val="none" w:sz="0" w:space="0" w:color="auto" w:frame="1"/>
          <w:shd w:val="clear" w:color="auto" w:fill="FFFFFF"/>
        </w:rPr>
        <w:t>non concede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credito</w:t>
      </w:r>
      <w:proofErr w:type="spellEnd"/>
      <w:r w:rsidRPr="00AB5383">
        <w:rPr>
          <w:rFonts w:ascii="Arial" w:hAnsi="Arial" w:cs="Arial"/>
          <w:color w:val="333333"/>
          <w:sz w:val="17"/>
          <w:szCs w:val="17"/>
          <w:bdr w:val="none" w:sz="0" w:space="0" w:color="auto" w:frame="1"/>
          <w:shd w:val="clear" w:color="auto" w:fill="FFFFFF"/>
        </w:rPr>
        <w:t xml:space="preserve"> e non </w:t>
      </w:r>
      <w:proofErr w:type="spellStart"/>
      <w:r w:rsidRPr="00AB5383">
        <w:rPr>
          <w:rFonts w:ascii="Arial" w:hAnsi="Arial" w:cs="Arial"/>
          <w:color w:val="333333"/>
          <w:sz w:val="17"/>
          <w:szCs w:val="17"/>
          <w:bdr w:val="none" w:sz="0" w:space="0" w:color="auto" w:frame="1"/>
          <w:shd w:val="clear" w:color="auto" w:fill="FFFFFF"/>
        </w:rPr>
        <w:t>impone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tassi</w:t>
      </w:r>
      <w:proofErr w:type="spellEnd"/>
      <w:r w:rsidRPr="00AB5383">
        <w:rPr>
          <w:rFonts w:ascii="Arial" w:hAnsi="Arial" w:cs="Arial"/>
          <w:color w:val="333333"/>
          <w:sz w:val="17"/>
          <w:szCs w:val="17"/>
          <w:bdr w:val="none" w:sz="0" w:space="0" w:color="auto" w:frame="1"/>
          <w:shd w:val="clear" w:color="auto" w:fill="FFFFFF"/>
        </w:rPr>
        <w:t xml:space="preserve"> o </w:t>
      </w:r>
      <w:proofErr w:type="spellStart"/>
      <w:r w:rsidRPr="00AB5383">
        <w:rPr>
          <w:rFonts w:ascii="Arial" w:hAnsi="Arial" w:cs="Arial"/>
          <w:color w:val="333333"/>
          <w:sz w:val="17"/>
          <w:szCs w:val="17"/>
          <w:bdr w:val="none" w:sz="0" w:space="0" w:color="auto" w:frame="1"/>
          <w:shd w:val="clear" w:color="auto" w:fill="FFFFFF"/>
        </w:rPr>
        <w:t>commissioni</w:t>
      </w:r>
      <w:proofErr w:type="spellEnd"/>
      <w:r w:rsidRPr="00AB5383">
        <w:rPr>
          <w:rFonts w:ascii="Arial" w:hAnsi="Arial" w:cs="Arial"/>
          <w:color w:val="333333"/>
          <w:sz w:val="17"/>
          <w:szCs w:val="17"/>
          <w:bdr w:val="none" w:sz="0" w:space="0" w:color="auto" w:frame="1"/>
          <w:shd w:val="clear" w:color="auto" w:fill="FFFFFF"/>
        </w:rPr>
        <w:t xml:space="preserve"> per </w:t>
      </w:r>
      <w:proofErr w:type="spellStart"/>
      <w:r w:rsidRPr="00AB5383">
        <w:rPr>
          <w:rFonts w:ascii="Arial" w:hAnsi="Arial" w:cs="Arial"/>
          <w:color w:val="333333"/>
          <w:sz w:val="17"/>
          <w:szCs w:val="17"/>
          <w:bdr w:val="none" w:sz="0" w:space="0" w:color="auto" w:frame="1"/>
          <w:shd w:val="clear" w:color="auto" w:fill="FFFFFF"/>
        </w:rPr>
        <w:t>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consumatori</w:t>
      </w:r>
      <w:proofErr w:type="spellEnd"/>
      <w:r w:rsidRPr="00AB5383">
        <w:rPr>
          <w:rFonts w:ascii="Arial" w:hAnsi="Arial" w:cs="Arial"/>
          <w:color w:val="333333"/>
          <w:sz w:val="17"/>
          <w:szCs w:val="17"/>
          <w:bdr w:val="none" w:sz="0" w:space="0" w:color="auto" w:frame="1"/>
          <w:shd w:val="clear" w:color="auto" w:fill="FFFFFF"/>
        </w:rPr>
        <w:t xml:space="preserve">. Le </w:t>
      </w:r>
      <w:proofErr w:type="spellStart"/>
      <w:r w:rsidRPr="00AB5383">
        <w:rPr>
          <w:rFonts w:ascii="Arial" w:hAnsi="Arial" w:cs="Arial"/>
          <w:color w:val="333333"/>
          <w:sz w:val="17"/>
          <w:szCs w:val="17"/>
          <w:bdr w:val="none" w:sz="0" w:space="0" w:color="auto" w:frame="1"/>
          <w:shd w:val="clear" w:color="auto" w:fill="FFFFFF"/>
        </w:rPr>
        <w:t>innovazioni</w:t>
      </w:r>
      <w:proofErr w:type="spellEnd"/>
      <w:r w:rsidRPr="00AB5383">
        <w:rPr>
          <w:rFonts w:ascii="Arial" w:hAnsi="Arial" w:cs="Arial"/>
          <w:color w:val="333333"/>
          <w:sz w:val="17"/>
          <w:szCs w:val="17"/>
          <w:bdr w:val="none" w:sz="0" w:space="0" w:color="auto" w:frame="1"/>
          <w:shd w:val="clear" w:color="auto" w:fill="FFFFFF"/>
        </w:rPr>
        <w:t xml:space="preserve"> di Visa </w:t>
      </w:r>
      <w:proofErr w:type="spellStart"/>
      <w:r w:rsidRPr="00AB5383">
        <w:rPr>
          <w:rFonts w:ascii="Arial" w:hAnsi="Arial" w:cs="Arial"/>
          <w:color w:val="333333"/>
          <w:sz w:val="17"/>
          <w:szCs w:val="17"/>
          <w:bdr w:val="none" w:sz="0" w:space="0" w:color="auto" w:frame="1"/>
          <w:shd w:val="clear" w:color="auto" w:fill="FFFFFF"/>
        </w:rPr>
        <w:t>consentono</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tuttavia</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alle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istituzioni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finanziarie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clienti</w:t>
      </w:r>
      <w:proofErr w:type="spellEnd"/>
      <w:r w:rsidRPr="00AB5383">
        <w:rPr>
          <w:rFonts w:ascii="Arial" w:hAnsi="Arial" w:cs="Arial"/>
          <w:color w:val="333333"/>
          <w:sz w:val="17"/>
          <w:szCs w:val="17"/>
          <w:bdr w:val="none" w:sz="0" w:space="0" w:color="auto" w:frame="1"/>
          <w:shd w:val="clear" w:color="auto" w:fill="FFFFFF"/>
        </w:rPr>
        <w:t xml:space="preserve"> di </w:t>
      </w:r>
      <w:proofErr w:type="spellStart"/>
      <w:r w:rsidRPr="00AB5383">
        <w:rPr>
          <w:rFonts w:ascii="Arial" w:hAnsi="Arial" w:cs="Arial"/>
          <w:color w:val="333333"/>
          <w:sz w:val="17"/>
          <w:szCs w:val="17"/>
          <w:bdr w:val="none" w:sz="0" w:space="0" w:color="auto" w:frame="1"/>
          <w:shd w:val="clear" w:color="auto" w:fill="FFFFFF"/>
        </w:rPr>
        <w:t>offrire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ai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consumatori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più</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scelte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pagare</w:t>
      </w:r>
      <w:proofErr w:type="spellEnd"/>
      <w:r w:rsidRPr="00AB5383">
        <w:rPr>
          <w:rFonts w:ascii="Arial" w:hAnsi="Arial" w:cs="Arial"/>
          <w:color w:val="333333"/>
          <w:sz w:val="17"/>
          <w:szCs w:val="17"/>
          <w:bdr w:val="none" w:sz="0" w:space="0" w:color="auto" w:frame="1"/>
          <w:shd w:val="clear" w:color="auto" w:fill="FFFFFF"/>
        </w:rPr>
        <w:t xml:space="preserve"> con </w:t>
      </w:r>
      <w:proofErr w:type="spellStart"/>
      <w:r w:rsidRPr="00AB5383">
        <w:rPr>
          <w:rFonts w:ascii="Arial" w:hAnsi="Arial" w:cs="Arial"/>
          <w:color w:val="333333"/>
          <w:sz w:val="17"/>
          <w:szCs w:val="17"/>
          <w:bdr w:val="none" w:sz="0" w:space="0" w:color="auto" w:frame="1"/>
          <w:shd w:val="clear" w:color="auto" w:fill="FFFFFF"/>
        </w:rPr>
        <w:t>prodotti</w:t>
      </w:r>
      <w:proofErr w:type="spellEnd"/>
      <w:r w:rsidRPr="00AB5383">
        <w:rPr>
          <w:rFonts w:ascii="Arial" w:hAnsi="Arial" w:cs="Arial"/>
          <w:color w:val="333333"/>
          <w:sz w:val="17"/>
          <w:szCs w:val="17"/>
          <w:bdr w:val="none" w:sz="0" w:space="0" w:color="auto" w:frame="1"/>
          <w:shd w:val="clear" w:color="auto" w:fill="FFFFFF"/>
        </w:rPr>
        <w:t xml:space="preserve"> di </w:t>
      </w:r>
      <w:proofErr w:type="spellStart"/>
      <w:r w:rsidRPr="00AB5383">
        <w:rPr>
          <w:rFonts w:ascii="Arial" w:hAnsi="Arial" w:cs="Arial"/>
          <w:color w:val="333333"/>
          <w:sz w:val="17"/>
          <w:szCs w:val="17"/>
          <w:bdr w:val="none" w:sz="0" w:space="0" w:color="auto" w:frame="1"/>
          <w:shd w:val="clear" w:color="auto" w:fill="FFFFFF"/>
        </w:rPr>
        <w:t>debito</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pagare</w:t>
      </w:r>
      <w:proofErr w:type="spellEnd"/>
      <w:r w:rsidRPr="00AB5383">
        <w:rPr>
          <w:rFonts w:ascii="Arial" w:hAnsi="Arial" w:cs="Arial"/>
          <w:color w:val="333333"/>
          <w:sz w:val="17"/>
          <w:szCs w:val="17"/>
          <w:bdr w:val="none" w:sz="0" w:space="0" w:color="auto" w:frame="1"/>
          <w:shd w:val="clear" w:color="auto" w:fill="FFFFFF"/>
        </w:rPr>
        <w:t xml:space="preserve"> prima con </w:t>
      </w:r>
      <w:proofErr w:type="spellStart"/>
      <w:r w:rsidRPr="00AB5383">
        <w:rPr>
          <w:rFonts w:ascii="Arial" w:hAnsi="Arial" w:cs="Arial"/>
          <w:color w:val="333333"/>
          <w:sz w:val="17"/>
          <w:szCs w:val="17"/>
          <w:bdr w:val="none" w:sz="0" w:space="0" w:color="auto" w:frame="1"/>
          <w:shd w:val="clear" w:color="auto" w:fill="FFFFFF"/>
        </w:rPr>
        <w:t>prodotti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prepagati</w:t>
      </w:r>
      <w:proofErr w:type="spellEnd"/>
      <w:r w:rsidRPr="00AB5383">
        <w:rPr>
          <w:rFonts w:ascii="Arial" w:hAnsi="Arial" w:cs="Arial"/>
          <w:color w:val="333333"/>
          <w:sz w:val="17"/>
          <w:szCs w:val="17"/>
          <w:bdr w:val="none" w:sz="0" w:space="0" w:color="auto" w:frame="1"/>
          <w:shd w:val="clear" w:color="auto" w:fill="FFFFFF"/>
        </w:rPr>
        <w:t xml:space="preserve"> o </w:t>
      </w:r>
      <w:proofErr w:type="spellStart"/>
      <w:r w:rsidRPr="00AB5383">
        <w:rPr>
          <w:rFonts w:ascii="Arial" w:hAnsi="Arial" w:cs="Arial"/>
          <w:color w:val="333333"/>
          <w:sz w:val="17"/>
          <w:szCs w:val="17"/>
          <w:bdr w:val="none" w:sz="0" w:space="0" w:color="auto" w:frame="1"/>
          <w:shd w:val="clear" w:color="auto" w:fill="FFFFFF"/>
        </w:rPr>
        <w:t>pagare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dopo</w:t>
      </w:r>
      <w:proofErr w:type="spellEnd"/>
      <w:r w:rsidRPr="00AB5383">
        <w:rPr>
          <w:rFonts w:ascii="Arial" w:hAnsi="Arial" w:cs="Arial"/>
          <w:color w:val="333333"/>
          <w:sz w:val="17"/>
          <w:szCs w:val="17"/>
          <w:bdr w:val="none" w:sz="0" w:space="0" w:color="auto" w:frame="1"/>
          <w:shd w:val="clear" w:color="auto" w:fill="FFFFFF"/>
        </w:rPr>
        <w:t xml:space="preserve"> con </w:t>
      </w:r>
      <w:proofErr w:type="spellStart"/>
      <w:r w:rsidRPr="00AB5383">
        <w:rPr>
          <w:rFonts w:ascii="Arial" w:hAnsi="Arial" w:cs="Arial"/>
          <w:color w:val="333333"/>
          <w:sz w:val="17"/>
          <w:szCs w:val="17"/>
          <w:bdr w:val="none" w:sz="0" w:space="0" w:color="auto" w:frame="1"/>
          <w:shd w:val="clear" w:color="auto" w:fill="FFFFFF"/>
        </w:rPr>
        <w:t>prodotti</w:t>
      </w:r>
      <w:proofErr w:type="spellEnd"/>
      <w:r w:rsidRPr="00AB5383">
        <w:rPr>
          <w:rFonts w:ascii="Arial" w:hAnsi="Arial" w:cs="Arial"/>
          <w:color w:val="333333"/>
          <w:sz w:val="17"/>
          <w:szCs w:val="17"/>
          <w:bdr w:val="none" w:sz="0" w:space="0" w:color="auto" w:frame="1"/>
          <w:shd w:val="clear" w:color="auto" w:fill="FFFFFF"/>
        </w:rPr>
        <w:t xml:space="preserve"> di </w:t>
      </w:r>
      <w:proofErr w:type="spellStart"/>
      <w:r w:rsidRPr="00AB5383">
        <w:rPr>
          <w:rFonts w:ascii="Arial" w:hAnsi="Arial" w:cs="Arial"/>
          <w:color w:val="333333"/>
          <w:sz w:val="17"/>
          <w:szCs w:val="17"/>
          <w:bdr w:val="none" w:sz="0" w:space="0" w:color="auto" w:frame="1"/>
          <w:shd w:val="clear" w:color="auto" w:fill="FFFFFF"/>
        </w:rPr>
        <w:t>credito</w:t>
      </w:r>
      <w:proofErr w:type="spellEnd"/>
      <w:r w:rsidRPr="00AB5383">
        <w:rPr>
          <w:rFonts w:ascii="Arial" w:hAnsi="Arial" w:cs="Arial"/>
          <w:color w:val="333333"/>
          <w:sz w:val="17"/>
          <w:szCs w:val="17"/>
          <w:bdr w:val="none" w:sz="0" w:space="0" w:color="auto" w:frame="1"/>
          <w:shd w:val="clear" w:color="auto" w:fill="FFFFFF"/>
        </w:rPr>
        <w:t xml:space="preserve">. Per </w:t>
      </w:r>
      <w:proofErr w:type="spellStart"/>
      <w:r w:rsidRPr="00AB5383">
        <w:rPr>
          <w:rFonts w:ascii="Arial" w:hAnsi="Arial" w:cs="Arial"/>
          <w:color w:val="333333"/>
          <w:sz w:val="17"/>
          <w:szCs w:val="17"/>
          <w:bdr w:val="none" w:sz="0" w:space="0" w:color="auto" w:frame="1"/>
          <w:shd w:val="clear" w:color="auto" w:fill="FFFFFF"/>
        </w:rPr>
        <w:t>maggiori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informazioni</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visitate</w:t>
      </w:r>
      <w:proofErr w:type="spellEnd"/>
      <w:r w:rsidRPr="00AB5383">
        <w:rPr>
          <w:rFonts w:ascii="Arial" w:hAnsi="Arial" w:cs="Arial"/>
          <w:color w:val="333333"/>
          <w:sz w:val="17"/>
          <w:szCs w:val="17"/>
          <w:bdr w:val="none" w:sz="0" w:space="0" w:color="auto" w:frame="1"/>
          <w:shd w:val="clear" w:color="auto" w:fill="FFFFFF"/>
        </w:rPr>
        <w:t xml:space="preserve"> </w:t>
      </w:r>
      <w:proofErr w:type="spellStart"/>
      <w:r w:rsidRPr="00AB5383">
        <w:rPr>
          <w:rFonts w:ascii="Arial" w:hAnsi="Arial" w:cs="Arial"/>
          <w:color w:val="333333"/>
          <w:sz w:val="17"/>
          <w:szCs w:val="17"/>
          <w:bdr w:val="none" w:sz="0" w:space="0" w:color="auto" w:frame="1"/>
          <w:shd w:val="clear" w:color="auto" w:fill="FFFFFF"/>
        </w:rPr>
        <w:t>il</w:t>
      </w:r>
      <w:proofErr w:type="spellEnd"/>
      <w:r w:rsidRPr="00AB5383">
        <w:rPr>
          <w:rFonts w:ascii="Arial" w:hAnsi="Arial" w:cs="Arial"/>
          <w:color w:val="333333"/>
          <w:sz w:val="17"/>
          <w:szCs w:val="17"/>
          <w:bdr w:val="none" w:sz="0" w:space="0" w:color="auto" w:frame="1"/>
          <w:shd w:val="clear" w:color="auto" w:fill="FFFFFF"/>
        </w:rPr>
        <w:t xml:space="preserve"> sito </w:t>
      </w:r>
      <w:hyperlink r:id="rId10" w:history="1">
        <w:r w:rsidRPr="00AB5383">
          <w:rPr>
            <w:rFonts w:ascii="Arial" w:hAnsi="Arial" w:cs="Arial"/>
            <w:color w:val="745285"/>
            <w:sz w:val="17"/>
            <w:szCs w:val="17"/>
            <w:u w:val="single"/>
            <w:bdr w:val="none" w:sz="0" w:space="0" w:color="auto" w:frame="1"/>
            <w:shd w:val="clear" w:color="auto" w:fill="FFFFFF"/>
          </w:rPr>
          <w:t>usa.visa.com/about-visa</w:t>
        </w:r>
      </w:hyperlink>
      <w:r w:rsidRPr="00AB5383">
        <w:rPr>
          <w:rFonts w:ascii="Arial" w:hAnsi="Arial" w:cs="Arial"/>
          <w:color w:val="333333"/>
          <w:sz w:val="17"/>
          <w:szCs w:val="17"/>
          <w:bdr w:val="none" w:sz="0" w:space="0" w:color="auto" w:frame="1"/>
          <w:shd w:val="clear" w:color="auto" w:fill="FFFFFF"/>
        </w:rPr>
        <w:t>, </w:t>
      </w:r>
      <w:hyperlink r:id="rId11" w:history="1">
        <w:r w:rsidRPr="00AB5383">
          <w:rPr>
            <w:rFonts w:ascii="Arial" w:hAnsi="Arial" w:cs="Arial"/>
            <w:color w:val="745285"/>
            <w:sz w:val="17"/>
            <w:szCs w:val="17"/>
            <w:u w:val="single"/>
            <w:bdr w:val="none" w:sz="0" w:space="0" w:color="auto" w:frame="1"/>
            <w:shd w:val="clear" w:color="auto" w:fill="FFFFFF"/>
          </w:rPr>
          <w:t>visacorporate.tumblr.com</w:t>
        </w:r>
      </w:hyperlink>
      <w:r w:rsidRPr="00AB5383">
        <w:rPr>
          <w:rFonts w:ascii="Arial" w:hAnsi="Arial" w:cs="Arial"/>
          <w:color w:val="333333"/>
          <w:sz w:val="17"/>
          <w:szCs w:val="17"/>
          <w:bdr w:val="none" w:sz="0" w:space="0" w:color="auto" w:frame="1"/>
          <w:shd w:val="clear" w:color="auto" w:fill="FFFFFF"/>
        </w:rPr>
        <w:t> e </w:t>
      </w:r>
      <w:hyperlink r:id="rId12" w:history="1">
        <w:r w:rsidRPr="00AB5383">
          <w:rPr>
            <w:rFonts w:ascii="Arial" w:hAnsi="Arial" w:cs="Arial"/>
            <w:color w:val="745285"/>
            <w:sz w:val="17"/>
            <w:szCs w:val="17"/>
            <w:u w:val="single"/>
            <w:bdr w:val="none" w:sz="0" w:space="0" w:color="auto" w:frame="1"/>
            <w:shd w:val="clear" w:color="auto" w:fill="FFFFFF"/>
          </w:rPr>
          <w:t>@VisaNews</w:t>
        </w:r>
      </w:hyperlink>
      <w:r w:rsidRPr="00AB5383">
        <w:rPr>
          <w:rFonts w:ascii="Arial" w:hAnsi="Arial" w:cs="Arial"/>
          <w:color w:val="333333"/>
          <w:sz w:val="17"/>
          <w:szCs w:val="17"/>
          <w:bdr w:val="none" w:sz="0" w:space="0" w:color="auto" w:frame="1"/>
          <w:shd w:val="clear" w:color="auto" w:fill="FFFFFF"/>
        </w:rPr>
        <w:t>.</w:t>
      </w:r>
      <w:r w:rsidR="004218B4" w:rsidRPr="00AB5383">
        <w:rPr>
          <w:rFonts w:ascii="Arial" w:hAnsi="Arial" w:cs="Arial"/>
          <w:color w:val="000000"/>
          <w:sz w:val="17"/>
          <w:szCs w:val="17"/>
          <w:lang w:val="hu-HU"/>
        </w:rPr>
        <w:t>.</w:t>
      </w:r>
    </w:p>
    <w:p w14:paraId="5D557B08" w14:textId="77777777" w:rsidR="00AB5383" w:rsidRDefault="00AB5383" w:rsidP="00AB5383">
      <w:pPr>
        <w:spacing w:after="0" w:line="312" w:lineRule="auto"/>
        <w:rPr>
          <w:rFonts w:ascii="Arial" w:hAnsi="Arial" w:cs="Arial"/>
          <w:b/>
          <w:sz w:val="17"/>
          <w:szCs w:val="17"/>
          <w:lang w:val="en-GB"/>
        </w:rPr>
      </w:pPr>
    </w:p>
    <w:p w14:paraId="43750B88" w14:textId="4D91617B" w:rsidR="00851AFB" w:rsidRPr="00AB5383" w:rsidRDefault="008F39E8" w:rsidP="00AB5383">
      <w:pPr>
        <w:spacing w:after="0" w:line="312" w:lineRule="auto"/>
        <w:rPr>
          <w:rFonts w:ascii="Arial" w:hAnsi="Arial" w:cs="Arial"/>
          <w:b/>
          <w:sz w:val="17"/>
          <w:szCs w:val="17"/>
          <w:lang w:val="en-GB"/>
        </w:rPr>
      </w:pPr>
      <w:proofErr w:type="spellStart"/>
      <w:r w:rsidRPr="00AB5383">
        <w:rPr>
          <w:rFonts w:ascii="Arial" w:hAnsi="Arial" w:cs="Arial"/>
          <w:b/>
          <w:sz w:val="17"/>
          <w:szCs w:val="17"/>
          <w:lang w:val="en-GB"/>
        </w:rPr>
        <w:t>Contatti</w:t>
      </w:r>
      <w:proofErr w:type="spellEnd"/>
      <w:r w:rsidR="003E5918" w:rsidRPr="00AB5383">
        <w:rPr>
          <w:rFonts w:ascii="Arial" w:hAnsi="Arial" w:cs="Arial"/>
          <w:b/>
          <w:sz w:val="17"/>
          <w:szCs w:val="17"/>
          <w:lang w:val="en-GB"/>
        </w:rPr>
        <w:t xml:space="preserve">: </w:t>
      </w:r>
      <w:r w:rsidRPr="00AB5383">
        <w:rPr>
          <w:rFonts w:ascii="Arial" w:eastAsia="MS Gothic" w:hAnsi="Arial" w:cs="Arial"/>
          <w:sz w:val="17"/>
          <w:szCs w:val="17"/>
        </w:rPr>
        <w:t>Visa Press Office in Italia</w:t>
      </w:r>
      <w:r w:rsidR="00AB5383" w:rsidRPr="00AB5383">
        <w:rPr>
          <w:rFonts w:ascii="Arial" w:eastAsia="MS Gothic" w:hAnsi="Arial" w:cs="Arial"/>
          <w:sz w:val="17"/>
          <w:szCs w:val="17"/>
        </w:rPr>
        <w:t xml:space="preserve"> @ Cohn &amp; Wolfe</w:t>
      </w:r>
    </w:p>
    <w:p w14:paraId="7C4839B8" w14:textId="672305A6" w:rsidR="00851AFB" w:rsidRPr="00AB5383" w:rsidRDefault="008F39E8" w:rsidP="008F39E8">
      <w:pPr>
        <w:spacing w:after="0"/>
        <w:rPr>
          <w:rFonts w:ascii="Arial" w:eastAsia="MS Gothic" w:hAnsi="Arial" w:cs="Arial"/>
          <w:sz w:val="17"/>
          <w:szCs w:val="17"/>
        </w:rPr>
      </w:pPr>
      <w:r w:rsidRPr="00AB5383">
        <w:rPr>
          <w:rFonts w:ascii="Arial" w:eastAsia="MS Gothic" w:hAnsi="Arial" w:cs="Arial"/>
          <w:sz w:val="17"/>
          <w:szCs w:val="17"/>
        </w:rPr>
        <w:sym w:font="Wingdings" w:char="F028"/>
      </w:r>
      <w:r w:rsidRPr="00AB5383">
        <w:rPr>
          <w:rFonts w:ascii="Arial" w:eastAsia="MS Gothic" w:hAnsi="Arial" w:cs="Arial"/>
          <w:sz w:val="17"/>
          <w:szCs w:val="17"/>
        </w:rPr>
        <w:t>+39 0</w:t>
      </w:r>
      <w:r w:rsidR="00851AFB" w:rsidRPr="00AB5383">
        <w:rPr>
          <w:rFonts w:ascii="Arial" w:eastAsia="MS Gothic" w:hAnsi="Arial" w:cs="Arial"/>
          <w:sz w:val="17"/>
          <w:szCs w:val="17"/>
        </w:rPr>
        <w:t>2</w:t>
      </w:r>
      <w:r w:rsidRPr="00AB5383">
        <w:rPr>
          <w:rFonts w:ascii="Arial" w:eastAsia="MS Gothic" w:hAnsi="Arial" w:cs="Arial"/>
          <w:sz w:val="17"/>
          <w:szCs w:val="17"/>
        </w:rPr>
        <w:t xml:space="preserve"> 2023927</w:t>
      </w:r>
    </w:p>
    <w:p w14:paraId="79DB3576" w14:textId="438E030C" w:rsidR="00851AFB" w:rsidRPr="00AB5383" w:rsidRDefault="008F39E8" w:rsidP="008F39E8">
      <w:pPr>
        <w:spacing w:after="0"/>
        <w:rPr>
          <w:rFonts w:ascii="Arial" w:hAnsi="Arial" w:cs="Arial"/>
          <w:sz w:val="17"/>
          <w:szCs w:val="17"/>
        </w:rPr>
      </w:pPr>
      <w:r w:rsidRPr="00AB5383">
        <w:rPr>
          <w:sz w:val="17"/>
          <w:szCs w:val="17"/>
        </w:rPr>
        <w:sym w:font="Wingdings" w:char="F02A"/>
      </w:r>
      <w:r w:rsidRPr="00AB5383">
        <w:rPr>
          <w:sz w:val="17"/>
          <w:szCs w:val="17"/>
        </w:rPr>
        <w:t xml:space="preserve"> cwmilvisa</w:t>
      </w:r>
      <w:r w:rsidR="003B6F27" w:rsidRPr="00AB5383">
        <w:rPr>
          <w:sz w:val="17"/>
          <w:szCs w:val="17"/>
        </w:rPr>
        <w:t>@</w:t>
      </w:r>
      <w:r w:rsidRPr="00AB5383">
        <w:rPr>
          <w:sz w:val="17"/>
          <w:szCs w:val="17"/>
        </w:rPr>
        <w:t>cohnwolfe</w:t>
      </w:r>
      <w:r w:rsidR="003B6F27" w:rsidRPr="00AB5383">
        <w:rPr>
          <w:sz w:val="17"/>
          <w:szCs w:val="17"/>
        </w:rPr>
        <w:t>.com</w:t>
      </w:r>
    </w:p>
    <w:p w14:paraId="0FF1455C" w14:textId="4FCE97E5" w:rsidR="00851AFB" w:rsidRPr="00AB5383" w:rsidRDefault="00851AFB" w:rsidP="008F39E8">
      <w:pPr>
        <w:spacing w:after="0"/>
        <w:rPr>
          <w:rFonts w:ascii="Arial" w:hAnsi="Arial" w:cs="Arial"/>
          <w:sz w:val="17"/>
          <w:szCs w:val="17"/>
        </w:rPr>
      </w:pPr>
      <w:r w:rsidRPr="00AB5383">
        <w:rPr>
          <w:rFonts w:ascii="Arial" w:hAnsi="Arial" w:cs="Arial"/>
          <w:sz w:val="17"/>
          <w:szCs w:val="17"/>
        </w:rPr>
        <w:t>Twitter: @Visa</w:t>
      </w:r>
      <w:r w:rsidR="004137E1" w:rsidRPr="00AB5383">
        <w:rPr>
          <w:rFonts w:ascii="Arial" w:hAnsi="Arial" w:cs="Arial"/>
          <w:sz w:val="17"/>
          <w:szCs w:val="17"/>
        </w:rPr>
        <w:t>_IT</w:t>
      </w:r>
    </w:p>
    <w:p w14:paraId="03990B15" w14:textId="3FDA96CB" w:rsidR="003E5918" w:rsidRPr="00AB5383" w:rsidRDefault="00851AFB" w:rsidP="00AB5383">
      <w:pPr>
        <w:spacing w:after="0"/>
        <w:rPr>
          <w:rFonts w:ascii="Arial" w:hAnsi="Arial" w:cs="Arial"/>
          <w:sz w:val="17"/>
          <w:szCs w:val="17"/>
        </w:rPr>
      </w:pPr>
      <w:r w:rsidRPr="00AB5383">
        <w:rPr>
          <w:rFonts w:ascii="Arial" w:hAnsi="Arial" w:cs="Arial"/>
          <w:sz w:val="17"/>
          <w:szCs w:val="17"/>
        </w:rPr>
        <w:t xml:space="preserve">Website: </w:t>
      </w:r>
      <w:hyperlink r:id="rId13" w:history="1">
        <w:r w:rsidR="004137E1" w:rsidRPr="00AB5383">
          <w:rPr>
            <w:rStyle w:val="Collegamentoipertestuale"/>
            <w:rFonts w:ascii="Arial" w:hAnsi="Arial" w:cs="Arial"/>
            <w:sz w:val="17"/>
            <w:szCs w:val="17"/>
          </w:rPr>
          <w:t>www.visatalia.com</w:t>
        </w:r>
      </w:hyperlink>
    </w:p>
    <w:sectPr w:rsidR="003E5918" w:rsidRPr="00AB5383" w:rsidSect="00AB5383">
      <w:pgSz w:w="12240" w:h="15840"/>
      <w:pgMar w:top="1276"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91D1" w14:textId="77777777" w:rsidR="00E67408" w:rsidRDefault="00E67408" w:rsidP="00B421C1">
      <w:pPr>
        <w:spacing w:after="0" w:line="240" w:lineRule="auto"/>
      </w:pPr>
      <w:r>
        <w:separator/>
      </w:r>
    </w:p>
  </w:endnote>
  <w:endnote w:type="continuationSeparator" w:id="0">
    <w:p w14:paraId="23A769D7" w14:textId="77777777" w:rsidR="00E67408" w:rsidRDefault="00E67408" w:rsidP="00B421C1">
      <w:pPr>
        <w:spacing w:after="0" w:line="240" w:lineRule="auto"/>
      </w:pPr>
      <w:r>
        <w:continuationSeparator/>
      </w:r>
    </w:p>
  </w:endnote>
  <w:endnote w:id="1">
    <w:p w14:paraId="60E64CBD" w14:textId="77777777" w:rsidR="009F4B27" w:rsidRPr="00AB5383" w:rsidRDefault="009F4B27" w:rsidP="009F4B27">
      <w:pPr>
        <w:pStyle w:val="Testonotadichiusura"/>
        <w:rPr>
          <w:sz w:val="17"/>
          <w:szCs w:val="17"/>
          <w:lang w:val="en-GB"/>
        </w:rPr>
      </w:pPr>
      <w:r>
        <w:rPr>
          <w:rStyle w:val="Rimandonotadichiusura"/>
        </w:rPr>
        <w:endnoteRef/>
      </w:r>
      <w:r>
        <w:t xml:space="preserve"> </w:t>
      </w:r>
      <w:r w:rsidRPr="00AB5383">
        <w:rPr>
          <w:sz w:val="17"/>
          <w:szCs w:val="17"/>
        </w:rPr>
        <w:t>Source Visa Europe Processed Data, December 2016</w:t>
      </w:r>
    </w:p>
  </w:endnote>
  <w:endnote w:id="2">
    <w:p w14:paraId="6207D901" w14:textId="77777777" w:rsidR="004137E1" w:rsidRPr="00AB5383" w:rsidRDefault="004137E1" w:rsidP="004137E1">
      <w:pPr>
        <w:pStyle w:val="Testonotadichiusura"/>
        <w:rPr>
          <w:sz w:val="17"/>
          <w:szCs w:val="17"/>
        </w:rPr>
      </w:pPr>
      <w:r w:rsidRPr="00AB5383">
        <w:rPr>
          <w:rStyle w:val="Rimandonotadichiusura"/>
          <w:sz w:val="17"/>
          <w:szCs w:val="17"/>
        </w:rPr>
        <w:endnoteRef/>
      </w:r>
      <w:r w:rsidRPr="00AB5383">
        <w:rPr>
          <w:sz w:val="17"/>
          <w:szCs w:val="17"/>
        </w:rPr>
        <w:t xml:space="preserve"> Source Visa Europe Processed Data, December 2016</w:t>
      </w:r>
    </w:p>
  </w:endnote>
  <w:endnote w:id="3">
    <w:p w14:paraId="7C775939" w14:textId="77777777" w:rsidR="004137E1" w:rsidRPr="00AB5383" w:rsidRDefault="004137E1" w:rsidP="004137E1">
      <w:pPr>
        <w:pStyle w:val="Testonotadichiusura"/>
        <w:rPr>
          <w:sz w:val="17"/>
          <w:szCs w:val="17"/>
        </w:rPr>
      </w:pPr>
      <w:r w:rsidRPr="00AB5383">
        <w:rPr>
          <w:rStyle w:val="Rimandonotadichiusura"/>
          <w:rFonts w:ascii="Arial" w:hAnsi="Arial" w:cs="Arial"/>
          <w:sz w:val="17"/>
          <w:szCs w:val="17"/>
        </w:rPr>
        <w:endnoteRef/>
      </w:r>
      <w:r w:rsidRPr="00AB5383">
        <w:rPr>
          <w:rFonts w:ascii="Arial" w:hAnsi="Arial" w:cs="Arial"/>
          <w:sz w:val="17"/>
          <w:szCs w:val="17"/>
        </w:rPr>
        <w:t xml:space="preserve"> </w:t>
      </w:r>
      <w:r w:rsidRPr="00AB5383">
        <w:rPr>
          <w:sz w:val="17"/>
          <w:szCs w:val="17"/>
        </w:rPr>
        <w:t xml:space="preserve">Gartner, </w:t>
      </w:r>
      <w:proofErr w:type="spellStart"/>
      <w:r w:rsidRPr="00AB5383">
        <w:rPr>
          <w:sz w:val="17"/>
          <w:szCs w:val="17"/>
        </w:rPr>
        <w:t>IoT</w:t>
      </w:r>
      <w:proofErr w:type="spellEnd"/>
      <w:r w:rsidRPr="00AB5383">
        <w:rPr>
          <w:sz w:val="17"/>
          <w:szCs w:val="17"/>
        </w:rPr>
        <w:t xml:space="preserve"> report, November 2015, </w:t>
      </w:r>
      <w:hyperlink r:id="rId1" w:history="1">
        <w:r w:rsidRPr="00AB5383">
          <w:rPr>
            <w:sz w:val="17"/>
            <w:szCs w:val="17"/>
          </w:rPr>
          <w:t>http://www.gartner.com/newsroom/id/3165317</w:t>
        </w:r>
      </w:hyperlink>
      <w:r w:rsidRPr="00AB5383">
        <w:rPr>
          <w:sz w:val="17"/>
          <w:szCs w:val="17"/>
        </w:rPr>
        <w:t xml:space="preserve"> </w:t>
      </w:r>
    </w:p>
    <w:p w14:paraId="09A6D1AD" w14:textId="77777777" w:rsidR="004137E1" w:rsidRPr="003729DE" w:rsidRDefault="004137E1" w:rsidP="004137E1">
      <w:pPr>
        <w:pStyle w:val="Testonotadichiusura"/>
        <w:rPr>
          <w:rFonts w:ascii="Arial" w:hAnsi="Arial" w:cs="Arial"/>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32F7" w14:textId="77777777" w:rsidR="00E67408" w:rsidRDefault="00E67408" w:rsidP="00B421C1">
      <w:pPr>
        <w:spacing w:after="0" w:line="240" w:lineRule="auto"/>
      </w:pPr>
      <w:r>
        <w:separator/>
      </w:r>
    </w:p>
  </w:footnote>
  <w:footnote w:type="continuationSeparator" w:id="0">
    <w:p w14:paraId="2218D1E3" w14:textId="77777777" w:rsidR="00E67408" w:rsidRDefault="00E67408" w:rsidP="00B4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855859"/>
    <w:multiLevelType w:val="hybridMultilevel"/>
    <w:tmpl w:val="1E0CF1F2"/>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8" w:hanging="360"/>
      </w:pPr>
      <w:rPr>
        <w:rFonts w:ascii="Courier New" w:hAnsi="Courier New" w:cs="Courier New" w:hint="default"/>
      </w:rPr>
    </w:lvl>
    <w:lvl w:ilvl="2" w:tplc="08090005" w:tentative="1">
      <w:start w:val="1"/>
      <w:numFmt w:val="bullet"/>
      <w:lvlText w:val=""/>
      <w:lvlJc w:val="left"/>
      <w:pPr>
        <w:ind w:left="738" w:hanging="360"/>
      </w:pPr>
      <w:rPr>
        <w:rFonts w:ascii="Wingdings" w:hAnsi="Wingdings" w:hint="default"/>
      </w:rPr>
    </w:lvl>
    <w:lvl w:ilvl="3" w:tplc="08090001" w:tentative="1">
      <w:start w:val="1"/>
      <w:numFmt w:val="bullet"/>
      <w:lvlText w:val=""/>
      <w:lvlJc w:val="left"/>
      <w:pPr>
        <w:ind w:left="1458" w:hanging="360"/>
      </w:pPr>
      <w:rPr>
        <w:rFonts w:ascii="Symbol" w:hAnsi="Symbol" w:hint="default"/>
      </w:rPr>
    </w:lvl>
    <w:lvl w:ilvl="4" w:tplc="08090003" w:tentative="1">
      <w:start w:val="1"/>
      <w:numFmt w:val="bullet"/>
      <w:lvlText w:val="o"/>
      <w:lvlJc w:val="left"/>
      <w:pPr>
        <w:ind w:left="2178" w:hanging="360"/>
      </w:pPr>
      <w:rPr>
        <w:rFonts w:ascii="Courier New" w:hAnsi="Courier New" w:cs="Courier New" w:hint="default"/>
      </w:rPr>
    </w:lvl>
    <w:lvl w:ilvl="5" w:tplc="08090005" w:tentative="1">
      <w:start w:val="1"/>
      <w:numFmt w:val="bullet"/>
      <w:lvlText w:val=""/>
      <w:lvlJc w:val="left"/>
      <w:pPr>
        <w:ind w:left="2898" w:hanging="360"/>
      </w:pPr>
      <w:rPr>
        <w:rFonts w:ascii="Wingdings" w:hAnsi="Wingdings" w:hint="default"/>
      </w:rPr>
    </w:lvl>
    <w:lvl w:ilvl="6" w:tplc="08090001" w:tentative="1">
      <w:start w:val="1"/>
      <w:numFmt w:val="bullet"/>
      <w:lvlText w:val=""/>
      <w:lvlJc w:val="left"/>
      <w:pPr>
        <w:ind w:left="3618" w:hanging="360"/>
      </w:pPr>
      <w:rPr>
        <w:rFonts w:ascii="Symbol" w:hAnsi="Symbol" w:hint="default"/>
      </w:rPr>
    </w:lvl>
    <w:lvl w:ilvl="7" w:tplc="08090003" w:tentative="1">
      <w:start w:val="1"/>
      <w:numFmt w:val="bullet"/>
      <w:lvlText w:val="o"/>
      <w:lvlJc w:val="left"/>
      <w:pPr>
        <w:ind w:left="4338" w:hanging="360"/>
      </w:pPr>
      <w:rPr>
        <w:rFonts w:ascii="Courier New" w:hAnsi="Courier New" w:cs="Courier New" w:hint="default"/>
      </w:rPr>
    </w:lvl>
    <w:lvl w:ilvl="8" w:tplc="08090005" w:tentative="1">
      <w:start w:val="1"/>
      <w:numFmt w:val="bullet"/>
      <w:lvlText w:val=""/>
      <w:lvlJc w:val="left"/>
      <w:pPr>
        <w:ind w:left="5058" w:hanging="360"/>
      </w:pPr>
      <w:rPr>
        <w:rFonts w:ascii="Wingdings" w:hAnsi="Wingdings" w:hint="default"/>
      </w:rPr>
    </w:lvl>
  </w:abstractNum>
  <w:abstractNum w:abstractNumId="2" w15:restartNumberingAfterBreak="0">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C61AED"/>
    <w:multiLevelType w:val="hybridMultilevel"/>
    <w:tmpl w:val="5CB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D3950"/>
    <w:multiLevelType w:val="hybridMultilevel"/>
    <w:tmpl w:val="FB7E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04B96"/>
    <w:rsid w:val="000138CB"/>
    <w:rsid w:val="0001496E"/>
    <w:rsid w:val="0002272F"/>
    <w:rsid w:val="0002356E"/>
    <w:rsid w:val="00034A0D"/>
    <w:rsid w:val="000472CD"/>
    <w:rsid w:val="00063F8F"/>
    <w:rsid w:val="0006691A"/>
    <w:rsid w:val="00073EDA"/>
    <w:rsid w:val="0009696D"/>
    <w:rsid w:val="000A42E2"/>
    <w:rsid w:val="000C01C9"/>
    <w:rsid w:val="000C1F50"/>
    <w:rsid w:val="000E3FA7"/>
    <w:rsid w:val="000E4F46"/>
    <w:rsid w:val="000F6730"/>
    <w:rsid w:val="000F7047"/>
    <w:rsid w:val="00107ECA"/>
    <w:rsid w:val="001100D1"/>
    <w:rsid w:val="00151298"/>
    <w:rsid w:val="0015144C"/>
    <w:rsid w:val="00156758"/>
    <w:rsid w:val="00163E68"/>
    <w:rsid w:val="00165A38"/>
    <w:rsid w:val="00180FBE"/>
    <w:rsid w:val="00182EF5"/>
    <w:rsid w:val="00185ADB"/>
    <w:rsid w:val="001B02E2"/>
    <w:rsid w:val="001E1DAD"/>
    <w:rsid w:val="001E4482"/>
    <w:rsid w:val="00206CE0"/>
    <w:rsid w:val="00220452"/>
    <w:rsid w:val="00220E64"/>
    <w:rsid w:val="00221EB3"/>
    <w:rsid w:val="00235688"/>
    <w:rsid w:val="00242E85"/>
    <w:rsid w:val="00246D73"/>
    <w:rsid w:val="0026189F"/>
    <w:rsid w:val="00280B84"/>
    <w:rsid w:val="00290664"/>
    <w:rsid w:val="002E5C82"/>
    <w:rsid w:val="002F6305"/>
    <w:rsid w:val="00307A16"/>
    <w:rsid w:val="00311984"/>
    <w:rsid w:val="00313B33"/>
    <w:rsid w:val="00340B6B"/>
    <w:rsid w:val="003532A8"/>
    <w:rsid w:val="003560AC"/>
    <w:rsid w:val="0035626D"/>
    <w:rsid w:val="00362D63"/>
    <w:rsid w:val="00371175"/>
    <w:rsid w:val="003733E0"/>
    <w:rsid w:val="003873B3"/>
    <w:rsid w:val="003936D7"/>
    <w:rsid w:val="00395F5E"/>
    <w:rsid w:val="003A7F6F"/>
    <w:rsid w:val="003B47E2"/>
    <w:rsid w:val="003B6F27"/>
    <w:rsid w:val="003C735C"/>
    <w:rsid w:val="003D5FD5"/>
    <w:rsid w:val="003E33BA"/>
    <w:rsid w:val="003E5918"/>
    <w:rsid w:val="004137E1"/>
    <w:rsid w:val="004218B4"/>
    <w:rsid w:val="00435527"/>
    <w:rsid w:val="00453994"/>
    <w:rsid w:val="00461424"/>
    <w:rsid w:val="00462F7C"/>
    <w:rsid w:val="00474EC8"/>
    <w:rsid w:val="00483317"/>
    <w:rsid w:val="00485A93"/>
    <w:rsid w:val="004969DA"/>
    <w:rsid w:val="00496D7B"/>
    <w:rsid w:val="004A57C5"/>
    <w:rsid w:val="004C3110"/>
    <w:rsid w:val="004F62CB"/>
    <w:rsid w:val="00555509"/>
    <w:rsid w:val="00557FEC"/>
    <w:rsid w:val="00566A90"/>
    <w:rsid w:val="00574446"/>
    <w:rsid w:val="00576A3B"/>
    <w:rsid w:val="00585464"/>
    <w:rsid w:val="00585EDA"/>
    <w:rsid w:val="00590259"/>
    <w:rsid w:val="00591818"/>
    <w:rsid w:val="005A36E5"/>
    <w:rsid w:val="005C5701"/>
    <w:rsid w:val="0060392C"/>
    <w:rsid w:val="006056BF"/>
    <w:rsid w:val="00605B96"/>
    <w:rsid w:val="0060790B"/>
    <w:rsid w:val="0061114A"/>
    <w:rsid w:val="00613796"/>
    <w:rsid w:val="0062143A"/>
    <w:rsid w:val="006249EA"/>
    <w:rsid w:val="0062733B"/>
    <w:rsid w:val="00632A79"/>
    <w:rsid w:val="00642BE0"/>
    <w:rsid w:val="0065578E"/>
    <w:rsid w:val="006710F7"/>
    <w:rsid w:val="0067519C"/>
    <w:rsid w:val="006859DD"/>
    <w:rsid w:val="006912D0"/>
    <w:rsid w:val="00692FA5"/>
    <w:rsid w:val="00696991"/>
    <w:rsid w:val="006A159C"/>
    <w:rsid w:val="006A18E3"/>
    <w:rsid w:val="006D0F5D"/>
    <w:rsid w:val="006D3B26"/>
    <w:rsid w:val="006F0E40"/>
    <w:rsid w:val="00704CE9"/>
    <w:rsid w:val="00724888"/>
    <w:rsid w:val="00731CE4"/>
    <w:rsid w:val="00740575"/>
    <w:rsid w:val="00744154"/>
    <w:rsid w:val="00786160"/>
    <w:rsid w:val="007A2864"/>
    <w:rsid w:val="007A6056"/>
    <w:rsid w:val="007B1DA7"/>
    <w:rsid w:val="007C16A2"/>
    <w:rsid w:val="007D1D21"/>
    <w:rsid w:val="007E2706"/>
    <w:rsid w:val="007E74B9"/>
    <w:rsid w:val="008169C3"/>
    <w:rsid w:val="008179C9"/>
    <w:rsid w:val="00831A2E"/>
    <w:rsid w:val="00835895"/>
    <w:rsid w:val="0084156E"/>
    <w:rsid w:val="00843BA4"/>
    <w:rsid w:val="008510D2"/>
    <w:rsid w:val="00851AFB"/>
    <w:rsid w:val="00853896"/>
    <w:rsid w:val="00857E47"/>
    <w:rsid w:val="00881C25"/>
    <w:rsid w:val="00882818"/>
    <w:rsid w:val="00887451"/>
    <w:rsid w:val="00891B69"/>
    <w:rsid w:val="008A65F8"/>
    <w:rsid w:val="008B3C3F"/>
    <w:rsid w:val="008C2171"/>
    <w:rsid w:val="008E20E7"/>
    <w:rsid w:val="008E6140"/>
    <w:rsid w:val="008F39E8"/>
    <w:rsid w:val="00913799"/>
    <w:rsid w:val="00931AEE"/>
    <w:rsid w:val="00936568"/>
    <w:rsid w:val="00953A63"/>
    <w:rsid w:val="00976AE7"/>
    <w:rsid w:val="009840F0"/>
    <w:rsid w:val="00984969"/>
    <w:rsid w:val="009920B7"/>
    <w:rsid w:val="009A15F4"/>
    <w:rsid w:val="009B0AE4"/>
    <w:rsid w:val="009B0CAF"/>
    <w:rsid w:val="009B6159"/>
    <w:rsid w:val="009C7D5D"/>
    <w:rsid w:val="009F4B27"/>
    <w:rsid w:val="009F55DD"/>
    <w:rsid w:val="00A140EC"/>
    <w:rsid w:val="00A30A47"/>
    <w:rsid w:val="00A461B1"/>
    <w:rsid w:val="00A46DE0"/>
    <w:rsid w:val="00A51F8C"/>
    <w:rsid w:val="00A56AB6"/>
    <w:rsid w:val="00A635B5"/>
    <w:rsid w:val="00A6538B"/>
    <w:rsid w:val="00A6767C"/>
    <w:rsid w:val="00A76561"/>
    <w:rsid w:val="00A942BD"/>
    <w:rsid w:val="00A96064"/>
    <w:rsid w:val="00AA48D3"/>
    <w:rsid w:val="00AB5383"/>
    <w:rsid w:val="00AC30A3"/>
    <w:rsid w:val="00AC72BE"/>
    <w:rsid w:val="00AD4D2C"/>
    <w:rsid w:val="00AD63E7"/>
    <w:rsid w:val="00AE4D13"/>
    <w:rsid w:val="00AE5126"/>
    <w:rsid w:val="00AE79DA"/>
    <w:rsid w:val="00AF0B7C"/>
    <w:rsid w:val="00AF2657"/>
    <w:rsid w:val="00B06D7E"/>
    <w:rsid w:val="00B11228"/>
    <w:rsid w:val="00B272BD"/>
    <w:rsid w:val="00B421C1"/>
    <w:rsid w:val="00B45B78"/>
    <w:rsid w:val="00B5498D"/>
    <w:rsid w:val="00B64980"/>
    <w:rsid w:val="00B87CB2"/>
    <w:rsid w:val="00BD7D37"/>
    <w:rsid w:val="00C0020E"/>
    <w:rsid w:val="00C00457"/>
    <w:rsid w:val="00C13568"/>
    <w:rsid w:val="00C14855"/>
    <w:rsid w:val="00C161A3"/>
    <w:rsid w:val="00C17344"/>
    <w:rsid w:val="00C267C8"/>
    <w:rsid w:val="00C30DC4"/>
    <w:rsid w:val="00C35913"/>
    <w:rsid w:val="00C35F7D"/>
    <w:rsid w:val="00C420D2"/>
    <w:rsid w:val="00C67F39"/>
    <w:rsid w:val="00CB28A5"/>
    <w:rsid w:val="00CC14EE"/>
    <w:rsid w:val="00CC1595"/>
    <w:rsid w:val="00CC2A4F"/>
    <w:rsid w:val="00CC355E"/>
    <w:rsid w:val="00CC370F"/>
    <w:rsid w:val="00CC6C6D"/>
    <w:rsid w:val="00CF0F04"/>
    <w:rsid w:val="00CF3666"/>
    <w:rsid w:val="00D00FAC"/>
    <w:rsid w:val="00D079D2"/>
    <w:rsid w:val="00D20941"/>
    <w:rsid w:val="00D2790A"/>
    <w:rsid w:val="00D34EE2"/>
    <w:rsid w:val="00D4590D"/>
    <w:rsid w:val="00D51A10"/>
    <w:rsid w:val="00D728D9"/>
    <w:rsid w:val="00D72B18"/>
    <w:rsid w:val="00D77377"/>
    <w:rsid w:val="00D832DB"/>
    <w:rsid w:val="00D84A06"/>
    <w:rsid w:val="00D87728"/>
    <w:rsid w:val="00D87B23"/>
    <w:rsid w:val="00DB7AA2"/>
    <w:rsid w:val="00DD648B"/>
    <w:rsid w:val="00E04F82"/>
    <w:rsid w:val="00E07664"/>
    <w:rsid w:val="00E2670E"/>
    <w:rsid w:val="00E33779"/>
    <w:rsid w:val="00E34C93"/>
    <w:rsid w:val="00E36C51"/>
    <w:rsid w:val="00E45EA1"/>
    <w:rsid w:val="00E659EB"/>
    <w:rsid w:val="00E67408"/>
    <w:rsid w:val="00E76B8C"/>
    <w:rsid w:val="00E80929"/>
    <w:rsid w:val="00E971C3"/>
    <w:rsid w:val="00EA14CD"/>
    <w:rsid w:val="00EB32BA"/>
    <w:rsid w:val="00EB68D8"/>
    <w:rsid w:val="00EE7D33"/>
    <w:rsid w:val="00F3100A"/>
    <w:rsid w:val="00F365C4"/>
    <w:rsid w:val="00F46C8E"/>
    <w:rsid w:val="00F5029D"/>
    <w:rsid w:val="00F540E7"/>
    <w:rsid w:val="00F74831"/>
    <w:rsid w:val="00FA563F"/>
    <w:rsid w:val="00FC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80AE"/>
  <w15:docId w15:val="{C803E385-2D16-4F20-A85D-D81B133F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Paragrafoelenco">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Rimandocommento">
    <w:name w:val="annotation reference"/>
    <w:basedOn w:val="Carpredefinitoparagrafo"/>
    <w:uiPriority w:val="99"/>
    <w:semiHidden/>
    <w:unhideWhenUsed/>
    <w:rsid w:val="004969DA"/>
    <w:rPr>
      <w:sz w:val="16"/>
      <w:szCs w:val="16"/>
    </w:rPr>
  </w:style>
  <w:style w:type="paragraph" w:styleId="Testocommento">
    <w:name w:val="annotation text"/>
    <w:basedOn w:val="Normale"/>
    <w:link w:val="TestocommentoCarattere"/>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TestocommentoCarattere">
    <w:name w:val="Testo commento Carattere"/>
    <w:basedOn w:val="Carpredefinitoparagrafo"/>
    <w:link w:val="Testocommento"/>
    <w:uiPriority w:val="99"/>
    <w:semiHidden/>
    <w:rsid w:val="004969DA"/>
    <w:rPr>
      <w:rFonts w:ascii="Segoe UI" w:eastAsia="Times New Roman" w:hAnsi="Segoe UI" w:cs="Times New Roman"/>
      <w:color w:val="75787B"/>
      <w:sz w:val="20"/>
      <w:szCs w:val="20"/>
      <w:lang w:val="en-GB"/>
    </w:rPr>
  </w:style>
  <w:style w:type="paragraph" w:styleId="Testofumetto">
    <w:name w:val="Balloon Text"/>
    <w:basedOn w:val="Normale"/>
    <w:link w:val="TestofumettoCarattere"/>
    <w:uiPriority w:val="99"/>
    <w:semiHidden/>
    <w:unhideWhenUsed/>
    <w:rsid w:val="004969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9DA"/>
    <w:rPr>
      <w:rFonts w:ascii="Tahoma" w:hAnsi="Tahoma" w:cs="Tahoma"/>
      <w:sz w:val="16"/>
      <w:szCs w:val="16"/>
    </w:rPr>
  </w:style>
  <w:style w:type="character" w:styleId="Collegamentoipertestuale">
    <w:name w:val="Hyperlink"/>
    <w:uiPriority w:val="99"/>
    <w:rsid w:val="00851AFB"/>
    <w:rPr>
      <w:color w:val="0000FF"/>
      <w:u w:val="single"/>
    </w:rPr>
  </w:style>
  <w:style w:type="character" w:styleId="Enfasigrassetto">
    <w:name w:val="Strong"/>
    <w:qFormat/>
    <w:rsid w:val="00851AFB"/>
    <w:rPr>
      <w:b/>
      <w:bCs/>
    </w:rPr>
  </w:style>
  <w:style w:type="paragraph" w:styleId="Soggettocommento">
    <w:name w:val="annotation subject"/>
    <w:basedOn w:val="Testocommento"/>
    <w:next w:val="Testocommento"/>
    <w:link w:val="SoggettocommentoCarattere"/>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SoggettocommentoCarattere">
    <w:name w:val="Soggetto commento Carattere"/>
    <w:basedOn w:val="TestocommentoCarattere"/>
    <w:link w:val="Soggettocommento"/>
    <w:uiPriority w:val="99"/>
    <w:semiHidden/>
    <w:rsid w:val="00887451"/>
    <w:rPr>
      <w:rFonts w:ascii="Segoe UI" w:eastAsia="Times New Roman" w:hAnsi="Segoe UI" w:cs="Times New Roman"/>
      <w:b/>
      <w:bCs/>
      <w:color w:val="75787B"/>
      <w:sz w:val="20"/>
      <w:szCs w:val="20"/>
      <w:lang w:val="en-GB"/>
    </w:rPr>
  </w:style>
  <w:style w:type="paragraph" w:styleId="Revisione">
    <w:name w:val="Revision"/>
    <w:hidden/>
    <w:uiPriority w:val="99"/>
    <w:semiHidden/>
    <w:rsid w:val="00887451"/>
    <w:pPr>
      <w:spacing w:after="0" w:line="240" w:lineRule="auto"/>
    </w:pPr>
  </w:style>
  <w:style w:type="paragraph" w:styleId="Intestazione">
    <w:name w:val="header"/>
    <w:basedOn w:val="Normale"/>
    <w:link w:val="IntestazioneCarattere"/>
    <w:uiPriority w:val="99"/>
    <w:unhideWhenUsed/>
    <w:rsid w:val="00B421C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421C1"/>
  </w:style>
  <w:style w:type="paragraph" w:styleId="Pidipagina">
    <w:name w:val="footer"/>
    <w:basedOn w:val="Normale"/>
    <w:link w:val="PidipaginaCarattere"/>
    <w:uiPriority w:val="99"/>
    <w:unhideWhenUsed/>
    <w:rsid w:val="00B421C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421C1"/>
  </w:style>
  <w:style w:type="paragraph" w:styleId="Testonotadichiusura">
    <w:name w:val="endnote text"/>
    <w:basedOn w:val="Normale"/>
    <w:link w:val="TestonotadichiusuraCarattere"/>
    <w:uiPriority w:val="99"/>
    <w:semiHidden/>
    <w:unhideWhenUsed/>
    <w:rsid w:val="0031198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11984"/>
    <w:rPr>
      <w:sz w:val="20"/>
      <w:szCs w:val="20"/>
    </w:rPr>
  </w:style>
  <w:style w:type="character" w:styleId="Rimandonotadichiusura">
    <w:name w:val="endnote reference"/>
    <w:basedOn w:val="Carpredefinitoparagrafo"/>
    <w:uiPriority w:val="99"/>
    <w:semiHidden/>
    <w:unhideWhenUsed/>
    <w:rsid w:val="00311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satal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s.businesswire.com/ct/CT?id=smartlink&amp;url=https%3A%2F%2Ftwitter.com%2FVisaNews&amp;esheet=51506170&amp;newsitemid=20170207006265&amp;lan=en-US&amp;anchor=%40VisaNews&amp;index=4&amp;md5=c8f29884cbb366d39c3eba90c5b3a6a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s.businesswire.com/ct/CT?id=smartlink&amp;url=http%3A%2F%2Fvisacorporate.tumblr.com%2F&amp;esheet=51506170&amp;newsitemid=20170207006265&amp;lan=en-US&amp;anchor=visacorporate.tumblr.com&amp;index=3&amp;md5=9f591b2ec473cbe4913c3301fb588d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ts.businesswire.com/ct/CT?id=smartlink&amp;url=https%3A%2F%2Fusa.visa.com%2Fabout-visa.html&amp;esheet=51506170&amp;newsitemid=20170207006265&amp;lan=en-US&amp;anchor=usa.visa.com%2Fabout-visa&amp;index=2&amp;md5=3aae06b0daa23f4a6e58045ac5c35f69" TargetMode="External"/><Relationship Id="rId4" Type="http://schemas.openxmlformats.org/officeDocument/2006/relationships/settings" Target="settings.xml"/><Relationship Id="rId9" Type="http://schemas.openxmlformats.org/officeDocument/2006/relationships/hyperlink" Target="http://bit.ly/IoT-VisaIB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gartner.com/newsroom/id/3165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5ECF-211F-4D11-AE7A-B9535AEE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1059</Words>
  <Characters>6041</Characters>
  <Application>Microsoft Office Word</Application>
  <DocSecurity>0</DocSecurity>
  <Lines>50</Lines>
  <Paragraphs>14</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Visa Inc.</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Biagini, Stefania</cp:lastModifiedBy>
  <cp:revision>3</cp:revision>
  <cp:lastPrinted>2017-02-17T13:03:00Z</cp:lastPrinted>
  <dcterms:created xsi:type="dcterms:W3CDTF">2017-02-21T10:20:00Z</dcterms:created>
  <dcterms:modified xsi:type="dcterms:W3CDTF">2017-02-21T10:21:00Z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