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215AF" w14:textId="77777777" w:rsidR="00230C70" w:rsidRPr="00162969" w:rsidRDefault="00230C70" w:rsidP="00230C70">
      <w:pPr>
        <w:ind w:left="2342"/>
        <w:jc w:val="right"/>
        <w:rPr>
          <w:rFonts w:cs="Arial"/>
          <w:b/>
          <w:bCs/>
          <w:i/>
          <w:iCs/>
          <w:noProof/>
        </w:rPr>
      </w:pPr>
      <w:bookmarkStart w:id="0" w:name="_GoBack"/>
      <w:bookmarkEnd w:id="0"/>
      <w:r w:rsidRPr="00162969">
        <w:rPr>
          <w:b/>
          <w:bCs/>
          <w:i/>
          <w:iCs/>
        </w:rPr>
        <w:t>Media relations:</w:t>
      </w:r>
    </w:p>
    <w:p w14:paraId="1576B59D" w14:textId="77777777" w:rsidR="00230C70" w:rsidRPr="00162969" w:rsidRDefault="00230C70" w:rsidP="00230C70">
      <w:pPr>
        <w:ind w:left="2342"/>
        <w:jc w:val="right"/>
        <w:rPr>
          <w:rFonts w:cs="Arial"/>
          <w:bCs/>
          <w:i/>
          <w:iCs/>
          <w:noProof/>
        </w:rPr>
      </w:pPr>
      <w:r w:rsidRPr="00162969">
        <w:rPr>
          <w:bCs/>
          <w:i/>
          <w:iCs/>
        </w:rPr>
        <w:t>Florence Lièvre</w:t>
      </w:r>
    </w:p>
    <w:p w14:paraId="0622161D" w14:textId="77777777" w:rsidR="00230C70" w:rsidRPr="00162969" w:rsidRDefault="00230C70" w:rsidP="00230C70">
      <w:pPr>
        <w:ind w:left="2342"/>
        <w:jc w:val="right"/>
        <w:rPr>
          <w:rFonts w:cs="Arial"/>
          <w:bCs/>
          <w:i/>
          <w:iCs/>
          <w:noProof/>
        </w:rPr>
      </w:pPr>
      <w:r w:rsidRPr="00162969">
        <w:rPr>
          <w:bCs/>
          <w:i/>
          <w:iCs/>
        </w:rPr>
        <w:t>Tel.: +33 1 47 54 50 71</w:t>
      </w:r>
    </w:p>
    <w:p w14:paraId="64B71459" w14:textId="77777777" w:rsidR="00230C70" w:rsidRPr="00162969" w:rsidRDefault="00230C70" w:rsidP="00230C70">
      <w:pPr>
        <w:ind w:left="2342"/>
        <w:jc w:val="right"/>
        <w:rPr>
          <w:rFonts w:cs="Arial"/>
          <w:bCs/>
          <w:i/>
          <w:iCs/>
          <w:noProof/>
        </w:rPr>
      </w:pPr>
      <w:r w:rsidRPr="00162969">
        <w:rPr>
          <w:bCs/>
          <w:i/>
          <w:iCs/>
        </w:rPr>
        <w:t>florence.lievre@capgemini.com</w:t>
      </w:r>
    </w:p>
    <w:p w14:paraId="5E9494EA" w14:textId="77777777" w:rsidR="00230C70" w:rsidRPr="00162969" w:rsidRDefault="00230C70" w:rsidP="00230C70">
      <w:pPr>
        <w:ind w:left="2342"/>
        <w:jc w:val="right"/>
        <w:rPr>
          <w:rFonts w:cs="Arial"/>
          <w:b/>
          <w:bCs/>
          <w:i/>
          <w:iCs/>
          <w:noProof/>
        </w:rPr>
      </w:pPr>
    </w:p>
    <w:p w14:paraId="0521B525" w14:textId="77777777" w:rsidR="00230C70" w:rsidRPr="00162969" w:rsidRDefault="00230C70" w:rsidP="00230C70">
      <w:pPr>
        <w:ind w:left="2342"/>
        <w:jc w:val="right"/>
        <w:rPr>
          <w:rFonts w:cs="Arial"/>
          <w:b/>
          <w:bCs/>
          <w:i/>
          <w:iCs/>
          <w:noProof/>
        </w:rPr>
      </w:pPr>
      <w:r w:rsidRPr="00162969">
        <w:rPr>
          <w:b/>
          <w:bCs/>
          <w:i/>
          <w:iCs/>
        </w:rPr>
        <w:t>Investor relations:</w:t>
      </w:r>
    </w:p>
    <w:p w14:paraId="792F01A3" w14:textId="77777777" w:rsidR="00230C70" w:rsidRPr="00162969" w:rsidRDefault="00230C70" w:rsidP="00230C70">
      <w:pPr>
        <w:ind w:left="2342"/>
        <w:jc w:val="right"/>
        <w:rPr>
          <w:rFonts w:cs="Arial"/>
          <w:bCs/>
          <w:i/>
          <w:iCs/>
          <w:noProof/>
        </w:rPr>
      </w:pPr>
      <w:r w:rsidRPr="00162969">
        <w:rPr>
          <w:bCs/>
          <w:i/>
          <w:iCs/>
        </w:rPr>
        <w:t xml:space="preserve">Vincent </w:t>
      </w:r>
      <w:proofErr w:type="spellStart"/>
      <w:r w:rsidRPr="00162969">
        <w:rPr>
          <w:bCs/>
          <w:i/>
          <w:iCs/>
        </w:rPr>
        <w:t>Biraud</w:t>
      </w:r>
      <w:proofErr w:type="spellEnd"/>
    </w:p>
    <w:p w14:paraId="1B5EC912" w14:textId="77777777" w:rsidR="00230C70" w:rsidRPr="00162969" w:rsidRDefault="00230C70" w:rsidP="00230C70">
      <w:pPr>
        <w:ind w:left="2342"/>
        <w:jc w:val="right"/>
        <w:rPr>
          <w:rFonts w:cs="Arial"/>
          <w:bCs/>
          <w:i/>
          <w:iCs/>
          <w:noProof/>
        </w:rPr>
      </w:pPr>
      <w:r w:rsidRPr="00162969">
        <w:rPr>
          <w:bCs/>
          <w:i/>
          <w:iCs/>
        </w:rPr>
        <w:t>Tel.: +33 1 47 54 50 87</w:t>
      </w:r>
    </w:p>
    <w:p w14:paraId="1E547EF3" w14:textId="77777777" w:rsidR="00230C70" w:rsidRPr="00162969" w:rsidRDefault="00230C70" w:rsidP="00230C70">
      <w:pPr>
        <w:ind w:left="2342"/>
        <w:jc w:val="right"/>
        <w:rPr>
          <w:rFonts w:cs="Arial"/>
          <w:bCs/>
          <w:i/>
          <w:iCs/>
          <w:noProof/>
        </w:rPr>
      </w:pPr>
      <w:r w:rsidRPr="00162969">
        <w:rPr>
          <w:bCs/>
          <w:i/>
          <w:iCs/>
        </w:rPr>
        <w:t>vincent.biraud@capgemini.com</w:t>
      </w:r>
    </w:p>
    <w:p w14:paraId="2A96E7BA" w14:textId="77777777" w:rsidR="00B00202" w:rsidRPr="00162969" w:rsidRDefault="00B00202" w:rsidP="00B00202">
      <w:pPr>
        <w:spacing w:before="120" w:after="120"/>
        <w:jc w:val="center"/>
        <w:rPr>
          <w:rFonts w:ascii="Verdana" w:hAnsi="Verdana" w:cs="Arial"/>
          <w:b/>
          <w:bCs/>
          <w:sz w:val="24"/>
          <w:szCs w:val="24"/>
        </w:rPr>
      </w:pPr>
    </w:p>
    <w:p w14:paraId="7A448DED" w14:textId="77777777" w:rsidR="00B00202" w:rsidRPr="00162969" w:rsidRDefault="00B00202" w:rsidP="00B00202">
      <w:pPr>
        <w:spacing w:before="120" w:after="120"/>
        <w:jc w:val="center"/>
        <w:rPr>
          <w:rFonts w:ascii="Verdana" w:hAnsi="Verdana" w:cs="Arial"/>
          <w:b/>
          <w:bCs/>
          <w:sz w:val="24"/>
          <w:szCs w:val="24"/>
        </w:rPr>
      </w:pPr>
    </w:p>
    <w:p w14:paraId="3305C89E" w14:textId="77777777" w:rsidR="009E0D9E" w:rsidRPr="00162969" w:rsidRDefault="009E0D9E" w:rsidP="00B00202">
      <w:pPr>
        <w:spacing w:before="120" w:after="120"/>
        <w:jc w:val="center"/>
        <w:rPr>
          <w:rFonts w:ascii="Verdana" w:hAnsi="Verdana" w:cs="Arial"/>
          <w:b/>
          <w:bCs/>
          <w:sz w:val="24"/>
          <w:szCs w:val="24"/>
        </w:rPr>
      </w:pPr>
    </w:p>
    <w:p w14:paraId="7FEE1143" w14:textId="77777777" w:rsidR="009E0D9E" w:rsidRPr="00162969" w:rsidRDefault="009E0D9E" w:rsidP="00B00202">
      <w:pPr>
        <w:spacing w:before="120" w:after="120"/>
        <w:jc w:val="center"/>
        <w:rPr>
          <w:rFonts w:ascii="Verdana" w:hAnsi="Verdana" w:cs="Arial"/>
          <w:b/>
          <w:bCs/>
          <w:sz w:val="24"/>
          <w:szCs w:val="24"/>
        </w:rPr>
      </w:pPr>
    </w:p>
    <w:p w14:paraId="6B193C8F" w14:textId="77777777" w:rsidR="00643C99" w:rsidRPr="00162969" w:rsidRDefault="00643C99" w:rsidP="00B00202">
      <w:pPr>
        <w:spacing w:before="120" w:after="120"/>
        <w:jc w:val="center"/>
        <w:rPr>
          <w:rFonts w:ascii="Verdana" w:hAnsi="Verdana" w:cs="Arial"/>
          <w:b/>
          <w:bCs/>
          <w:sz w:val="24"/>
          <w:szCs w:val="24"/>
        </w:rPr>
      </w:pPr>
    </w:p>
    <w:p w14:paraId="423538A7" w14:textId="36D41650" w:rsidR="00B00202" w:rsidRPr="00162969" w:rsidRDefault="00DA11D9" w:rsidP="00B00202">
      <w:pPr>
        <w:spacing w:before="120" w:after="120" w:line="24" w:lineRule="atLeast"/>
        <w:jc w:val="center"/>
        <w:rPr>
          <w:rFonts w:ascii="Verdana" w:hAnsi="Verdana" w:cs="Arial"/>
          <w:b/>
          <w:bCs/>
          <w:sz w:val="24"/>
          <w:szCs w:val="24"/>
        </w:rPr>
      </w:pPr>
      <w:bookmarkStart w:id="1" w:name="_Hlk519696555"/>
      <w:r w:rsidRPr="00162969">
        <w:rPr>
          <w:rFonts w:ascii="Verdana" w:hAnsi="Verdana"/>
          <w:b/>
          <w:bCs/>
          <w:sz w:val="24"/>
          <w:szCs w:val="24"/>
        </w:rPr>
        <w:t xml:space="preserve">Capgemini </w:t>
      </w:r>
      <w:r w:rsidR="00162969">
        <w:rPr>
          <w:rFonts w:ascii="Verdana" w:hAnsi="Verdana"/>
          <w:b/>
          <w:bCs/>
          <w:sz w:val="24"/>
          <w:szCs w:val="24"/>
        </w:rPr>
        <w:t>maintains</w:t>
      </w:r>
      <w:r w:rsidRPr="00162969">
        <w:rPr>
          <w:rFonts w:ascii="Verdana" w:hAnsi="Verdana"/>
          <w:b/>
          <w:bCs/>
          <w:sz w:val="24"/>
          <w:szCs w:val="24"/>
        </w:rPr>
        <w:t xml:space="preserve"> its growth momentum </w:t>
      </w:r>
      <w:r w:rsidRPr="00162969">
        <w:rPr>
          <w:rFonts w:ascii="Verdana" w:hAnsi="Verdana"/>
          <w:b/>
          <w:bCs/>
          <w:sz w:val="24"/>
          <w:szCs w:val="24"/>
        </w:rPr>
        <w:br/>
        <w:t xml:space="preserve">with strong </w:t>
      </w:r>
      <w:r w:rsidR="001B33CC" w:rsidRPr="00162969">
        <w:rPr>
          <w:rFonts w:ascii="Verdana" w:hAnsi="Verdana"/>
          <w:b/>
          <w:bCs/>
          <w:sz w:val="24"/>
          <w:szCs w:val="24"/>
        </w:rPr>
        <w:t xml:space="preserve">progression </w:t>
      </w:r>
      <w:r w:rsidR="00361CC4" w:rsidRPr="00162969">
        <w:rPr>
          <w:rFonts w:ascii="Verdana" w:hAnsi="Verdana"/>
          <w:b/>
          <w:bCs/>
          <w:sz w:val="24"/>
          <w:szCs w:val="24"/>
        </w:rPr>
        <w:t>of</w:t>
      </w:r>
      <w:r w:rsidR="001B33CC" w:rsidRPr="00162969">
        <w:rPr>
          <w:rFonts w:ascii="Verdana" w:hAnsi="Verdana"/>
          <w:b/>
          <w:bCs/>
          <w:sz w:val="24"/>
          <w:szCs w:val="24"/>
        </w:rPr>
        <w:t xml:space="preserve"> its </w:t>
      </w:r>
      <w:r w:rsidRPr="00162969">
        <w:rPr>
          <w:rFonts w:ascii="Verdana" w:hAnsi="Verdana"/>
          <w:b/>
          <w:bCs/>
          <w:sz w:val="24"/>
          <w:szCs w:val="24"/>
        </w:rPr>
        <w:t>first half 2019 results</w:t>
      </w:r>
    </w:p>
    <w:bookmarkEnd w:id="1"/>
    <w:p w14:paraId="0ECB3E81" w14:textId="77777777" w:rsidR="00B00202" w:rsidRPr="00162969" w:rsidRDefault="00B00202" w:rsidP="00B00202">
      <w:pPr>
        <w:spacing w:before="120" w:after="120" w:line="24" w:lineRule="atLeast"/>
        <w:jc w:val="center"/>
        <w:rPr>
          <w:rFonts w:ascii="Verdana" w:hAnsi="Verdana" w:cs="Arial"/>
          <w:b/>
        </w:rPr>
      </w:pPr>
    </w:p>
    <w:p w14:paraId="26299A8E" w14:textId="77777777" w:rsidR="00BB2D4E" w:rsidRPr="00162969" w:rsidRDefault="00BB2D4E" w:rsidP="00B00202">
      <w:pPr>
        <w:spacing w:before="120" w:after="120" w:line="24" w:lineRule="atLeast"/>
        <w:jc w:val="center"/>
        <w:rPr>
          <w:rFonts w:ascii="Verdana" w:hAnsi="Verdana" w:cs="Arial"/>
          <w:b/>
        </w:rPr>
      </w:pPr>
    </w:p>
    <w:p w14:paraId="251AFC33" w14:textId="77777777" w:rsidR="002B69DF" w:rsidRPr="00162969" w:rsidRDefault="00B00202" w:rsidP="00AB4DBF">
      <w:pPr>
        <w:pStyle w:val="ListParagraph"/>
        <w:numPr>
          <w:ilvl w:val="0"/>
          <w:numId w:val="4"/>
        </w:numPr>
        <w:spacing w:before="120" w:after="120" w:line="24" w:lineRule="atLeast"/>
        <w:ind w:left="284" w:hanging="218"/>
        <w:jc w:val="left"/>
        <w:rPr>
          <w:rFonts w:ascii="Verdana" w:hAnsi="Verdana" w:cs="Arial"/>
          <w:b/>
        </w:rPr>
      </w:pPr>
      <w:r w:rsidRPr="00162969">
        <w:rPr>
          <w:rFonts w:ascii="Verdana" w:hAnsi="Verdana"/>
          <w:b/>
        </w:rPr>
        <w:t>Revenues of €7,007 million, up 8.4%</w:t>
      </w:r>
    </w:p>
    <w:p w14:paraId="1749F65D" w14:textId="77777777" w:rsidR="00B00202" w:rsidRPr="00162969" w:rsidRDefault="002B69DF" w:rsidP="00AB4DBF">
      <w:pPr>
        <w:pStyle w:val="ListParagraph"/>
        <w:numPr>
          <w:ilvl w:val="0"/>
          <w:numId w:val="4"/>
        </w:numPr>
        <w:spacing w:before="120" w:after="120" w:line="24" w:lineRule="atLeast"/>
        <w:ind w:left="284" w:hanging="218"/>
        <w:jc w:val="left"/>
        <w:rPr>
          <w:rFonts w:ascii="Verdana" w:hAnsi="Verdana" w:cs="Arial"/>
          <w:b/>
        </w:rPr>
      </w:pPr>
      <w:r w:rsidRPr="00162969">
        <w:rPr>
          <w:rFonts w:ascii="Verdana" w:hAnsi="Verdana"/>
          <w:b/>
        </w:rPr>
        <w:t>H1 revenue growth of 6.2% at constant exchange rates and 5.7% in Q2</w:t>
      </w:r>
    </w:p>
    <w:p w14:paraId="0B7D0C5B" w14:textId="03D3591A" w:rsidR="00B00202" w:rsidRPr="00162969" w:rsidRDefault="00B00202" w:rsidP="00AB4DBF">
      <w:pPr>
        <w:pStyle w:val="ListParagraph"/>
        <w:numPr>
          <w:ilvl w:val="0"/>
          <w:numId w:val="4"/>
        </w:numPr>
        <w:spacing w:before="120" w:after="120" w:line="24" w:lineRule="atLeast"/>
        <w:ind w:left="284" w:hanging="218"/>
        <w:jc w:val="left"/>
        <w:rPr>
          <w:rFonts w:ascii="Verdana" w:hAnsi="Verdana" w:cs="Arial"/>
          <w:b/>
        </w:rPr>
      </w:pPr>
      <w:r w:rsidRPr="00162969">
        <w:rPr>
          <w:rFonts w:ascii="Verdana" w:hAnsi="Verdana"/>
          <w:b/>
        </w:rPr>
        <w:t>Operating margin</w:t>
      </w:r>
      <w:r w:rsidR="00701F43" w:rsidRPr="00162969">
        <w:rPr>
          <w:rFonts w:ascii="Verdana" w:hAnsi="Verdana" w:cs="Arial"/>
          <w:b/>
          <w:vertAlign w:val="superscript"/>
        </w:rPr>
        <w:fldChar w:fldCharType="begin"/>
      </w:r>
      <w:r w:rsidR="00701F43" w:rsidRPr="00162969">
        <w:rPr>
          <w:rFonts w:ascii="Verdana" w:hAnsi="Verdana" w:cs="Arial"/>
          <w:b/>
          <w:vertAlign w:val="superscript"/>
        </w:rPr>
        <w:instrText xml:space="preserve"> NOTEREF _Ref13738408 \h  \* MERGEFORMAT </w:instrText>
      </w:r>
      <w:r w:rsidR="00701F43" w:rsidRPr="00162969">
        <w:rPr>
          <w:rFonts w:ascii="Verdana" w:hAnsi="Verdana" w:cs="Arial"/>
          <w:b/>
          <w:vertAlign w:val="superscript"/>
        </w:rPr>
      </w:r>
      <w:r w:rsidR="00701F43" w:rsidRPr="00162969">
        <w:rPr>
          <w:rFonts w:ascii="Verdana" w:hAnsi="Verdana" w:cs="Arial"/>
          <w:b/>
          <w:vertAlign w:val="superscript"/>
        </w:rPr>
        <w:fldChar w:fldCharType="separate"/>
      </w:r>
      <w:r w:rsidR="00BE4A72" w:rsidRPr="00162969">
        <w:rPr>
          <w:vertAlign w:val="superscript"/>
        </w:rPr>
        <w:t>*</w:t>
      </w:r>
      <w:r w:rsidR="00701F43" w:rsidRPr="00162969">
        <w:rPr>
          <w:rFonts w:ascii="Verdana" w:hAnsi="Verdana" w:cs="Arial"/>
          <w:b/>
          <w:vertAlign w:val="superscript"/>
        </w:rPr>
        <w:fldChar w:fldCharType="end"/>
      </w:r>
      <w:r w:rsidRPr="00162969">
        <w:rPr>
          <w:rFonts w:ascii="Verdana" w:hAnsi="Verdana"/>
          <w:b/>
        </w:rPr>
        <w:t xml:space="preserve"> up 0.5 points to 11.4% </w:t>
      </w:r>
    </w:p>
    <w:p w14:paraId="574FA5DF" w14:textId="0EFD94E1" w:rsidR="00C23C44" w:rsidRPr="00162969" w:rsidRDefault="0079218C" w:rsidP="00AB4DBF">
      <w:pPr>
        <w:pStyle w:val="ListParagraph"/>
        <w:numPr>
          <w:ilvl w:val="0"/>
          <w:numId w:val="4"/>
        </w:numPr>
        <w:spacing w:before="120" w:after="120" w:line="24" w:lineRule="atLeast"/>
        <w:ind w:left="284" w:hanging="218"/>
        <w:jc w:val="left"/>
        <w:rPr>
          <w:rFonts w:ascii="Verdana" w:hAnsi="Verdana" w:cs="Arial"/>
          <w:b/>
        </w:rPr>
      </w:pPr>
      <w:r w:rsidRPr="00162969">
        <w:rPr>
          <w:rFonts w:ascii="Verdana" w:hAnsi="Verdana"/>
          <w:b/>
        </w:rPr>
        <w:t>Earnings per share up 24% and normalized earnings per share</w:t>
      </w:r>
      <w:r w:rsidR="00701F43" w:rsidRPr="00162969">
        <w:rPr>
          <w:rFonts w:ascii="Verdana" w:hAnsi="Verdana" w:cs="Arial"/>
          <w:b/>
          <w:vertAlign w:val="superscript"/>
        </w:rPr>
        <w:fldChar w:fldCharType="begin"/>
      </w:r>
      <w:r w:rsidR="00701F43" w:rsidRPr="00162969">
        <w:rPr>
          <w:rFonts w:ascii="Verdana" w:hAnsi="Verdana" w:cs="Arial"/>
          <w:b/>
          <w:vertAlign w:val="superscript"/>
        </w:rPr>
        <w:instrText xml:space="preserve"> NOTEREF _Ref13738408 \h  \* MERGEFORMAT </w:instrText>
      </w:r>
      <w:r w:rsidR="00701F43" w:rsidRPr="00162969">
        <w:rPr>
          <w:rFonts w:ascii="Verdana" w:hAnsi="Verdana" w:cs="Arial"/>
          <w:b/>
          <w:vertAlign w:val="superscript"/>
        </w:rPr>
      </w:r>
      <w:r w:rsidR="00701F43" w:rsidRPr="00162969">
        <w:rPr>
          <w:rFonts w:ascii="Verdana" w:hAnsi="Verdana" w:cs="Arial"/>
          <w:b/>
          <w:vertAlign w:val="superscript"/>
        </w:rPr>
        <w:fldChar w:fldCharType="separate"/>
      </w:r>
      <w:r w:rsidR="00BE4A72" w:rsidRPr="00162969">
        <w:rPr>
          <w:vertAlign w:val="superscript"/>
        </w:rPr>
        <w:t>*</w:t>
      </w:r>
      <w:r w:rsidR="00701F43" w:rsidRPr="00162969">
        <w:rPr>
          <w:rFonts w:ascii="Verdana" w:hAnsi="Verdana" w:cs="Arial"/>
          <w:b/>
          <w:vertAlign w:val="superscript"/>
        </w:rPr>
        <w:fldChar w:fldCharType="end"/>
      </w:r>
      <w:r w:rsidRPr="00162969">
        <w:rPr>
          <w:rFonts w:ascii="Verdana" w:hAnsi="Verdana"/>
          <w:b/>
        </w:rPr>
        <w:t xml:space="preserve"> up 12% </w:t>
      </w:r>
    </w:p>
    <w:p w14:paraId="259B394D" w14:textId="69609B25" w:rsidR="00B00202" w:rsidRPr="00162969" w:rsidRDefault="00220ACA" w:rsidP="00AB4DBF">
      <w:pPr>
        <w:pStyle w:val="ListParagraph"/>
        <w:numPr>
          <w:ilvl w:val="0"/>
          <w:numId w:val="4"/>
        </w:numPr>
        <w:spacing w:before="120" w:after="120" w:line="24" w:lineRule="atLeast"/>
        <w:ind w:left="284" w:hanging="218"/>
        <w:jc w:val="left"/>
        <w:rPr>
          <w:rFonts w:ascii="Verdana" w:hAnsi="Verdana" w:cs="Arial"/>
          <w:b/>
        </w:rPr>
      </w:pPr>
      <w:r w:rsidRPr="00162969">
        <w:rPr>
          <w:rFonts w:ascii="Verdana" w:hAnsi="Verdana"/>
          <w:b/>
        </w:rPr>
        <w:t>Stronger o</w:t>
      </w:r>
      <w:r w:rsidR="00B00202" w:rsidRPr="00162969">
        <w:rPr>
          <w:rFonts w:ascii="Verdana" w:hAnsi="Verdana"/>
          <w:b/>
        </w:rPr>
        <w:t>rganic free cash flow</w:t>
      </w:r>
      <w:bookmarkStart w:id="2" w:name="_Ref13738408"/>
      <w:r w:rsidR="00B00202" w:rsidRPr="00162969">
        <w:rPr>
          <w:rStyle w:val="FootnoteReference"/>
          <w:rFonts w:ascii="Verdana" w:hAnsi="Verdana" w:cs="Arial"/>
          <w:b/>
        </w:rPr>
        <w:footnoteReference w:customMarkFollows="1" w:id="2"/>
        <w:t>*</w:t>
      </w:r>
      <w:bookmarkEnd w:id="2"/>
      <w:r w:rsidRPr="00162969">
        <w:rPr>
          <w:rFonts w:ascii="Verdana" w:hAnsi="Verdana"/>
          <w:b/>
        </w:rPr>
        <w:t>, at</w:t>
      </w:r>
      <w:r w:rsidR="00B00202" w:rsidRPr="00162969">
        <w:rPr>
          <w:rFonts w:ascii="Verdana" w:hAnsi="Verdana"/>
          <w:b/>
        </w:rPr>
        <w:t xml:space="preserve"> €90 million</w:t>
      </w:r>
    </w:p>
    <w:p w14:paraId="4EF1F7EB" w14:textId="77777777" w:rsidR="00643C99" w:rsidRPr="00162969" w:rsidRDefault="00643C99" w:rsidP="00B00202">
      <w:pPr>
        <w:spacing w:before="120" w:after="120"/>
        <w:ind w:left="567" w:hanging="218"/>
        <w:rPr>
          <w:rFonts w:ascii="Verdana" w:hAnsi="Verdana"/>
        </w:rPr>
      </w:pPr>
    </w:p>
    <w:p w14:paraId="33C0CE02" w14:textId="77777777" w:rsidR="00AB4DBF" w:rsidRPr="00162969" w:rsidRDefault="00AB4DBF" w:rsidP="00B00202">
      <w:pPr>
        <w:spacing w:before="120" w:after="120"/>
        <w:ind w:left="567" w:hanging="218"/>
        <w:rPr>
          <w:rFonts w:ascii="Verdana" w:hAnsi="Verdana"/>
        </w:rPr>
      </w:pPr>
    </w:p>
    <w:p w14:paraId="06AC0230" w14:textId="77777777" w:rsidR="0079218C" w:rsidRPr="00162969" w:rsidRDefault="0079218C" w:rsidP="002C22BA">
      <w:pPr>
        <w:spacing w:before="120" w:after="120" w:line="276" w:lineRule="auto"/>
        <w:rPr>
          <w:rFonts w:ascii="Verdana" w:hAnsi="Verdana" w:cs="Arial"/>
          <w:b/>
          <w:i/>
        </w:rPr>
      </w:pPr>
    </w:p>
    <w:p w14:paraId="0FDCAEA7" w14:textId="6FB9D3F2" w:rsidR="00B00202" w:rsidRPr="00162969" w:rsidRDefault="00B00202" w:rsidP="002C22BA">
      <w:pPr>
        <w:spacing w:before="120" w:after="120" w:line="276" w:lineRule="auto"/>
        <w:rPr>
          <w:rFonts w:ascii="Verdana" w:hAnsi="Verdana" w:cs="Arial"/>
        </w:rPr>
      </w:pPr>
      <w:r w:rsidRPr="00162969">
        <w:rPr>
          <w:rFonts w:ascii="Verdana" w:hAnsi="Verdana"/>
          <w:b/>
          <w:i/>
        </w:rPr>
        <w:t>Paris, July 30, 2019, 7 a.m.</w:t>
      </w:r>
      <w:r w:rsidR="00CD339D" w:rsidRPr="00162969">
        <w:rPr>
          <w:rFonts w:ascii="Verdana" w:hAnsi="Verdana"/>
          <w:b/>
          <w:i/>
        </w:rPr>
        <w:t xml:space="preserve"> CET</w:t>
      </w:r>
      <w:r w:rsidRPr="00162969">
        <w:rPr>
          <w:rFonts w:ascii="Verdana" w:hAnsi="Verdana"/>
          <w:b/>
          <w:i/>
        </w:rPr>
        <w:t xml:space="preserve"> –</w:t>
      </w:r>
      <w:r w:rsidRPr="00162969">
        <w:rPr>
          <w:rFonts w:ascii="Verdana" w:hAnsi="Verdana"/>
        </w:rPr>
        <w:t xml:space="preserve"> The Board of Directors of Capgemini SE, chaired by Paul </w:t>
      </w:r>
      <w:proofErr w:type="spellStart"/>
      <w:r w:rsidRPr="00162969">
        <w:rPr>
          <w:rFonts w:ascii="Verdana" w:hAnsi="Verdana"/>
        </w:rPr>
        <w:t>Hermelin</w:t>
      </w:r>
      <w:proofErr w:type="spellEnd"/>
      <w:r w:rsidRPr="00162969">
        <w:rPr>
          <w:rFonts w:ascii="Verdana" w:hAnsi="Verdana"/>
        </w:rPr>
        <w:t xml:space="preserve">, convened </w:t>
      </w:r>
      <w:r w:rsidR="00D86ADD" w:rsidRPr="00162969">
        <w:rPr>
          <w:rFonts w:ascii="Verdana" w:hAnsi="Verdana"/>
        </w:rPr>
        <w:t xml:space="preserve">on July 29, 2019, </w:t>
      </w:r>
      <w:r w:rsidRPr="00162969">
        <w:rPr>
          <w:rFonts w:ascii="Verdana" w:hAnsi="Verdana"/>
        </w:rPr>
        <w:t>to review and authorize the issue of the accounts</w:t>
      </w:r>
      <w:r w:rsidRPr="00162969">
        <w:rPr>
          <w:rStyle w:val="FootnoteReference"/>
          <w:rFonts w:ascii="Verdana" w:hAnsi="Verdana" w:cs="Arial"/>
        </w:rPr>
        <w:footnoteReference w:id="3"/>
      </w:r>
      <w:r w:rsidRPr="00162969">
        <w:rPr>
          <w:rFonts w:ascii="Verdana" w:hAnsi="Verdana"/>
          <w:vertAlign w:val="superscript"/>
        </w:rPr>
        <w:t xml:space="preserve"> </w:t>
      </w:r>
      <w:r w:rsidRPr="00162969">
        <w:rPr>
          <w:rFonts w:ascii="Verdana" w:hAnsi="Verdana"/>
        </w:rPr>
        <w:t>of Capgemini Group for the 1</w:t>
      </w:r>
      <w:r w:rsidRPr="00162969">
        <w:rPr>
          <w:rFonts w:ascii="Verdana" w:hAnsi="Verdana"/>
          <w:vertAlign w:val="superscript"/>
        </w:rPr>
        <w:t>st</w:t>
      </w:r>
      <w:r w:rsidRPr="00162969">
        <w:rPr>
          <w:rFonts w:ascii="Verdana" w:hAnsi="Verdana"/>
        </w:rPr>
        <w:t xml:space="preserve"> half of 2019. </w:t>
      </w:r>
    </w:p>
    <w:p w14:paraId="2024ED86" w14:textId="77777777" w:rsidR="00B00202" w:rsidRPr="00162969" w:rsidRDefault="00B00202" w:rsidP="002C22BA">
      <w:pPr>
        <w:spacing w:before="120" w:after="120" w:line="276" w:lineRule="auto"/>
        <w:rPr>
          <w:rFonts w:ascii="Verdana" w:hAnsi="Verdana" w:cs="Arial"/>
        </w:rPr>
      </w:pPr>
    </w:p>
    <w:p w14:paraId="43B8F1A4" w14:textId="702EDFAA" w:rsidR="002C3FAA" w:rsidRPr="00162969" w:rsidRDefault="004B4C6B" w:rsidP="00AB4DBF">
      <w:pPr>
        <w:spacing w:before="120" w:after="120" w:line="360" w:lineRule="auto"/>
        <w:rPr>
          <w:rFonts w:ascii="Verdana" w:hAnsi="Verdana" w:cs="Arial"/>
          <w:i/>
          <w:color w:val="000000" w:themeColor="text1"/>
        </w:rPr>
      </w:pPr>
      <w:r w:rsidRPr="00162969">
        <w:rPr>
          <w:rFonts w:ascii="Verdana" w:hAnsi="Verdana"/>
          <w:color w:val="000000" w:themeColor="text1"/>
        </w:rPr>
        <w:t xml:space="preserve">Paul </w:t>
      </w:r>
      <w:proofErr w:type="spellStart"/>
      <w:r w:rsidRPr="00162969">
        <w:rPr>
          <w:rFonts w:ascii="Verdana" w:hAnsi="Verdana"/>
          <w:color w:val="000000" w:themeColor="text1"/>
        </w:rPr>
        <w:t>Hermelin</w:t>
      </w:r>
      <w:proofErr w:type="spellEnd"/>
      <w:r w:rsidRPr="00162969">
        <w:rPr>
          <w:rFonts w:ascii="Verdana" w:hAnsi="Verdana"/>
          <w:color w:val="000000" w:themeColor="text1"/>
        </w:rPr>
        <w:t>, Chairman and Chief Executive Officer of Capgemini Group</w:t>
      </w:r>
      <w:r w:rsidR="004E1C69" w:rsidRPr="00162969">
        <w:rPr>
          <w:rFonts w:ascii="Verdana" w:hAnsi="Verdana"/>
          <w:color w:val="000000" w:themeColor="text1"/>
        </w:rPr>
        <w:t>, comments</w:t>
      </w:r>
      <w:r w:rsidRPr="00162969">
        <w:rPr>
          <w:rFonts w:ascii="Verdana" w:hAnsi="Verdana"/>
          <w:color w:val="000000" w:themeColor="text1"/>
        </w:rPr>
        <w:t xml:space="preserve">: </w:t>
      </w:r>
      <w:r w:rsidRPr="00162969">
        <w:rPr>
          <w:rFonts w:ascii="Verdana" w:hAnsi="Verdana"/>
          <w:i/>
          <w:color w:val="000000" w:themeColor="text1"/>
        </w:rPr>
        <w:t>“</w:t>
      </w:r>
      <w:r w:rsidR="00077C15" w:rsidRPr="00162969">
        <w:rPr>
          <w:rFonts w:ascii="Verdana" w:hAnsi="Verdana"/>
          <w:i/>
          <w:color w:val="000000" w:themeColor="text1"/>
        </w:rPr>
        <w:t xml:space="preserve">We are demonstrating our ability to deliver continuously a strong increase in earnings, </w:t>
      </w:r>
      <w:r w:rsidR="0089513C" w:rsidRPr="00162969">
        <w:rPr>
          <w:rFonts w:ascii="Verdana" w:hAnsi="Verdana"/>
          <w:i/>
          <w:color w:val="000000" w:themeColor="text1"/>
        </w:rPr>
        <w:t>with</w:t>
      </w:r>
      <w:r w:rsidR="00077C15" w:rsidRPr="00162969">
        <w:rPr>
          <w:rFonts w:ascii="Verdana" w:hAnsi="Verdana"/>
          <w:i/>
          <w:color w:val="000000" w:themeColor="text1"/>
        </w:rPr>
        <w:t xml:space="preserve"> growth in both revenue and profitability</w:t>
      </w:r>
      <w:r w:rsidRPr="00162969">
        <w:rPr>
          <w:rFonts w:ascii="Verdana" w:hAnsi="Verdana"/>
          <w:i/>
          <w:color w:val="000000" w:themeColor="text1"/>
        </w:rPr>
        <w:t>. Momentum remains strong in Europe, wh</w:t>
      </w:r>
      <w:r w:rsidR="005E5B43" w:rsidRPr="00162969">
        <w:rPr>
          <w:rFonts w:ascii="Verdana" w:hAnsi="Verdana"/>
          <w:i/>
          <w:color w:val="000000" w:themeColor="text1"/>
        </w:rPr>
        <w:t>ere we</w:t>
      </w:r>
      <w:r w:rsidRPr="00162969">
        <w:rPr>
          <w:rFonts w:ascii="Verdana" w:hAnsi="Verdana"/>
          <w:i/>
          <w:color w:val="000000" w:themeColor="text1"/>
        </w:rPr>
        <w:t xml:space="preserve"> generate 60% of our revenues</w:t>
      </w:r>
      <w:r w:rsidR="005E5B43" w:rsidRPr="00162969">
        <w:rPr>
          <w:rFonts w:ascii="Verdana" w:hAnsi="Verdana"/>
          <w:i/>
          <w:color w:val="000000" w:themeColor="text1"/>
        </w:rPr>
        <w:t>, with a remarkable performance in France</w:t>
      </w:r>
      <w:r w:rsidR="00816D5C" w:rsidRPr="00162969">
        <w:rPr>
          <w:rFonts w:ascii="Verdana" w:hAnsi="Verdana"/>
          <w:i/>
          <w:color w:val="000000" w:themeColor="text1"/>
        </w:rPr>
        <w:t xml:space="preserve"> and the United Kingdom</w:t>
      </w:r>
      <w:r w:rsidRPr="00162969">
        <w:rPr>
          <w:rFonts w:ascii="Verdana" w:hAnsi="Verdana"/>
          <w:i/>
          <w:color w:val="000000" w:themeColor="text1"/>
        </w:rPr>
        <w:t xml:space="preserve">. Digital and Cloud continue to develop </w:t>
      </w:r>
      <w:r w:rsidR="00F40D4A" w:rsidRPr="00162969">
        <w:rPr>
          <w:rFonts w:ascii="Verdana" w:hAnsi="Verdana"/>
          <w:i/>
          <w:color w:val="000000" w:themeColor="text1"/>
        </w:rPr>
        <w:t>at a rapid pace</w:t>
      </w:r>
      <w:r w:rsidR="0013536D" w:rsidRPr="00162969">
        <w:rPr>
          <w:rFonts w:ascii="Verdana" w:hAnsi="Verdana"/>
          <w:i/>
          <w:color w:val="000000" w:themeColor="text1"/>
        </w:rPr>
        <w:t>,</w:t>
      </w:r>
      <w:r w:rsidRPr="00162969">
        <w:rPr>
          <w:rFonts w:ascii="Verdana" w:hAnsi="Verdana"/>
          <w:i/>
          <w:color w:val="000000" w:themeColor="text1"/>
        </w:rPr>
        <w:t xml:space="preserve"> and for the first time</w:t>
      </w:r>
      <w:r w:rsidR="0013536D" w:rsidRPr="00162969">
        <w:rPr>
          <w:rFonts w:ascii="Verdana" w:hAnsi="Verdana"/>
          <w:i/>
          <w:color w:val="000000" w:themeColor="text1"/>
        </w:rPr>
        <w:t>,</w:t>
      </w:r>
      <w:r w:rsidR="00BB0CEF" w:rsidRPr="00162969">
        <w:rPr>
          <w:rFonts w:ascii="Verdana" w:hAnsi="Verdana"/>
          <w:i/>
          <w:color w:val="000000" w:themeColor="text1"/>
        </w:rPr>
        <w:t xml:space="preserve"> </w:t>
      </w:r>
      <w:r w:rsidR="00F40D4A" w:rsidRPr="00162969">
        <w:rPr>
          <w:rFonts w:ascii="Verdana" w:hAnsi="Verdana"/>
          <w:i/>
          <w:color w:val="000000" w:themeColor="text1"/>
        </w:rPr>
        <w:t xml:space="preserve">represent </w:t>
      </w:r>
      <w:r w:rsidR="00BB0CEF" w:rsidRPr="00162969">
        <w:rPr>
          <w:rFonts w:ascii="Verdana" w:hAnsi="Verdana"/>
          <w:i/>
          <w:color w:val="000000" w:themeColor="text1"/>
        </w:rPr>
        <w:t xml:space="preserve">half </w:t>
      </w:r>
      <w:r w:rsidR="000054E5" w:rsidRPr="00162969">
        <w:rPr>
          <w:rFonts w:ascii="Verdana" w:hAnsi="Verdana"/>
          <w:i/>
          <w:color w:val="000000" w:themeColor="text1"/>
        </w:rPr>
        <w:t xml:space="preserve">of </w:t>
      </w:r>
      <w:r w:rsidR="00BB0CEF" w:rsidRPr="00162969">
        <w:rPr>
          <w:rFonts w:ascii="Verdana" w:hAnsi="Verdana"/>
          <w:i/>
          <w:color w:val="000000" w:themeColor="text1"/>
        </w:rPr>
        <w:t xml:space="preserve">our revenues. </w:t>
      </w:r>
      <w:r w:rsidRPr="00162969">
        <w:rPr>
          <w:rFonts w:ascii="Verdana" w:hAnsi="Verdana"/>
          <w:i/>
          <w:color w:val="000000" w:themeColor="text1"/>
        </w:rPr>
        <w:t xml:space="preserve">These excellent results demonstrate </w:t>
      </w:r>
      <w:r w:rsidR="00F40D4A" w:rsidRPr="00162969">
        <w:rPr>
          <w:rFonts w:ascii="Verdana" w:hAnsi="Verdana"/>
          <w:i/>
          <w:color w:val="000000" w:themeColor="text1"/>
        </w:rPr>
        <w:t xml:space="preserve">the </w:t>
      </w:r>
      <w:r w:rsidRPr="00162969">
        <w:rPr>
          <w:rFonts w:ascii="Verdana" w:hAnsi="Verdana"/>
          <w:i/>
          <w:color w:val="000000" w:themeColor="text1"/>
        </w:rPr>
        <w:t>relevance and strength</w:t>
      </w:r>
      <w:r w:rsidR="00F40D4A" w:rsidRPr="00162969">
        <w:rPr>
          <w:rFonts w:ascii="Verdana" w:hAnsi="Verdana"/>
          <w:i/>
          <w:color w:val="000000" w:themeColor="text1"/>
        </w:rPr>
        <w:t xml:space="preserve"> of our </w:t>
      </w:r>
      <w:r w:rsidR="00C4767B" w:rsidRPr="00162969">
        <w:rPr>
          <w:rFonts w:ascii="Verdana" w:hAnsi="Verdana"/>
          <w:i/>
          <w:color w:val="000000" w:themeColor="text1"/>
        </w:rPr>
        <w:t>strategy</w:t>
      </w:r>
      <w:r w:rsidRPr="00162969">
        <w:rPr>
          <w:rFonts w:ascii="Verdana" w:hAnsi="Verdana"/>
          <w:i/>
          <w:color w:val="000000" w:themeColor="text1"/>
        </w:rPr>
        <w:t xml:space="preserve">. </w:t>
      </w:r>
    </w:p>
    <w:p w14:paraId="291AF0C1" w14:textId="0981BB5E" w:rsidR="001B12F2" w:rsidRPr="00162969" w:rsidRDefault="005E5B43" w:rsidP="00AB4DBF">
      <w:pPr>
        <w:spacing w:before="120" w:after="120" w:line="360" w:lineRule="auto"/>
        <w:rPr>
          <w:i/>
          <w:iCs/>
        </w:rPr>
      </w:pPr>
      <w:r w:rsidRPr="00162969">
        <w:rPr>
          <w:rFonts w:ascii="Verdana" w:hAnsi="Verdana"/>
          <w:i/>
          <w:color w:val="000000" w:themeColor="text1"/>
        </w:rPr>
        <w:t xml:space="preserve">The first six months </w:t>
      </w:r>
      <w:r w:rsidR="002C3FAA" w:rsidRPr="00162969">
        <w:rPr>
          <w:rFonts w:ascii="Verdana" w:hAnsi="Verdana"/>
          <w:i/>
          <w:color w:val="000000" w:themeColor="text1"/>
        </w:rPr>
        <w:t xml:space="preserve">also </w:t>
      </w:r>
      <w:r w:rsidRPr="00162969">
        <w:rPr>
          <w:rFonts w:ascii="Verdana" w:hAnsi="Verdana"/>
          <w:i/>
          <w:color w:val="000000" w:themeColor="text1"/>
        </w:rPr>
        <w:t>saw</w:t>
      </w:r>
      <w:r w:rsidR="002C3FAA" w:rsidRPr="00162969">
        <w:rPr>
          <w:rFonts w:ascii="Verdana" w:hAnsi="Verdana"/>
          <w:i/>
          <w:color w:val="000000" w:themeColor="text1"/>
        </w:rPr>
        <w:t xml:space="preserve"> the </w:t>
      </w:r>
      <w:r w:rsidR="000054E5" w:rsidRPr="00162969">
        <w:rPr>
          <w:rFonts w:ascii="Verdana" w:hAnsi="Verdana"/>
          <w:i/>
          <w:color w:val="000000" w:themeColor="text1"/>
        </w:rPr>
        <w:t xml:space="preserve">announcement of the proposed </w:t>
      </w:r>
      <w:r w:rsidR="002C3FAA" w:rsidRPr="00162969">
        <w:rPr>
          <w:rFonts w:ascii="Verdana" w:hAnsi="Verdana"/>
          <w:i/>
          <w:color w:val="000000" w:themeColor="text1"/>
        </w:rPr>
        <w:t xml:space="preserve">friendly </w:t>
      </w:r>
      <w:r w:rsidR="002D61C4" w:rsidRPr="00162969">
        <w:rPr>
          <w:rFonts w:ascii="Verdana" w:hAnsi="Verdana"/>
          <w:i/>
          <w:color w:val="000000" w:themeColor="text1"/>
        </w:rPr>
        <w:t>takeover</w:t>
      </w:r>
      <w:r w:rsidR="002C3FAA" w:rsidRPr="00162969">
        <w:rPr>
          <w:rFonts w:ascii="Verdana" w:hAnsi="Verdana"/>
          <w:i/>
          <w:color w:val="000000" w:themeColor="text1"/>
        </w:rPr>
        <w:t xml:space="preserve"> </w:t>
      </w:r>
      <w:r w:rsidR="002D61C4" w:rsidRPr="00162969">
        <w:rPr>
          <w:rFonts w:ascii="Verdana" w:hAnsi="Verdana"/>
          <w:i/>
          <w:color w:val="000000" w:themeColor="text1"/>
        </w:rPr>
        <w:t xml:space="preserve">of </w:t>
      </w:r>
      <w:r w:rsidR="002C3FAA" w:rsidRPr="00162969">
        <w:rPr>
          <w:rFonts w:ascii="Verdana" w:hAnsi="Verdana"/>
          <w:i/>
          <w:color w:val="000000" w:themeColor="text1"/>
        </w:rPr>
        <w:t xml:space="preserve">Altran, a major strategic move for both our companies. </w:t>
      </w:r>
      <w:r w:rsidR="0089513C" w:rsidRPr="00162969">
        <w:rPr>
          <w:rFonts w:ascii="Verdana" w:hAnsi="Verdana"/>
          <w:i/>
        </w:rPr>
        <w:t>We complement each other</w:t>
      </w:r>
      <w:r w:rsidR="002C3FAA" w:rsidRPr="00162969">
        <w:rPr>
          <w:rFonts w:ascii="Verdana" w:hAnsi="Verdana"/>
          <w:i/>
        </w:rPr>
        <w:t xml:space="preserve"> and </w:t>
      </w:r>
      <w:r w:rsidR="0089513C" w:rsidRPr="00162969">
        <w:rPr>
          <w:rFonts w:ascii="Verdana" w:hAnsi="Verdana"/>
          <w:i/>
        </w:rPr>
        <w:t xml:space="preserve">with the </w:t>
      </w:r>
      <w:r w:rsidR="002C3FAA" w:rsidRPr="00162969">
        <w:rPr>
          <w:rFonts w:ascii="Verdana" w:hAnsi="Verdana"/>
          <w:i/>
        </w:rPr>
        <w:t xml:space="preserve">cultural proximity </w:t>
      </w:r>
      <w:r w:rsidR="0089513C" w:rsidRPr="00162969">
        <w:rPr>
          <w:rFonts w:ascii="Verdana" w:hAnsi="Verdana"/>
          <w:i/>
        </w:rPr>
        <w:t xml:space="preserve">we </w:t>
      </w:r>
      <w:r w:rsidR="00C4767B" w:rsidRPr="00162969">
        <w:rPr>
          <w:rFonts w:ascii="Verdana" w:hAnsi="Verdana"/>
          <w:i/>
          <w:color w:val="000000" w:themeColor="text1"/>
        </w:rPr>
        <w:t xml:space="preserve">will </w:t>
      </w:r>
      <w:r w:rsidR="002C3FAA" w:rsidRPr="00162969">
        <w:rPr>
          <w:rFonts w:ascii="Verdana" w:hAnsi="Verdana"/>
          <w:i/>
          <w:color w:val="000000" w:themeColor="text1"/>
        </w:rPr>
        <w:t xml:space="preserve">create a </w:t>
      </w:r>
      <w:r w:rsidR="00C4767B" w:rsidRPr="00162969">
        <w:rPr>
          <w:rFonts w:ascii="Verdana" w:hAnsi="Verdana"/>
          <w:i/>
          <w:color w:val="000000" w:themeColor="text1"/>
        </w:rPr>
        <w:t>world leader in</w:t>
      </w:r>
      <w:r w:rsidR="002C3FAA" w:rsidRPr="00162969">
        <w:rPr>
          <w:rFonts w:ascii="Verdana" w:hAnsi="Verdana"/>
          <w:i/>
          <w:color w:val="000000" w:themeColor="text1"/>
        </w:rPr>
        <w:t xml:space="preserve"> digital transformation for industrial companies</w:t>
      </w:r>
      <w:r w:rsidR="00C4767B" w:rsidRPr="00162969">
        <w:rPr>
          <w:rFonts w:ascii="Verdana" w:hAnsi="Verdana"/>
          <w:i/>
          <w:color w:val="000000" w:themeColor="text1"/>
        </w:rPr>
        <w:t>,</w:t>
      </w:r>
      <w:r w:rsidR="00C4767B" w:rsidRPr="00162969">
        <w:t xml:space="preserve"> </w:t>
      </w:r>
      <w:r w:rsidR="00C4767B" w:rsidRPr="00162969">
        <w:rPr>
          <w:rFonts w:ascii="Verdana" w:hAnsi="Verdana"/>
          <w:i/>
          <w:color w:val="000000" w:themeColor="text1"/>
        </w:rPr>
        <w:t>what we call the ‘intelligent industry’</w:t>
      </w:r>
      <w:r w:rsidR="002C3FAA" w:rsidRPr="00162969">
        <w:rPr>
          <w:rFonts w:ascii="Verdana" w:hAnsi="Verdana"/>
          <w:i/>
        </w:rPr>
        <w:t>.”</w:t>
      </w:r>
    </w:p>
    <w:p w14:paraId="0992DD3B" w14:textId="77777777" w:rsidR="00B00202" w:rsidRPr="00162969" w:rsidRDefault="00B00202" w:rsidP="00B00202">
      <w:pPr>
        <w:spacing w:before="120" w:after="120"/>
        <w:rPr>
          <w:rFonts w:ascii="Verdana" w:hAnsi="Verdana" w:cs="Arial"/>
          <w:color w:val="000000" w:themeColor="text1"/>
        </w:rPr>
      </w:pPr>
    </w:p>
    <w:p w14:paraId="623DCDFD" w14:textId="77777777" w:rsidR="00B00202" w:rsidRPr="00162969" w:rsidRDefault="00C96D53" w:rsidP="00EF5205">
      <w:pPr>
        <w:pStyle w:val="Heading1"/>
      </w:pPr>
      <w:r w:rsidRPr="00162969">
        <w:lastRenderedPageBreak/>
        <w:t>1</w:t>
      </w:r>
      <w:r w:rsidRPr="00162969">
        <w:rPr>
          <w:vertAlign w:val="superscript"/>
        </w:rPr>
        <w:t>ST</w:t>
      </w:r>
      <w:r w:rsidRPr="00162969">
        <w:t xml:space="preserve"> HALF KEY FIGURES</w:t>
      </w:r>
    </w:p>
    <w:tbl>
      <w:tblPr>
        <w:tblW w:w="0" w:type="auto"/>
        <w:jc w:val="center"/>
        <w:tblLook w:val="04A0" w:firstRow="1" w:lastRow="0" w:firstColumn="1" w:lastColumn="0" w:noHBand="0" w:noVBand="1"/>
      </w:tblPr>
      <w:tblGrid>
        <w:gridCol w:w="3821"/>
        <w:gridCol w:w="1757"/>
        <w:gridCol w:w="1757"/>
        <w:gridCol w:w="2588"/>
      </w:tblGrid>
      <w:tr w:rsidR="00D159DD" w:rsidRPr="00162969" w14:paraId="2655A848" w14:textId="77777777" w:rsidTr="00636A78">
        <w:trPr>
          <w:trHeight w:val="454"/>
          <w:jc w:val="center"/>
        </w:trPr>
        <w:tc>
          <w:tcPr>
            <w:tcW w:w="3821" w:type="dxa"/>
            <w:tcBorders>
              <w:bottom w:val="single" w:sz="4" w:space="0" w:color="30849B"/>
            </w:tcBorders>
            <w:vAlign w:val="center"/>
          </w:tcPr>
          <w:p w14:paraId="78144D88" w14:textId="77777777" w:rsidR="00D159DD" w:rsidRPr="00162969" w:rsidRDefault="00D159DD" w:rsidP="00D159DD">
            <w:pPr>
              <w:keepNext/>
              <w:jc w:val="center"/>
              <w:rPr>
                <w:rFonts w:cs="Arial"/>
                <w:i/>
                <w:sz w:val="16"/>
              </w:rPr>
            </w:pPr>
            <w:r w:rsidRPr="00162969">
              <w:rPr>
                <w:i/>
                <w:sz w:val="16"/>
              </w:rPr>
              <w:t>(In millions of euros)</w:t>
            </w:r>
          </w:p>
        </w:tc>
        <w:tc>
          <w:tcPr>
            <w:tcW w:w="1757" w:type="dxa"/>
            <w:tcBorders>
              <w:bottom w:val="single" w:sz="4" w:space="0" w:color="30849B"/>
            </w:tcBorders>
            <w:vAlign w:val="center"/>
          </w:tcPr>
          <w:p w14:paraId="3DEF4674" w14:textId="77777777" w:rsidR="00F0763C" w:rsidRPr="00162969" w:rsidRDefault="00230C70" w:rsidP="00E4251B">
            <w:pPr>
              <w:keepNext/>
              <w:jc w:val="center"/>
              <w:rPr>
                <w:rFonts w:ascii="Verdana" w:hAnsi="Verdana" w:cs="Arial"/>
                <w:b/>
                <w:sz w:val="16"/>
              </w:rPr>
            </w:pPr>
            <w:r w:rsidRPr="00162969">
              <w:rPr>
                <w:rFonts w:ascii="Verdana" w:hAnsi="Verdana"/>
                <w:b/>
                <w:sz w:val="16"/>
              </w:rPr>
              <w:t>H1 2018</w:t>
            </w:r>
          </w:p>
          <w:p w14:paraId="1F6EA749" w14:textId="77777777" w:rsidR="00C942DA" w:rsidRPr="00162969" w:rsidRDefault="00C942DA" w:rsidP="00E4251B">
            <w:pPr>
              <w:keepNext/>
              <w:jc w:val="center"/>
              <w:rPr>
                <w:rFonts w:cs="Arial"/>
                <w:sz w:val="16"/>
              </w:rPr>
            </w:pPr>
          </w:p>
        </w:tc>
        <w:tc>
          <w:tcPr>
            <w:tcW w:w="1757" w:type="dxa"/>
            <w:tcBorders>
              <w:bottom w:val="single" w:sz="4" w:space="0" w:color="30849B"/>
            </w:tcBorders>
            <w:shd w:val="clear" w:color="auto" w:fill="BBE7FF" w:themeFill="accent1" w:themeFillTint="33"/>
            <w:vAlign w:val="center"/>
          </w:tcPr>
          <w:p w14:paraId="73145882" w14:textId="77777777" w:rsidR="00F0763C" w:rsidRPr="00162969" w:rsidRDefault="00230C70" w:rsidP="00E4251B">
            <w:pPr>
              <w:keepNext/>
              <w:jc w:val="center"/>
              <w:rPr>
                <w:rFonts w:ascii="Verdana" w:hAnsi="Verdana" w:cs="Arial"/>
                <w:b/>
                <w:sz w:val="16"/>
              </w:rPr>
            </w:pPr>
            <w:r w:rsidRPr="00162969">
              <w:rPr>
                <w:rFonts w:ascii="Verdana" w:hAnsi="Verdana"/>
                <w:b/>
                <w:sz w:val="16"/>
              </w:rPr>
              <w:t>H1 2019</w:t>
            </w:r>
          </w:p>
          <w:p w14:paraId="6E946DE2" w14:textId="77777777" w:rsidR="00C942DA" w:rsidRPr="00162969" w:rsidRDefault="00C942DA" w:rsidP="00E4251B">
            <w:pPr>
              <w:keepNext/>
              <w:jc w:val="center"/>
              <w:rPr>
                <w:rFonts w:cs="Arial"/>
                <w:bCs/>
                <w:sz w:val="16"/>
              </w:rPr>
            </w:pPr>
            <w:r w:rsidRPr="00162969">
              <w:t>(IFRS 16</w:t>
            </w:r>
            <w:bookmarkStart w:id="3" w:name="_Ref14022851"/>
            <w:r w:rsidR="00062BCE" w:rsidRPr="00162969">
              <w:rPr>
                <w:rStyle w:val="FootnoteReference"/>
                <w:rFonts w:ascii="Verdana" w:hAnsi="Verdana" w:cs="Arial"/>
                <w:bCs/>
                <w:sz w:val="16"/>
              </w:rPr>
              <w:footnoteReference w:id="4"/>
            </w:r>
            <w:bookmarkEnd w:id="3"/>
            <w:r w:rsidRPr="00162969">
              <w:t>)</w:t>
            </w:r>
          </w:p>
        </w:tc>
        <w:tc>
          <w:tcPr>
            <w:tcW w:w="2588" w:type="dxa"/>
            <w:tcBorders>
              <w:bottom w:val="single" w:sz="4" w:space="0" w:color="30849B"/>
            </w:tcBorders>
            <w:shd w:val="clear" w:color="auto" w:fill="auto"/>
            <w:vAlign w:val="center"/>
          </w:tcPr>
          <w:p w14:paraId="4F485E47" w14:textId="77777777" w:rsidR="00D159DD" w:rsidRPr="00162969" w:rsidRDefault="00D159DD" w:rsidP="00D159DD">
            <w:pPr>
              <w:keepNext/>
              <w:jc w:val="center"/>
              <w:rPr>
                <w:rFonts w:cs="Arial"/>
                <w:b/>
                <w:i/>
                <w:sz w:val="16"/>
              </w:rPr>
            </w:pPr>
            <w:r w:rsidRPr="00162969">
              <w:rPr>
                <w:b/>
                <w:i/>
                <w:sz w:val="16"/>
              </w:rPr>
              <w:t>Change</w:t>
            </w:r>
          </w:p>
        </w:tc>
      </w:tr>
      <w:tr w:rsidR="00C41292" w:rsidRPr="00162969" w14:paraId="69542CA4" w14:textId="77777777" w:rsidTr="00636A78">
        <w:trPr>
          <w:trHeight w:val="284"/>
          <w:jc w:val="center"/>
        </w:trPr>
        <w:tc>
          <w:tcPr>
            <w:tcW w:w="3821" w:type="dxa"/>
            <w:tcBorders>
              <w:top w:val="single" w:sz="4" w:space="0" w:color="30849B"/>
              <w:bottom w:val="dotted" w:sz="4" w:space="0" w:color="30849B"/>
            </w:tcBorders>
            <w:vAlign w:val="center"/>
          </w:tcPr>
          <w:p w14:paraId="3F258781" w14:textId="77777777" w:rsidR="00C41292" w:rsidRPr="00162969" w:rsidRDefault="00C41292" w:rsidP="00C41292">
            <w:pPr>
              <w:keepNext/>
              <w:rPr>
                <w:rFonts w:cs="Arial"/>
                <w:b/>
                <w:sz w:val="16"/>
              </w:rPr>
            </w:pPr>
            <w:r w:rsidRPr="00162969">
              <w:rPr>
                <w:b/>
                <w:sz w:val="16"/>
              </w:rPr>
              <w:t xml:space="preserve">Revenues </w:t>
            </w:r>
          </w:p>
        </w:tc>
        <w:tc>
          <w:tcPr>
            <w:tcW w:w="1757" w:type="dxa"/>
            <w:tcBorders>
              <w:top w:val="single" w:sz="4" w:space="0" w:color="30849B"/>
              <w:bottom w:val="dotted" w:sz="4" w:space="0" w:color="30849B"/>
            </w:tcBorders>
            <w:shd w:val="clear" w:color="auto" w:fill="auto"/>
            <w:vAlign w:val="center"/>
          </w:tcPr>
          <w:p w14:paraId="1DCC464B" w14:textId="77777777" w:rsidR="00C41292" w:rsidRPr="00162969" w:rsidRDefault="00C41292" w:rsidP="00C41292">
            <w:pPr>
              <w:keepNext/>
              <w:ind w:left="-170" w:right="366"/>
              <w:jc w:val="right"/>
              <w:rPr>
                <w:rFonts w:cs="Arial"/>
                <w:b/>
                <w:sz w:val="16"/>
              </w:rPr>
            </w:pPr>
            <w:r w:rsidRPr="00162969">
              <w:rPr>
                <w:rFonts w:ascii="Verdana" w:hAnsi="Verdana"/>
                <w:b/>
                <w:sz w:val="16"/>
              </w:rPr>
              <w:t>6,467</w:t>
            </w:r>
          </w:p>
        </w:tc>
        <w:tc>
          <w:tcPr>
            <w:tcW w:w="1757" w:type="dxa"/>
            <w:tcBorders>
              <w:top w:val="single" w:sz="4" w:space="0" w:color="30849B"/>
              <w:bottom w:val="dotted" w:sz="4" w:space="0" w:color="30849B"/>
            </w:tcBorders>
            <w:shd w:val="clear" w:color="auto" w:fill="BBE7FF" w:themeFill="accent1" w:themeFillTint="33"/>
            <w:vAlign w:val="center"/>
          </w:tcPr>
          <w:p w14:paraId="40B16A56" w14:textId="77777777" w:rsidR="00C41292" w:rsidRPr="00162969" w:rsidRDefault="00C41292" w:rsidP="00C41292">
            <w:pPr>
              <w:keepNext/>
              <w:ind w:left="-170" w:right="429"/>
              <w:jc w:val="right"/>
              <w:rPr>
                <w:rFonts w:cs="Arial"/>
                <w:b/>
                <w:sz w:val="16"/>
              </w:rPr>
            </w:pPr>
            <w:r w:rsidRPr="00162969">
              <w:rPr>
                <w:rFonts w:ascii="Verdana" w:hAnsi="Verdana"/>
                <w:b/>
                <w:sz w:val="16"/>
              </w:rPr>
              <w:t>7,007</w:t>
            </w:r>
          </w:p>
        </w:tc>
        <w:tc>
          <w:tcPr>
            <w:tcW w:w="2588" w:type="dxa"/>
            <w:tcBorders>
              <w:top w:val="single" w:sz="4" w:space="0" w:color="30849B"/>
              <w:bottom w:val="dotted" w:sz="4" w:space="0" w:color="30849B"/>
            </w:tcBorders>
            <w:shd w:val="clear" w:color="auto" w:fill="auto"/>
            <w:vAlign w:val="center"/>
          </w:tcPr>
          <w:p w14:paraId="71493CD5" w14:textId="77777777" w:rsidR="00C41292" w:rsidRPr="00162969" w:rsidRDefault="00C41292" w:rsidP="00C41292">
            <w:pPr>
              <w:keepNext/>
              <w:jc w:val="center"/>
              <w:rPr>
                <w:b/>
                <w:sz w:val="16"/>
              </w:rPr>
            </w:pPr>
            <w:r w:rsidRPr="00162969">
              <w:rPr>
                <w:b/>
                <w:sz w:val="16"/>
              </w:rPr>
              <w:t>+8.4%</w:t>
            </w:r>
          </w:p>
          <w:p w14:paraId="21AF9E2F" w14:textId="77777777" w:rsidR="00C41292" w:rsidRPr="00162969" w:rsidRDefault="00C41292" w:rsidP="00C41292">
            <w:pPr>
              <w:keepNext/>
              <w:jc w:val="center"/>
              <w:rPr>
                <w:rFonts w:cs="Arial"/>
                <w:b/>
                <w:sz w:val="16"/>
              </w:rPr>
            </w:pPr>
            <w:r w:rsidRPr="00162969">
              <w:rPr>
                <w:b/>
                <w:sz w:val="16"/>
              </w:rPr>
              <w:t>+6.2%</w:t>
            </w:r>
            <w:r w:rsidRPr="00162969">
              <w:rPr>
                <w:sz w:val="16"/>
              </w:rPr>
              <w:t xml:space="preserve"> at constant exchange rates</w:t>
            </w:r>
          </w:p>
        </w:tc>
      </w:tr>
      <w:tr w:rsidR="00C41292" w:rsidRPr="00162969" w14:paraId="5B13916F" w14:textId="77777777" w:rsidTr="00636A78">
        <w:trPr>
          <w:trHeight w:val="284"/>
          <w:jc w:val="center"/>
        </w:trPr>
        <w:tc>
          <w:tcPr>
            <w:tcW w:w="3821" w:type="dxa"/>
            <w:tcBorders>
              <w:top w:val="dotted" w:sz="4" w:space="0" w:color="30849B"/>
            </w:tcBorders>
            <w:vAlign w:val="center"/>
          </w:tcPr>
          <w:p w14:paraId="5D4178ED" w14:textId="72E9724F" w:rsidR="00C41292" w:rsidRPr="00162969" w:rsidRDefault="00C41292" w:rsidP="00C41292">
            <w:pPr>
              <w:keepNext/>
              <w:rPr>
                <w:rFonts w:cs="Arial"/>
                <w:b/>
                <w:sz w:val="16"/>
              </w:rPr>
            </w:pPr>
            <w:r w:rsidRPr="00162969">
              <w:rPr>
                <w:b/>
              </w:rPr>
              <w:t>Operating margin</w:t>
            </w:r>
            <w:r w:rsidR="00701F43" w:rsidRPr="00162969">
              <w:rPr>
                <w:rFonts w:ascii="Verdana" w:hAnsi="Verdana" w:cs="Arial"/>
                <w:b/>
                <w:sz w:val="16"/>
                <w:szCs w:val="18"/>
                <w:vertAlign w:val="superscript"/>
              </w:rPr>
              <w:fldChar w:fldCharType="begin"/>
            </w:r>
            <w:r w:rsidR="00701F43" w:rsidRPr="00162969">
              <w:rPr>
                <w:rFonts w:ascii="Verdana" w:hAnsi="Verdana" w:cs="Arial"/>
                <w:b/>
                <w:sz w:val="16"/>
                <w:szCs w:val="18"/>
                <w:vertAlign w:val="superscript"/>
              </w:rPr>
              <w:instrText xml:space="preserve"> NOTEREF _Ref13738408 \h  \* MERGEFORMAT </w:instrText>
            </w:r>
            <w:r w:rsidR="00701F43" w:rsidRPr="00162969">
              <w:rPr>
                <w:rFonts w:ascii="Verdana" w:hAnsi="Verdana" w:cs="Arial"/>
                <w:b/>
                <w:sz w:val="16"/>
                <w:szCs w:val="18"/>
                <w:vertAlign w:val="superscript"/>
              </w:rPr>
            </w:r>
            <w:r w:rsidR="00701F43" w:rsidRPr="00162969">
              <w:rPr>
                <w:rFonts w:ascii="Verdana" w:hAnsi="Verdana" w:cs="Arial"/>
                <w:b/>
                <w:sz w:val="16"/>
                <w:szCs w:val="18"/>
                <w:vertAlign w:val="superscript"/>
              </w:rPr>
              <w:fldChar w:fldCharType="separate"/>
            </w:r>
            <w:r w:rsidR="00BE4A72" w:rsidRPr="00162969">
              <w:rPr>
                <w:sz w:val="16"/>
                <w:szCs w:val="18"/>
                <w:vertAlign w:val="superscript"/>
              </w:rPr>
              <w:t>*</w:t>
            </w:r>
            <w:r w:rsidR="00701F43" w:rsidRPr="00162969">
              <w:rPr>
                <w:rFonts w:ascii="Verdana" w:hAnsi="Verdana" w:cs="Arial"/>
                <w:b/>
                <w:sz w:val="16"/>
                <w:szCs w:val="18"/>
                <w:vertAlign w:val="superscript"/>
              </w:rPr>
              <w:fldChar w:fldCharType="end"/>
            </w:r>
          </w:p>
        </w:tc>
        <w:tc>
          <w:tcPr>
            <w:tcW w:w="1757" w:type="dxa"/>
            <w:tcBorders>
              <w:top w:val="dotted" w:sz="4" w:space="0" w:color="30849B"/>
            </w:tcBorders>
            <w:shd w:val="clear" w:color="auto" w:fill="auto"/>
            <w:vAlign w:val="center"/>
          </w:tcPr>
          <w:p w14:paraId="33C904C6" w14:textId="77777777" w:rsidR="00C41292" w:rsidRPr="00162969" w:rsidRDefault="00C41292" w:rsidP="00C41292">
            <w:pPr>
              <w:keepNext/>
              <w:ind w:left="-170" w:right="366"/>
              <w:jc w:val="right"/>
              <w:rPr>
                <w:rFonts w:cs="Arial"/>
                <w:b/>
                <w:sz w:val="16"/>
              </w:rPr>
            </w:pPr>
            <w:r w:rsidRPr="00162969">
              <w:rPr>
                <w:rFonts w:ascii="Verdana" w:hAnsi="Verdana"/>
                <w:b/>
                <w:sz w:val="16"/>
              </w:rPr>
              <w:t>707</w:t>
            </w:r>
          </w:p>
        </w:tc>
        <w:tc>
          <w:tcPr>
            <w:tcW w:w="1757" w:type="dxa"/>
            <w:tcBorders>
              <w:top w:val="dotted" w:sz="4" w:space="0" w:color="30849B"/>
            </w:tcBorders>
            <w:shd w:val="clear" w:color="auto" w:fill="BBE7FF" w:themeFill="accent1" w:themeFillTint="33"/>
            <w:vAlign w:val="center"/>
          </w:tcPr>
          <w:p w14:paraId="41C8F041" w14:textId="77777777" w:rsidR="00C41292" w:rsidRPr="00162969" w:rsidRDefault="00C41292" w:rsidP="00C41292">
            <w:pPr>
              <w:keepNext/>
              <w:ind w:left="-170" w:right="429"/>
              <w:jc w:val="right"/>
              <w:rPr>
                <w:rFonts w:cs="Arial"/>
                <w:b/>
                <w:sz w:val="16"/>
              </w:rPr>
            </w:pPr>
            <w:r w:rsidRPr="00162969">
              <w:rPr>
                <w:rFonts w:ascii="Verdana" w:hAnsi="Verdana"/>
                <w:b/>
                <w:sz w:val="16"/>
              </w:rPr>
              <w:t>797</w:t>
            </w:r>
          </w:p>
        </w:tc>
        <w:tc>
          <w:tcPr>
            <w:tcW w:w="2588" w:type="dxa"/>
            <w:tcBorders>
              <w:top w:val="dotted" w:sz="4" w:space="0" w:color="30849B"/>
            </w:tcBorders>
            <w:shd w:val="clear" w:color="auto" w:fill="auto"/>
            <w:vAlign w:val="center"/>
          </w:tcPr>
          <w:p w14:paraId="54B5BCA9" w14:textId="77777777" w:rsidR="00C41292" w:rsidRPr="00162969" w:rsidRDefault="00032406" w:rsidP="00C41292">
            <w:pPr>
              <w:keepNext/>
              <w:jc w:val="center"/>
              <w:rPr>
                <w:rFonts w:cs="Arial"/>
                <w:b/>
                <w:sz w:val="16"/>
              </w:rPr>
            </w:pPr>
            <w:r w:rsidRPr="00162969">
              <w:rPr>
                <w:b/>
                <w:sz w:val="16"/>
              </w:rPr>
              <w:t>+13%</w:t>
            </w:r>
          </w:p>
        </w:tc>
      </w:tr>
      <w:tr w:rsidR="00C41292" w:rsidRPr="00162969" w14:paraId="773C8C33" w14:textId="77777777" w:rsidTr="00636A78">
        <w:trPr>
          <w:trHeight w:val="284"/>
          <w:jc w:val="center"/>
        </w:trPr>
        <w:tc>
          <w:tcPr>
            <w:tcW w:w="3821" w:type="dxa"/>
            <w:tcBorders>
              <w:bottom w:val="dotted" w:sz="4" w:space="0" w:color="30849B"/>
            </w:tcBorders>
            <w:vAlign w:val="center"/>
          </w:tcPr>
          <w:p w14:paraId="18BF3AB3" w14:textId="77777777" w:rsidR="00C41292" w:rsidRPr="00162969" w:rsidRDefault="00C41292" w:rsidP="00C41292">
            <w:pPr>
              <w:keepNext/>
              <w:ind w:left="170"/>
              <w:rPr>
                <w:rFonts w:cs="Arial"/>
                <w:i/>
                <w:sz w:val="16"/>
              </w:rPr>
            </w:pPr>
            <w:r w:rsidRPr="00162969">
              <w:rPr>
                <w:i/>
                <w:sz w:val="16"/>
              </w:rPr>
              <w:t>as a % of revenues</w:t>
            </w:r>
          </w:p>
        </w:tc>
        <w:tc>
          <w:tcPr>
            <w:tcW w:w="1757" w:type="dxa"/>
            <w:tcBorders>
              <w:bottom w:val="dotted" w:sz="4" w:space="0" w:color="30849B"/>
            </w:tcBorders>
            <w:shd w:val="clear" w:color="auto" w:fill="auto"/>
            <w:vAlign w:val="center"/>
          </w:tcPr>
          <w:p w14:paraId="7B3BA3AA" w14:textId="77777777" w:rsidR="00C41292" w:rsidRPr="00162969" w:rsidRDefault="00C41292" w:rsidP="00C41292">
            <w:pPr>
              <w:keepNext/>
              <w:ind w:left="-170" w:right="366"/>
              <w:jc w:val="right"/>
              <w:rPr>
                <w:rFonts w:cs="Arial"/>
                <w:i/>
                <w:sz w:val="16"/>
              </w:rPr>
            </w:pPr>
            <w:r w:rsidRPr="00162969">
              <w:rPr>
                <w:rFonts w:ascii="Verdana" w:hAnsi="Verdana"/>
                <w:sz w:val="16"/>
              </w:rPr>
              <w:t>10.9%</w:t>
            </w:r>
          </w:p>
        </w:tc>
        <w:tc>
          <w:tcPr>
            <w:tcW w:w="1757" w:type="dxa"/>
            <w:tcBorders>
              <w:bottom w:val="dotted" w:sz="4" w:space="0" w:color="30849B"/>
            </w:tcBorders>
            <w:shd w:val="clear" w:color="auto" w:fill="BBE7FF" w:themeFill="accent1" w:themeFillTint="33"/>
            <w:vAlign w:val="center"/>
          </w:tcPr>
          <w:p w14:paraId="3A02AB44" w14:textId="77777777" w:rsidR="00C41292" w:rsidRPr="00162969" w:rsidRDefault="00032406" w:rsidP="00C41292">
            <w:pPr>
              <w:keepNext/>
              <w:ind w:left="-170" w:right="429"/>
              <w:jc w:val="right"/>
              <w:rPr>
                <w:rFonts w:cs="Arial"/>
                <w:i/>
                <w:sz w:val="16"/>
              </w:rPr>
            </w:pPr>
            <w:r w:rsidRPr="00162969">
              <w:rPr>
                <w:rFonts w:ascii="Verdana" w:hAnsi="Verdana"/>
                <w:sz w:val="16"/>
              </w:rPr>
              <w:t>11.4%</w:t>
            </w:r>
          </w:p>
        </w:tc>
        <w:tc>
          <w:tcPr>
            <w:tcW w:w="2588" w:type="dxa"/>
            <w:tcBorders>
              <w:bottom w:val="dotted" w:sz="4" w:space="0" w:color="30849B"/>
            </w:tcBorders>
            <w:shd w:val="clear" w:color="auto" w:fill="auto"/>
            <w:vAlign w:val="center"/>
          </w:tcPr>
          <w:p w14:paraId="137128F2" w14:textId="77777777" w:rsidR="00C41292" w:rsidRPr="00162969" w:rsidRDefault="00C41292" w:rsidP="00C41292">
            <w:pPr>
              <w:keepNext/>
              <w:jc w:val="center"/>
              <w:rPr>
                <w:rFonts w:cs="Arial"/>
                <w:b/>
                <w:sz w:val="16"/>
              </w:rPr>
            </w:pPr>
            <w:r w:rsidRPr="00162969">
              <w:rPr>
                <w:b/>
                <w:sz w:val="16"/>
              </w:rPr>
              <w:t>+50 basis points</w:t>
            </w:r>
          </w:p>
        </w:tc>
      </w:tr>
      <w:tr w:rsidR="00C41292" w:rsidRPr="00162969" w14:paraId="077E55CA" w14:textId="77777777" w:rsidTr="00636A78">
        <w:trPr>
          <w:trHeight w:val="284"/>
          <w:jc w:val="center"/>
        </w:trPr>
        <w:tc>
          <w:tcPr>
            <w:tcW w:w="3821" w:type="dxa"/>
            <w:tcBorders>
              <w:top w:val="dotted" w:sz="4" w:space="0" w:color="30849B"/>
            </w:tcBorders>
            <w:vAlign w:val="center"/>
          </w:tcPr>
          <w:p w14:paraId="68DB7AE2" w14:textId="77777777" w:rsidR="00C41292" w:rsidRPr="00162969" w:rsidRDefault="00C41292" w:rsidP="00C41292">
            <w:pPr>
              <w:keepNext/>
              <w:rPr>
                <w:rFonts w:cs="Arial"/>
                <w:b/>
                <w:sz w:val="16"/>
              </w:rPr>
            </w:pPr>
            <w:r w:rsidRPr="00162969">
              <w:rPr>
                <w:b/>
                <w:sz w:val="16"/>
              </w:rPr>
              <w:t>Operating profit</w:t>
            </w:r>
          </w:p>
        </w:tc>
        <w:tc>
          <w:tcPr>
            <w:tcW w:w="1757" w:type="dxa"/>
            <w:tcBorders>
              <w:top w:val="dotted" w:sz="4" w:space="0" w:color="30849B"/>
            </w:tcBorders>
            <w:shd w:val="clear" w:color="auto" w:fill="auto"/>
            <w:vAlign w:val="center"/>
          </w:tcPr>
          <w:p w14:paraId="470621C5" w14:textId="77777777" w:rsidR="00C41292" w:rsidRPr="00162969" w:rsidRDefault="00C41292" w:rsidP="00C41292">
            <w:pPr>
              <w:keepNext/>
              <w:ind w:left="-170" w:right="366"/>
              <w:jc w:val="right"/>
              <w:rPr>
                <w:rFonts w:cs="Arial"/>
                <w:b/>
                <w:sz w:val="16"/>
              </w:rPr>
            </w:pPr>
            <w:r w:rsidRPr="00162969">
              <w:rPr>
                <w:rFonts w:ascii="Verdana" w:hAnsi="Verdana"/>
                <w:b/>
                <w:sz w:val="16"/>
              </w:rPr>
              <w:t>521</w:t>
            </w:r>
          </w:p>
        </w:tc>
        <w:tc>
          <w:tcPr>
            <w:tcW w:w="1757" w:type="dxa"/>
            <w:tcBorders>
              <w:top w:val="dotted" w:sz="4" w:space="0" w:color="30849B"/>
            </w:tcBorders>
            <w:shd w:val="clear" w:color="auto" w:fill="BBE7FF" w:themeFill="accent1" w:themeFillTint="33"/>
            <w:vAlign w:val="center"/>
          </w:tcPr>
          <w:p w14:paraId="514A4B19" w14:textId="77777777" w:rsidR="00C41292" w:rsidRPr="00162969" w:rsidRDefault="00032406" w:rsidP="00C41292">
            <w:pPr>
              <w:keepNext/>
              <w:ind w:left="-170" w:right="429"/>
              <w:jc w:val="right"/>
              <w:rPr>
                <w:rFonts w:cs="Arial"/>
                <w:b/>
                <w:sz w:val="16"/>
              </w:rPr>
            </w:pPr>
            <w:r w:rsidRPr="00162969">
              <w:rPr>
                <w:rFonts w:ascii="Verdana" w:hAnsi="Verdana"/>
                <w:b/>
                <w:sz w:val="16"/>
              </w:rPr>
              <w:t>658</w:t>
            </w:r>
          </w:p>
        </w:tc>
        <w:tc>
          <w:tcPr>
            <w:tcW w:w="2588" w:type="dxa"/>
            <w:tcBorders>
              <w:top w:val="dotted" w:sz="4" w:space="0" w:color="30849B"/>
            </w:tcBorders>
            <w:shd w:val="clear" w:color="auto" w:fill="auto"/>
            <w:vAlign w:val="center"/>
          </w:tcPr>
          <w:p w14:paraId="2A2FD154" w14:textId="77777777" w:rsidR="00C41292" w:rsidRPr="00162969" w:rsidRDefault="00C41292" w:rsidP="00C41292">
            <w:pPr>
              <w:keepNext/>
              <w:jc w:val="center"/>
              <w:rPr>
                <w:rFonts w:cs="Arial"/>
                <w:b/>
                <w:sz w:val="16"/>
              </w:rPr>
            </w:pPr>
          </w:p>
        </w:tc>
      </w:tr>
      <w:tr w:rsidR="00C41292" w:rsidRPr="00162969" w14:paraId="186BB093" w14:textId="77777777" w:rsidTr="00636A78">
        <w:trPr>
          <w:trHeight w:val="284"/>
          <w:jc w:val="center"/>
        </w:trPr>
        <w:tc>
          <w:tcPr>
            <w:tcW w:w="3821" w:type="dxa"/>
            <w:tcBorders>
              <w:bottom w:val="dotted" w:sz="4" w:space="0" w:color="30849B"/>
            </w:tcBorders>
            <w:vAlign w:val="center"/>
          </w:tcPr>
          <w:p w14:paraId="14ADEACC" w14:textId="77777777" w:rsidR="00C41292" w:rsidRPr="00162969" w:rsidRDefault="00C41292" w:rsidP="00C41292">
            <w:pPr>
              <w:keepNext/>
              <w:ind w:left="170"/>
              <w:rPr>
                <w:rFonts w:cs="Arial"/>
                <w:i/>
                <w:sz w:val="16"/>
              </w:rPr>
            </w:pPr>
            <w:r w:rsidRPr="00162969">
              <w:rPr>
                <w:i/>
                <w:sz w:val="16"/>
              </w:rPr>
              <w:t>as a % of revenues</w:t>
            </w:r>
          </w:p>
        </w:tc>
        <w:tc>
          <w:tcPr>
            <w:tcW w:w="1757" w:type="dxa"/>
            <w:tcBorders>
              <w:bottom w:val="dotted" w:sz="4" w:space="0" w:color="30849B"/>
            </w:tcBorders>
            <w:shd w:val="clear" w:color="auto" w:fill="auto"/>
            <w:vAlign w:val="center"/>
          </w:tcPr>
          <w:p w14:paraId="6F15415D" w14:textId="77777777" w:rsidR="00C41292" w:rsidRPr="00162969" w:rsidRDefault="00C41292" w:rsidP="00C41292">
            <w:pPr>
              <w:keepNext/>
              <w:ind w:left="-170" w:right="366"/>
              <w:jc w:val="right"/>
              <w:rPr>
                <w:rFonts w:cs="Arial"/>
                <w:i/>
                <w:sz w:val="16"/>
              </w:rPr>
            </w:pPr>
            <w:r w:rsidRPr="00162969">
              <w:rPr>
                <w:rFonts w:ascii="Verdana" w:hAnsi="Verdana"/>
                <w:sz w:val="16"/>
              </w:rPr>
              <w:t>8.0%</w:t>
            </w:r>
          </w:p>
        </w:tc>
        <w:tc>
          <w:tcPr>
            <w:tcW w:w="1757" w:type="dxa"/>
            <w:tcBorders>
              <w:bottom w:val="dotted" w:sz="4" w:space="0" w:color="30849B"/>
            </w:tcBorders>
            <w:shd w:val="clear" w:color="auto" w:fill="BBE7FF" w:themeFill="accent1" w:themeFillTint="33"/>
            <w:vAlign w:val="center"/>
          </w:tcPr>
          <w:p w14:paraId="1D7981E7" w14:textId="77777777" w:rsidR="00C41292" w:rsidRPr="00162969" w:rsidRDefault="00032406" w:rsidP="00C41292">
            <w:pPr>
              <w:keepNext/>
              <w:ind w:left="-170" w:right="429"/>
              <w:jc w:val="right"/>
              <w:rPr>
                <w:rFonts w:cs="Arial"/>
                <w:i/>
                <w:sz w:val="16"/>
              </w:rPr>
            </w:pPr>
            <w:r w:rsidRPr="00162969">
              <w:rPr>
                <w:rFonts w:ascii="Verdana" w:hAnsi="Verdana"/>
                <w:sz w:val="16"/>
              </w:rPr>
              <w:t>9.4%</w:t>
            </w:r>
          </w:p>
        </w:tc>
        <w:tc>
          <w:tcPr>
            <w:tcW w:w="2588" w:type="dxa"/>
            <w:tcBorders>
              <w:bottom w:val="dotted" w:sz="4" w:space="0" w:color="30849B"/>
            </w:tcBorders>
            <w:shd w:val="clear" w:color="auto" w:fill="auto"/>
            <w:vAlign w:val="center"/>
          </w:tcPr>
          <w:p w14:paraId="59792ACC" w14:textId="77777777" w:rsidR="00C41292" w:rsidRPr="00162969" w:rsidRDefault="00C41292" w:rsidP="00C41292">
            <w:pPr>
              <w:keepNext/>
              <w:jc w:val="center"/>
              <w:rPr>
                <w:rFonts w:cs="Arial"/>
                <w:i/>
                <w:sz w:val="16"/>
              </w:rPr>
            </w:pPr>
          </w:p>
        </w:tc>
      </w:tr>
      <w:tr w:rsidR="00C41292" w:rsidRPr="00162969" w14:paraId="60EF98B1" w14:textId="77777777" w:rsidTr="00636A78">
        <w:trPr>
          <w:trHeight w:val="284"/>
          <w:jc w:val="center"/>
        </w:trPr>
        <w:tc>
          <w:tcPr>
            <w:tcW w:w="3821" w:type="dxa"/>
            <w:tcBorders>
              <w:top w:val="dotted" w:sz="4" w:space="0" w:color="30849B"/>
            </w:tcBorders>
            <w:vAlign w:val="center"/>
          </w:tcPr>
          <w:p w14:paraId="7661B06B" w14:textId="77777777" w:rsidR="00C41292" w:rsidRPr="00162969" w:rsidRDefault="00C41292" w:rsidP="00C41292">
            <w:pPr>
              <w:keepNext/>
              <w:rPr>
                <w:rFonts w:cs="Arial"/>
                <w:b/>
                <w:sz w:val="16"/>
              </w:rPr>
            </w:pPr>
            <w:r w:rsidRPr="00162969">
              <w:rPr>
                <w:b/>
                <w:sz w:val="16"/>
              </w:rPr>
              <w:t>Net profit (Group share)</w:t>
            </w:r>
          </w:p>
        </w:tc>
        <w:tc>
          <w:tcPr>
            <w:tcW w:w="1757" w:type="dxa"/>
            <w:tcBorders>
              <w:top w:val="dotted" w:sz="4" w:space="0" w:color="30849B"/>
            </w:tcBorders>
            <w:shd w:val="clear" w:color="auto" w:fill="auto"/>
            <w:vAlign w:val="center"/>
          </w:tcPr>
          <w:p w14:paraId="1CBA01D8" w14:textId="77777777" w:rsidR="00C41292" w:rsidRPr="00162969" w:rsidRDefault="00C41292" w:rsidP="00C41292">
            <w:pPr>
              <w:keepNext/>
              <w:ind w:left="-170" w:right="366"/>
              <w:jc w:val="right"/>
              <w:rPr>
                <w:rFonts w:cs="Arial"/>
                <w:b/>
                <w:sz w:val="16"/>
              </w:rPr>
            </w:pPr>
            <w:r w:rsidRPr="00162969">
              <w:rPr>
                <w:rFonts w:ascii="Verdana" w:hAnsi="Verdana"/>
                <w:b/>
                <w:sz w:val="16"/>
              </w:rPr>
              <w:t>314</w:t>
            </w:r>
          </w:p>
        </w:tc>
        <w:tc>
          <w:tcPr>
            <w:tcW w:w="1757" w:type="dxa"/>
            <w:tcBorders>
              <w:top w:val="dotted" w:sz="4" w:space="0" w:color="30849B"/>
            </w:tcBorders>
            <w:shd w:val="clear" w:color="auto" w:fill="BBE7FF" w:themeFill="accent1" w:themeFillTint="33"/>
            <w:vAlign w:val="center"/>
          </w:tcPr>
          <w:p w14:paraId="26E57072" w14:textId="77777777" w:rsidR="00C41292" w:rsidRPr="00162969" w:rsidRDefault="00032406" w:rsidP="00C41292">
            <w:pPr>
              <w:keepNext/>
              <w:ind w:left="-170" w:right="429"/>
              <w:jc w:val="right"/>
              <w:rPr>
                <w:rFonts w:cs="Arial"/>
                <w:b/>
                <w:sz w:val="16"/>
              </w:rPr>
            </w:pPr>
            <w:r w:rsidRPr="00162969">
              <w:rPr>
                <w:rFonts w:ascii="Verdana" w:hAnsi="Verdana"/>
                <w:b/>
                <w:sz w:val="16"/>
              </w:rPr>
              <w:t>388</w:t>
            </w:r>
          </w:p>
        </w:tc>
        <w:tc>
          <w:tcPr>
            <w:tcW w:w="2588" w:type="dxa"/>
            <w:tcBorders>
              <w:top w:val="dotted" w:sz="4" w:space="0" w:color="30849B"/>
            </w:tcBorders>
            <w:shd w:val="clear" w:color="auto" w:fill="auto"/>
            <w:vAlign w:val="center"/>
          </w:tcPr>
          <w:p w14:paraId="4B178900" w14:textId="77777777" w:rsidR="00C41292" w:rsidRPr="00162969" w:rsidRDefault="00032406" w:rsidP="00C41292">
            <w:pPr>
              <w:keepNext/>
              <w:jc w:val="center"/>
              <w:rPr>
                <w:rFonts w:cs="Arial"/>
                <w:b/>
                <w:sz w:val="16"/>
              </w:rPr>
            </w:pPr>
            <w:r w:rsidRPr="00162969">
              <w:rPr>
                <w:b/>
                <w:sz w:val="16"/>
              </w:rPr>
              <w:t>+23%</w:t>
            </w:r>
          </w:p>
        </w:tc>
      </w:tr>
      <w:tr w:rsidR="00C41292" w:rsidRPr="00162969" w14:paraId="703877B8" w14:textId="77777777" w:rsidTr="00636A78">
        <w:trPr>
          <w:trHeight w:val="284"/>
          <w:jc w:val="center"/>
        </w:trPr>
        <w:tc>
          <w:tcPr>
            <w:tcW w:w="3821" w:type="dxa"/>
            <w:vAlign w:val="center"/>
          </w:tcPr>
          <w:p w14:paraId="62C1BA61" w14:textId="77777777" w:rsidR="00C41292" w:rsidRPr="00162969" w:rsidRDefault="00C41292" w:rsidP="00C41292">
            <w:pPr>
              <w:keepNext/>
              <w:ind w:left="170"/>
              <w:rPr>
                <w:rFonts w:cs="Arial"/>
                <w:sz w:val="16"/>
              </w:rPr>
            </w:pPr>
            <w:r w:rsidRPr="00162969">
              <w:rPr>
                <w:sz w:val="16"/>
              </w:rPr>
              <w:t>Basic earnings per share (€)</w:t>
            </w:r>
          </w:p>
        </w:tc>
        <w:tc>
          <w:tcPr>
            <w:tcW w:w="1757" w:type="dxa"/>
            <w:shd w:val="clear" w:color="auto" w:fill="auto"/>
            <w:vAlign w:val="center"/>
          </w:tcPr>
          <w:p w14:paraId="3D1813A6" w14:textId="77777777" w:rsidR="00C41292" w:rsidRPr="00162969" w:rsidRDefault="00C41292" w:rsidP="00C41292">
            <w:pPr>
              <w:keepNext/>
              <w:ind w:left="-170" w:right="366"/>
              <w:jc w:val="right"/>
              <w:rPr>
                <w:rFonts w:cs="Arial"/>
                <w:sz w:val="16"/>
              </w:rPr>
            </w:pPr>
            <w:r w:rsidRPr="00162969">
              <w:rPr>
                <w:sz w:val="16"/>
              </w:rPr>
              <w:t>1.88</w:t>
            </w:r>
          </w:p>
        </w:tc>
        <w:tc>
          <w:tcPr>
            <w:tcW w:w="1757" w:type="dxa"/>
            <w:shd w:val="clear" w:color="auto" w:fill="BBE7FF" w:themeFill="accent1" w:themeFillTint="33"/>
            <w:vAlign w:val="center"/>
          </w:tcPr>
          <w:p w14:paraId="5FB69D2C" w14:textId="77777777" w:rsidR="00C41292" w:rsidRPr="00162969" w:rsidRDefault="00CB7DEC" w:rsidP="00C41292">
            <w:pPr>
              <w:keepNext/>
              <w:ind w:left="-170" w:right="429"/>
              <w:jc w:val="right"/>
              <w:rPr>
                <w:rFonts w:cs="Arial"/>
                <w:sz w:val="16"/>
              </w:rPr>
            </w:pPr>
            <w:r w:rsidRPr="00162969">
              <w:rPr>
                <w:sz w:val="16"/>
              </w:rPr>
              <w:t>2.34</w:t>
            </w:r>
          </w:p>
        </w:tc>
        <w:tc>
          <w:tcPr>
            <w:tcW w:w="2588" w:type="dxa"/>
            <w:shd w:val="clear" w:color="auto" w:fill="auto"/>
            <w:vAlign w:val="center"/>
          </w:tcPr>
          <w:p w14:paraId="7BB880F7" w14:textId="77777777" w:rsidR="00C41292" w:rsidRPr="00162969" w:rsidRDefault="00CB7DEC" w:rsidP="00C41292">
            <w:pPr>
              <w:keepNext/>
              <w:jc w:val="center"/>
              <w:rPr>
                <w:rFonts w:cs="Arial"/>
                <w:sz w:val="16"/>
              </w:rPr>
            </w:pPr>
            <w:r w:rsidRPr="00162969">
              <w:rPr>
                <w:sz w:val="16"/>
              </w:rPr>
              <w:t>+24%</w:t>
            </w:r>
          </w:p>
        </w:tc>
      </w:tr>
      <w:tr w:rsidR="00C41292" w:rsidRPr="00162969" w14:paraId="083353B9" w14:textId="77777777" w:rsidTr="00636A78">
        <w:trPr>
          <w:trHeight w:val="284"/>
          <w:jc w:val="center"/>
        </w:trPr>
        <w:tc>
          <w:tcPr>
            <w:tcW w:w="3821" w:type="dxa"/>
            <w:tcBorders>
              <w:bottom w:val="single" w:sz="4" w:space="0" w:color="0070AD" w:themeColor="accent1"/>
            </w:tcBorders>
            <w:vAlign w:val="center"/>
          </w:tcPr>
          <w:p w14:paraId="4155AE94" w14:textId="77777777" w:rsidR="00C41292" w:rsidRPr="00162969" w:rsidRDefault="00C41292" w:rsidP="00C41292">
            <w:pPr>
              <w:keepNext/>
              <w:ind w:left="170"/>
              <w:rPr>
                <w:rFonts w:cs="Arial"/>
                <w:sz w:val="16"/>
              </w:rPr>
            </w:pPr>
            <w:r w:rsidRPr="00162969">
              <w:rPr>
                <w:sz w:val="16"/>
              </w:rPr>
              <w:t>Normalized earnings per share (</w:t>
            </w:r>
            <w:proofErr w:type="gramStart"/>
            <w:r w:rsidRPr="00162969">
              <w:rPr>
                <w:sz w:val="16"/>
              </w:rPr>
              <w:t>€)*</w:t>
            </w:r>
            <w:proofErr w:type="gramEnd"/>
          </w:p>
        </w:tc>
        <w:tc>
          <w:tcPr>
            <w:tcW w:w="1757" w:type="dxa"/>
            <w:tcBorders>
              <w:bottom w:val="single" w:sz="4" w:space="0" w:color="0070AD" w:themeColor="accent1"/>
            </w:tcBorders>
            <w:shd w:val="clear" w:color="auto" w:fill="auto"/>
            <w:vAlign w:val="center"/>
          </w:tcPr>
          <w:p w14:paraId="0F172A6D" w14:textId="77777777" w:rsidR="00C41292" w:rsidRPr="00162969" w:rsidRDefault="00C41292" w:rsidP="00F3550E">
            <w:pPr>
              <w:keepNext/>
              <w:ind w:left="-170" w:right="259"/>
              <w:jc w:val="right"/>
              <w:rPr>
                <w:rFonts w:cs="Arial"/>
                <w:sz w:val="16"/>
              </w:rPr>
            </w:pPr>
            <w:r w:rsidRPr="00162969">
              <w:rPr>
                <w:rFonts w:ascii="Verdana" w:hAnsi="Verdana"/>
                <w:sz w:val="16"/>
              </w:rPr>
              <w:t>2.75</w:t>
            </w:r>
            <w:r w:rsidRPr="00162969">
              <w:rPr>
                <w:sz w:val="16"/>
                <w:vertAlign w:val="superscript"/>
              </w:rPr>
              <w:t xml:space="preserve"> a</w:t>
            </w:r>
          </w:p>
        </w:tc>
        <w:tc>
          <w:tcPr>
            <w:tcW w:w="1757" w:type="dxa"/>
            <w:tcBorders>
              <w:bottom w:val="single" w:sz="4" w:space="0" w:color="0070AD" w:themeColor="accent1"/>
            </w:tcBorders>
            <w:shd w:val="clear" w:color="auto" w:fill="BBE7FF" w:themeFill="accent1" w:themeFillTint="33"/>
            <w:vAlign w:val="center"/>
          </w:tcPr>
          <w:p w14:paraId="06C35617" w14:textId="77777777" w:rsidR="00C41292" w:rsidRPr="00162969" w:rsidRDefault="00CB7DEC" w:rsidP="00C41292">
            <w:pPr>
              <w:keepNext/>
              <w:ind w:left="-170" w:right="319"/>
              <w:jc w:val="right"/>
              <w:rPr>
                <w:rFonts w:cs="Arial"/>
                <w:sz w:val="16"/>
              </w:rPr>
            </w:pPr>
            <w:r w:rsidRPr="00162969">
              <w:rPr>
                <w:rFonts w:ascii="Verdana" w:hAnsi="Verdana"/>
                <w:sz w:val="16"/>
              </w:rPr>
              <w:t>3.08</w:t>
            </w:r>
            <w:r w:rsidRPr="00162969">
              <w:rPr>
                <w:sz w:val="16"/>
                <w:vertAlign w:val="superscript"/>
              </w:rPr>
              <w:t xml:space="preserve"> a</w:t>
            </w:r>
          </w:p>
        </w:tc>
        <w:tc>
          <w:tcPr>
            <w:tcW w:w="2588" w:type="dxa"/>
            <w:tcBorders>
              <w:bottom w:val="single" w:sz="4" w:space="0" w:color="0070AD" w:themeColor="accent1"/>
            </w:tcBorders>
            <w:shd w:val="clear" w:color="auto" w:fill="auto"/>
            <w:vAlign w:val="center"/>
          </w:tcPr>
          <w:p w14:paraId="0ECA7691" w14:textId="77777777" w:rsidR="00C41292" w:rsidRPr="00162969" w:rsidRDefault="00C41292" w:rsidP="00C41292">
            <w:pPr>
              <w:keepNext/>
              <w:jc w:val="center"/>
              <w:rPr>
                <w:rFonts w:cs="Arial"/>
                <w:sz w:val="16"/>
              </w:rPr>
            </w:pPr>
            <w:r w:rsidRPr="00162969">
              <w:rPr>
                <w:sz w:val="16"/>
              </w:rPr>
              <w:t xml:space="preserve"> +12%</w:t>
            </w:r>
          </w:p>
        </w:tc>
      </w:tr>
      <w:tr w:rsidR="00C41292" w:rsidRPr="00162969" w14:paraId="5AA07EA9" w14:textId="77777777" w:rsidTr="00636A78">
        <w:trPr>
          <w:trHeight w:val="284"/>
          <w:jc w:val="center"/>
        </w:trPr>
        <w:tc>
          <w:tcPr>
            <w:tcW w:w="3821" w:type="dxa"/>
            <w:tcBorders>
              <w:top w:val="single" w:sz="4" w:space="0" w:color="0070AD" w:themeColor="accent1"/>
            </w:tcBorders>
            <w:vAlign w:val="center"/>
          </w:tcPr>
          <w:p w14:paraId="341F98C7" w14:textId="77777777" w:rsidR="00C41292" w:rsidRPr="00162969" w:rsidRDefault="00C41292" w:rsidP="00C41292">
            <w:pPr>
              <w:keepNext/>
              <w:rPr>
                <w:rFonts w:cs="Arial"/>
                <w:sz w:val="16"/>
              </w:rPr>
            </w:pPr>
            <w:r w:rsidRPr="00162969">
              <w:rPr>
                <w:b/>
                <w:sz w:val="16"/>
              </w:rPr>
              <w:t>Organic Free Cash Flow *</w:t>
            </w:r>
          </w:p>
        </w:tc>
        <w:tc>
          <w:tcPr>
            <w:tcW w:w="1757" w:type="dxa"/>
            <w:tcBorders>
              <w:top w:val="single" w:sz="4" w:space="0" w:color="0070AD" w:themeColor="accent1"/>
            </w:tcBorders>
            <w:shd w:val="clear" w:color="auto" w:fill="auto"/>
            <w:vAlign w:val="center"/>
          </w:tcPr>
          <w:p w14:paraId="3B34E974" w14:textId="6E07E70C" w:rsidR="00C41292" w:rsidRPr="00162969" w:rsidRDefault="00C41292" w:rsidP="00C41292">
            <w:pPr>
              <w:keepNext/>
              <w:ind w:left="-170" w:right="366"/>
              <w:jc w:val="right"/>
              <w:rPr>
                <w:rFonts w:cs="Arial"/>
                <w:b/>
                <w:sz w:val="16"/>
              </w:rPr>
            </w:pPr>
            <w:r w:rsidRPr="00162969">
              <w:rPr>
                <w:b/>
                <w:sz w:val="16"/>
              </w:rPr>
              <w:t>11</w:t>
            </w:r>
          </w:p>
        </w:tc>
        <w:tc>
          <w:tcPr>
            <w:tcW w:w="1757" w:type="dxa"/>
            <w:tcBorders>
              <w:top w:val="single" w:sz="4" w:space="0" w:color="0070AD" w:themeColor="accent1"/>
            </w:tcBorders>
            <w:shd w:val="clear" w:color="auto" w:fill="BBE7FF" w:themeFill="accent1" w:themeFillTint="33"/>
            <w:vAlign w:val="center"/>
          </w:tcPr>
          <w:p w14:paraId="77ECD4D7" w14:textId="4037AC53" w:rsidR="00C41292" w:rsidRPr="00162969" w:rsidRDefault="00C41292" w:rsidP="00C41292">
            <w:pPr>
              <w:keepNext/>
              <w:ind w:left="-170" w:right="429"/>
              <w:jc w:val="right"/>
              <w:rPr>
                <w:rFonts w:cs="Arial"/>
                <w:b/>
                <w:sz w:val="16"/>
              </w:rPr>
            </w:pPr>
            <w:r w:rsidRPr="00162969">
              <w:rPr>
                <w:b/>
                <w:sz w:val="16"/>
              </w:rPr>
              <w:t>90</w:t>
            </w:r>
          </w:p>
        </w:tc>
        <w:tc>
          <w:tcPr>
            <w:tcW w:w="2588" w:type="dxa"/>
            <w:tcBorders>
              <w:top w:val="single" w:sz="4" w:space="0" w:color="0070AD" w:themeColor="accent1"/>
            </w:tcBorders>
            <w:shd w:val="clear" w:color="auto" w:fill="auto"/>
            <w:vAlign w:val="center"/>
          </w:tcPr>
          <w:p w14:paraId="53AE23CE" w14:textId="77777777" w:rsidR="00C41292" w:rsidRPr="00162969" w:rsidRDefault="008B29EF" w:rsidP="00C41292">
            <w:pPr>
              <w:keepNext/>
              <w:jc w:val="center"/>
              <w:rPr>
                <w:rFonts w:cs="Arial"/>
                <w:b/>
                <w:sz w:val="16"/>
              </w:rPr>
            </w:pPr>
            <w:r w:rsidRPr="00162969">
              <w:rPr>
                <w:b/>
                <w:sz w:val="16"/>
              </w:rPr>
              <w:t>+€79 million</w:t>
            </w:r>
          </w:p>
        </w:tc>
      </w:tr>
      <w:tr w:rsidR="00C41292" w:rsidRPr="00162969" w14:paraId="7A60A973" w14:textId="77777777" w:rsidTr="00636A78">
        <w:trPr>
          <w:trHeight w:val="284"/>
          <w:jc w:val="center"/>
        </w:trPr>
        <w:tc>
          <w:tcPr>
            <w:tcW w:w="3821" w:type="dxa"/>
            <w:tcBorders>
              <w:bottom w:val="single" w:sz="4" w:space="0" w:color="0070AD" w:themeColor="accent1"/>
            </w:tcBorders>
            <w:vAlign w:val="center"/>
          </w:tcPr>
          <w:p w14:paraId="5A27F7A7" w14:textId="068E4E1F" w:rsidR="00C41292" w:rsidRPr="00162969" w:rsidRDefault="00C41292" w:rsidP="00C41292">
            <w:pPr>
              <w:keepNext/>
              <w:rPr>
                <w:rFonts w:cs="Arial"/>
                <w:sz w:val="16"/>
              </w:rPr>
            </w:pPr>
            <w:r w:rsidRPr="00162969">
              <w:rPr>
                <w:sz w:val="16"/>
              </w:rPr>
              <w:t>Net cash and cash equivalents / (Net debt)</w:t>
            </w:r>
            <w:r w:rsidR="00E23DEE" w:rsidRPr="00162969">
              <w:rPr>
                <w:sz w:val="16"/>
                <w:vertAlign w:val="superscript"/>
              </w:rPr>
              <w:fldChar w:fldCharType="begin"/>
            </w:r>
            <w:r w:rsidR="00E23DEE" w:rsidRPr="00162969">
              <w:rPr>
                <w:sz w:val="16"/>
                <w:vertAlign w:val="superscript"/>
              </w:rPr>
              <w:instrText xml:space="preserve"> NOTEREF _Ref13738408 \h  \* MERGEFORMAT </w:instrText>
            </w:r>
            <w:r w:rsidR="00E23DEE" w:rsidRPr="00162969">
              <w:rPr>
                <w:sz w:val="16"/>
                <w:vertAlign w:val="superscript"/>
              </w:rPr>
            </w:r>
            <w:r w:rsidR="00E23DEE" w:rsidRPr="00162969">
              <w:rPr>
                <w:sz w:val="16"/>
                <w:vertAlign w:val="superscript"/>
              </w:rPr>
              <w:fldChar w:fldCharType="separate"/>
            </w:r>
            <w:r w:rsidR="00BE4A72" w:rsidRPr="00162969">
              <w:rPr>
                <w:vertAlign w:val="superscript"/>
              </w:rPr>
              <w:t>*</w:t>
            </w:r>
            <w:r w:rsidR="00E23DEE" w:rsidRPr="00162969">
              <w:rPr>
                <w:sz w:val="16"/>
                <w:vertAlign w:val="superscript"/>
              </w:rPr>
              <w:fldChar w:fldCharType="end"/>
            </w:r>
          </w:p>
        </w:tc>
        <w:tc>
          <w:tcPr>
            <w:tcW w:w="1757" w:type="dxa"/>
            <w:tcBorders>
              <w:bottom w:val="single" w:sz="4" w:space="0" w:color="0070AD" w:themeColor="accent1"/>
            </w:tcBorders>
            <w:shd w:val="clear" w:color="auto" w:fill="auto"/>
            <w:vAlign w:val="center"/>
          </w:tcPr>
          <w:p w14:paraId="4A54AED7" w14:textId="77777777" w:rsidR="00C41292" w:rsidRPr="00162969" w:rsidRDefault="00C41292" w:rsidP="00C41292">
            <w:pPr>
              <w:keepNext/>
              <w:ind w:left="-170" w:right="366"/>
              <w:jc w:val="right"/>
              <w:rPr>
                <w:rFonts w:cs="Arial"/>
                <w:sz w:val="16"/>
              </w:rPr>
            </w:pPr>
            <w:r w:rsidRPr="00162969">
              <w:rPr>
                <w:rFonts w:ascii="Verdana" w:hAnsi="Verdana"/>
                <w:sz w:val="16"/>
              </w:rPr>
              <w:t>(2,192)</w:t>
            </w:r>
          </w:p>
        </w:tc>
        <w:tc>
          <w:tcPr>
            <w:tcW w:w="1757" w:type="dxa"/>
            <w:tcBorders>
              <w:bottom w:val="single" w:sz="4" w:space="0" w:color="0070AD" w:themeColor="accent1"/>
            </w:tcBorders>
            <w:shd w:val="clear" w:color="auto" w:fill="BBE7FF" w:themeFill="accent1" w:themeFillTint="33"/>
            <w:vAlign w:val="center"/>
          </w:tcPr>
          <w:p w14:paraId="2DC43A89" w14:textId="77777777" w:rsidR="00C41292" w:rsidRPr="00162969" w:rsidRDefault="00C41292" w:rsidP="00C41292">
            <w:pPr>
              <w:keepNext/>
              <w:ind w:left="-170" w:right="429"/>
              <w:jc w:val="right"/>
              <w:rPr>
                <w:rFonts w:cs="Arial"/>
                <w:sz w:val="16"/>
              </w:rPr>
            </w:pPr>
            <w:r w:rsidRPr="00162969">
              <w:rPr>
                <w:rFonts w:ascii="Verdana" w:hAnsi="Verdana"/>
                <w:sz w:val="16"/>
              </w:rPr>
              <w:t>(1,621)</w:t>
            </w:r>
          </w:p>
        </w:tc>
        <w:tc>
          <w:tcPr>
            <w:tcW w:w="2588" w:type="dxa"/>
            <w:tcBorders>
              <w:bottom w:val="single" w:sz="4" w:space="0" w:color="0070AD" w:themeColor="accent1"/>
            </w:tcBorders>
            <w:shd w:val="clear" w:color="auto" w:fill="auto"/>
            <w:vAlign w:val="center"/>
          </w:tcPr>
          <w:p w14:paraId="5C0657BC" w14:textId="77777777" w:rsidR="00C41292" w:rsidRPr="00162969" w:rsidRDefault="00F3550E" w:rsidP="00C41292">
            <w:pPr>
              <w:keepNext/>
              <w:jc w:val="center"/>
              <w:rPr>
                <w:rFonts w:cs="Arial"/>
                <w:sz w:val="16"/>
              </w:rPr>
            </w:pPr>
            <w:r w:rsidRPr="00162969">
              <w:rPr>
                <w:sz w:val="16"/>
              </w:rPr>
              <w:t>+€571 million</w:t>
            </w:r>
          </w:p>
        </w:tc>
      </w:tr>
      <w:tr w:rsidR="00D159DD" w:rsidRPr="00162969" w14:paraId="7B4ED24A" w14:textId="77777777" w:rsidTr="00636A78">
        <w:trPr>
          <w:trHeight w:val="284"/>
          <w:jc w:val="center"/>
        </w:trPr>
        <w:tc>
          <w:tcPr>
            <w:tcW w:w="9923" w:type="dxa"/>
            <w:gridSpan w:val="4"/>
            <w:tcBorders>
              <w:top w:val="single" w:sz="4" w:space="0" w:color="0070AD" w:themeColor="accent1"/>
            </w:tcBorders>
            <w:vAlign w:val="center"/>
          </w:tcPr>
          <w:p w14:paraId="69519F08" w14:textId="77777777" w:rsidR="00D159DD" w:rsidRPr="00162969" w:rsidRDefault="00D159DD" w:rsidP="00801C65">
            <w:pPr>
              <w:keepNext/>
              <w:jc w:val="left"/>
              <w:rPr>
                <w:rFonts w:cs="Arial"/>
                <w:sz w:val="16"/>
              </w:rPr>
            </w:pPr>
            <w:proofErr w:type="spellStart"/>
            <w:r w:rsidRPr="00162969">
              <w:rPr>
                <w:sz w:val="16"/>
                <w:vertAlign w:val="superscript"/>
              </w:rPr>
              <w:t>a</w:t>
            </w:r>
            <w:proofErr w:type="spellEnd"/>
            <w:r w:rsidRPr="00162969">
              <w:rPr>
                <w:sz w:val="16"/>
              </w:rPr>
              <w:t xml:space="preserve"> </w:t>
            </w:r>
            <w:bookmarkStart w:id="4" w:name="_Hlk520146869"/>
            <w:r w:rsidR="00801C65" w:rsidRPr="00162969">
              <w:rPr>
                <w:sz w:val="12"/>
              </w:rPr>
              <w:t>Excluding recognition of the</w:t>
            </w:r>
            <w:r w:rsidRPr="00162969">
              <w:rPr>
                <w:sz w:val="12"/>
              </w:rPr>
              <w:t xml:space="preserve"> income tax expense due to the transitional impact of tax reforms in the U.S.</w:t>
            </w:r>
            <w:bookmarkEnd w:id="4"/>
            <w:r w:rsidRPr="00162969">
              <w:rPr>
                <w:sz w:val="12"/>
              </w:rPr>
              <w:t xml:space="preserve"> of €18 million in 2018 and €30 million in 2019.</w:t>
            </w:r>
          </w:p>
        </w:tc>
      </w:tr>
    </w:tbl>
    <w:p w14:paraId="19E65FAA" w14:textId="77777777" w:rsidR="00D159DD" w:rsidRPr="00162969" w:rsidRDefault="00D159DD" w:rsidP="00B00202">
      <w:pPr>
        <w:spacing w:before="120" w:after="120"/>
        <w:rPr>
          <w:rFonts w:ascii="Verdana" w:hAnsi="Verdana" w:cs="Arial"/>
        </w:rPr>
      </w:pPr>
    </w:p>
    <w:p w14:paraId="35F0BD1F" w14:textId="3BFDD760" w:rsidR="0079218C" w:rsidRPr="00162969" w:rsidRDefault="00B00202" w:rsidP="002C22BA">
      <w:pPr>
        <w:spacing w:before="120" w:after="120" w:line="276" w:lineRule="auto"/>
        <w:rPr>
          <w:rFonts w:ascii="Verdana" w:hAnsi="Verdana" w:cs="Arial"/>
        </w:rPr>
      </w:pPr>
      <w:r w:rsidRPr="00162969">
        <w:rPr>
          <w:rFonts w:ascii="Verdana" w:hAnsi="Verdana"/>
        </w:rPr>
        <w:t xml:space="preserve">The Group generated </w:t>
      </w:r>
      <w:r w:rsidRPr="00162969">
        <w:rPr>
          <w:rFonts w:ascii="Verdana" w:hAnsi="Verdana"/>
          <w:b/>
        </w:rPr>
        <w:t>revenues</w:t>
      </w:r>
      <w:r w:rsidRPr="00162969">
        <w:rPr>
          <w:rFonts w:ascii="Verdana" w:hAnsi="Verdana"/>
        </w:rPr>
        <w:t xml:space="preserve"> of €7,007 million in H1 2019, up 8.4% on H1 2018 reported revenues and 6.2% at constant exchange rates</w:t>
      </w:r>
      <w:r w:rsidR="00440EC0" w:rsidRPr="00162969">
        <w:rPr>
          <w:rFonts w:ascii="Verdana" w:hAnsi="Verdana" w:cs="Arial"/>
          <w:bCs/>
          <w:vertAlign w:val="superscript"/>
        </w:rPr>
        <w:fldChar w:fldCharType="begin"/>
      </w:r>
      <w:r w:rsidR="00440EC0" w:rsidRPr="00162969">
        <w:rPr>
          <w:rFonts w:ascii="Verdana" w:hAnsi="Verdana" w:cs="Arial"/>
          <w:bCs/>
          <w:vertAlign w:val="superscript"/>
        </w:rPr>
        <w:instrText xml:space="preserve"> NOTEREF _Ref13738408 \h  \* MERGEFORMAT </w:instrText>
      </w:r>
      <w:r w:rsidR="00440EC0" w:rsidRPr="00162969">
        <w:rPr>
          <w:rFonts w:ascii="Verdana" w:hAnsi="Verdana" w:cs="Arial"/>
          <w:bCs/>
          <w:vertAlign w:val="superscript"/>
        </w:rPr>
      </w:r>
      <w:r w:rsidR="00440EC0" w:rsidRPr="00162969">
        <w:rPr>
          <w:rFonts w:ascii="Verdana" w:hAnsi="Verdana" w:cs="Arial"/>
          <w:bCs/>
          <w:vertAlign w:val="superscript"/>
        </w:rPr>
        <w:fldChar w:fldCharType="separate"/>
      </w:r>
      <w:r w:rsidR="00BE4A72" w:rsidRPr="00162969">
        <w:rPr>
          <w:bCs/>
          <w:vertAlign w:val="superscript"/>
        </w:rPr>
        <w:t>*</w:t>
      </w:r>
      <w:r w:rsidR="00440EC0" w:rsidRPr="00162969">
        <w:rPr>
          <w:rFonts w:ascii="Verdana" w:hAnsi="Verdana" w:cs="Arial"/>
          <w:bCs/>
          <w:vertAlign w:val="superscript"/>
        </w:rPr>
        <w:fldChar w:fldCharType="end"/>
      </w:r>
      <w:r w:rsidRPr="00162969">
        <w:rPr>
          <w:rFonts w:ascii="Verdana" w:hAnsi="Verdana"/>
        </w:rPr>
        <w:t>. Organic growth</w:t>
      </w:r>
      <w:r w:rsidR="00701F43" w:rsidRPr="00162969">
        <w:rPr>
          <w:rFonts w:ascii="Verdana" w:hAnsi="Verdana" w:cs="Arial"/>
          <w:bCs/>
          <w:vertAlign w:val="superscript"/>
        </w:rPr>
        <w:fldChar w:fldCharType="begin"/>
      </w:r>
      <w:r w:rsidR="00701F43" w:rsidRPr="00162969">
        <w:rPr>
          <w:rFonts w:ascii="Verdana" w:hAnsi="Verdana" w:cs="Arial"/>
          <w:bCs/>
          <w:vertAlign w:val="superscript"/>
        </w:rPr>
        <w:instrText xml:space="preserve"> NOTEREF _Ref13738408 \h  \* MERGEFORMAT </w:instrText>
      </w:r>
      <w:r w:rsidR="00701F43" w:rsidRPr="00162969">
        <w:rPr>
          <w:rFonts w:ascii="Verdana" w:hAnsi="Verdana" w:cs="Arial"/>
          <w:bCs/>
          <w:vertAlign w:val="superscript"/>
        </w:rPr>
      </w:r>
      <w:r w:rsidR="00701F43" w:rsidRPr="00162969">
        <w:rPr>
          <w:rFonts w:ascii="Verdana" w:hAnsi="Verdana" w:cs="Arial"/>
          <w:bCs/>
          <w:vertAlign w:val="superscript"/>
        </w:rPr>
        <w:fldChar w:fldCharType="separate"/>
      </w:r>
      <w:r w:rsidR="00BE4A72" w:rsidRPr="00162969">
        <w:rPr>
          <w:bCs/>
          <w:vertAlign w:val="superscript"/>
        </w:rPr>
        <w:t>*</w:t>
      </w:r>
      <w:r w:rsidR="00701F43" w:rsidRPr="00162969">
        <w:rPr>
          <w:rFonts w:ascii="Verdana" w:hAnsi="Verdana" w:cs="Arial"/>
          <w:bCs/>
          <w:vertAlign w:val="superscript"/>
        </w:rPr>
        <w:fldChar w:fldCharType="end"/>
      </w:r>
      <w:r w:rsidRPr="00162969">
        <w:rPr>
          <w:rFonts w:ascii="Verdana" w:hAnsi="Verdana"/>
        </w:rPr>
        <w:t xml:space="preserve"> (i.e. excluding the impact of currency fluctuations and changes in Group scope) was 4.9%.</w:t>
      </w:r>
    </w:p>
    <w:p w14:paraId="6F942939" w14:textId="2169AC68" w:rsidR="0079218C" w:rsidRPr="00162969" w:rsidRDefault="0079218C" w:rsidP="0079218C">
      <w:pPr>
        <w:spacing w:before="120" w:after="120" w:line="276" w:lineRule="auto"/>
        <w:rPr>
          <w:rFonts w:ascii="Verdana" w:hAnsi="Verdana" w:cs="Arial"/>
        </w:rPr>
      </w:pPr>
      <w:r w:rsidRPr="00162969">
        <w:rPr>
          <w:rFonts w:ascii="Verdana" w:hAnsi="Verdana"/>
        </w:rPr>
        <w:t xml:space="preserve">Group momentum continues to be supported by Digital &amp; Cloud activities, which grew </w:t>
      </w:r>
      <w:r w:rsidR="004E1C69" w:rsidRPr="00162969">
        <w:rPr>
          <w:rFonts w:ascii="Verdana" w:hAnsi="Verdana"/>
        </w:rPr>
        <w:t>around</w:t>
      </w:r>
      <w:r w:rsidRPr="00162969">
        <w:rPr>
          <w:rFonts w:ascii="Verdana" w:hAnsi="Verdana"/>
        </w:rPr>
        <w:t xml:space="preserve"> 20% at constant exchange rates in the </w:t>
      </w:r>
      <w:r w:rsidR="0050372B" w:rsidRPr="00162969">
        <w:rPr>
          <w:rFonts w:ascii="Verdana" w:hAnsi="Verdana"/>
        </w:rPr>
        <w:t>first half</w:t>
      </w:r>
      <w:r w:rsidRPr="00162969">
        <w:rPr>
          <w:rFonts w:ascii="Verdana" w:hAnsi="Verdana"/>
        </w:rPr>
        <w:t>. They now account for around 50% of Group revenues.</w:t>
      </w:r>
    </w:p>
    <w:p w14:paraId="21FE5D2E" w14:textId="64527B34" w:rsidR="00B00202" w:rsidRPr="00162969" w:rsidRDefault="00B00202" w:rsidP="002C22BA">
      <w:pPr>
        <w:spacing w:before="120" w:after="120" w:line="276" w:lineRule="auto"/>
        <w:rPr>
          <w:rFonts w:ascii="Verdana" w:hAnsi="Verdana" w:cs="Arial"/>
        </w:rPr>
      </w:pPr>
      <w:r w:rsidRPr="00162969">
        <w:rPr>
          <w:rFonts w:ascii="Verdana" w:hAnsi="Verdana"/>
        </w:rPr>
        <w:t xml:space="preserve">Group growth reached 5.7% at constant exchange rates and 4.7% </w:t>
      </w:r>
      <w:r w:rsidR="004E1C69" w:rsidRPr="00162969">
        <w:rPr>
          <w:rFonts w:ascii="Verdana" w:hAnsi="Verdana"/>
        </w:rPr>
        <w:t>organically</w:t>
      </w:r>
      <w:r w:rsidRPr="00162969">
        <w:rPr>
          <w:rFonts w:ascii="Verdana" w:hAnsi="Verdana"/>
        </w:rPr>
        <w:t xml:space="preserve"> in the second quarter. </w:t>
      </w:r>
    </w:p>
    <w:p w14:paraId="36496FB9" w14:textId="2F94907C" w:rsidR="00B00202" w:rsidRPr="00162969" w:rsidRDefault="00B00202" w:rsidP="002C22BA">
      <w:pPr>
        <w:spacing w:before="120" w:after="120" w:line="276" w:lineRule="auto"/>
        <w:rPr>
          <w:rFonts w:ascii="Verdana" w:hAnsi="Verdana" w:cs="Arial"/>
          <w:bCs/>
        </w:rPr>
      </w:pPr>
      <w:r w:rsidRPr="00162969">
        <w:rPr>
          <w:rFonts w:ascii="Verdana" w:hAnsi="Verdana"/>
          <w:b/>
          <w:bCs/>
        </w:rPr>
        <w:t>Bookings</w:t>
      </w:r>
      <w:r w:rsidRPr="00162969">
        <w:rPr>
          <w:rFonts w:ascii="Verdana" w:hAnsi="Verdana"/>
          <w:bCs/>
        </w:rPr>
        <w:t xml:space="preserve"> totaled €7,101 million in the first six months of </w:t>
      </w:r>
      <w:r w:rsidR="004E1C69" w:rsidRPr="00162969">
        <w:rPr>
          <w:rFonts w:ascii="Verdana" w:hAnsi="Verdana"/>
          <w:bCs/>
        </w:rPr>
        <w:t>2019</w:t>
      </w:r>
      <w:r w:rsidRPr="00162969">
        <w:rPr>
          <w:rFonts w:ascii="Verdana" w:hAnsi="Verdana"/>
          <w:bCs/>
        </w:rPr>
        <w:t xml:space="preserve">, a 4.8% increase at constant exchange rates year-on-year. </w:t>
      </w:r>
    </w:p>
    <w:p w14:paraId="3A4FE705" w14:textId="115003A5" w:rsidR="00B80015" w:rsidRPr="00162969" w:rsidRDefault="00B00202" w:rsidP="002C22BA">
      <w:pPr>
        <w:spacing w:before="120" w:after="120" w:line="276" w:lineRule="auto"/>
        <w:rPr>
          <w:rFonts w:ascii="Verdana" w:hAnsi="Verdana" w:cs="Arial"/>
        </w:rPr>
      </w:pPr>
      <w:r w:rsidRPr="00162969">
        <w:rPr>
          <w:rFonts w:ascii="Verdana" w:hAnsi="Verdana"/>
        </w:rPr>
        <w:t xml:space="preserve">The </w:t>
      </w:r>
      <w:r w:rsidRPr="00162969">
        <w:rPr>
          <w:rFonts w:ascii="Verdana" w:hAnsi="Verdana"/>
          <w:b/>
        </w:rPr>
        <w:t>operating margin</w:t>
      </w:r>
      <w:r w:rsidR="00701F43" w:rsidRPr="00162969">
        <w:rPr>
          <w:rFonts w:ascii="Verdana" w:hAnsi="Verdana" w:cs="Arial"/>
          <w:bCs/>
          <w:vertAlign w:val="superscript"/>
        </w:rPr>
        <w:fldChar w:fldCharType="begin"/>
      </w:r>
      <w:r w:rsidR="00701F43" w:rsidRPr="00162969">
        <w:rPr>
          <w:rFonts w:ascii="Verdana" w:hAnsi="Verdana" w:cs="Arial"/>
          <w:bCs/>
          <w:vertAlign w:val="superscript"/>
        </w:rPr>
        <w:instrText xml:space="preserve"> NOTEREF _Ref13738408 \h  \* MERGEFORMAT </w:instrText>
      </w:r>
      <w:r w:rsidR="00701F43" w:rsidRPr="00162969">
        <w:rPr>
          <w:rFonts w:ascii="Verdana" w:hAnsi="Verdana" w:cs="Arial"/>
          <w:bCs/>
          <w:vertAlign w:val="superscript"/>
        </w:rPr>
      </w:r>
      <w:r w:rsidR="00701F43" w:rsidRPr="00162969">
        <w:rPr>
          <w:rFonts w:ascii="Verdana" w:hAnsi="Verdana" w:cs="Arial"/>
          <w:bCs/>
          <w:vertAlign w:val="superscript"/>
        </w:rPr>
        <w:fldChar w:fldCharType="separate"/>
      </w:r>
      <w:r w:rsidR="00BE4A72" w:rsidRPr="00162969">
        <w:rPr>
          <w:bCs/>
          <w:vertAlign w:val="superscript"/>
        </w:rPr>
        <w:t>*</w:t>
      </w:r>
      <w:r w:rsidR="00701F43" w:rsidRPr="00162969">
        <w:rPr>
          <w:rFonts w:ascii="Verdana" w:hAnsi="Verdana" w:cs="Arial"/>
          <w:bCs/>
          <w:vertAlign w:val="superscript"/>
        </w:rPr>
        <w:fldChar w:fldCharType="end"/>
      </w:r>
      <w:r w:rsidRPr="00162969">
        <w:rPr>
          <w:rFonts w:ascii="Verdana" w:hAnsi="Verdana"/>
        </w:rPr>
        <w:t xml:space="preserve"> is €797 million, or 11.4% of revenues, an increase of 13% or 50 basis points year-on-year. This robust performance reflects </w:t>
      </w:r>
      <w:r w:rsidR="0050372B" w:rsidRPr="00162969">
        <w:rPr>
          <w:rFonts w:ascii="Verdana" w:hAnsi="Verdana"/>
        </w:rPr>
        <w:t xml:space="preserve">the higher </w:t>
      </w:r>
      <w:r w:rsidRPr="00162969">
        <w:rPr>
          <w:rFonts w:ascii="Verdana" w:hAnsi="Verdana"/>
        </w:rPr>
        <w:t xml:space="preserve">gross margin, which has increased </w:t>
      </w:r>
      <w:r w:rsidR="0050372B" w:rsidRPr="00162969">
        <w:rPr>
          <w:rFonts w:ascii="Verdana" w:hAnsi="Verdana"/>
        </w:rPr>
        <w:t xml:space="preserve">at the same rate </w:t>
      </w:r>
      <w:r w:rsidR="00636A78" w:rsidRPr="00162969">
        <w:rPr>
          <w:rFonts w:ascii="Verdana" w:hAnsi="Verdana"/>
        </w:rPr>
        <w:t xml:space="preserve">thanks to the </w:t>
      </w:r>
      <w:r w:rsidR="00C4767B" w:rsidRPr="00162969">
        <w:rPr>
          <w:rFonts w:ascii="Verdana" w:hAnsi="Verdana"/>
        </w:rPr>
        <w:t>success of innovation offerings</w:t>
      </w:r>
      <w:r w:rsidR="00636A78" w:rsidRPr="00162969">
        <w:rPr>
          <w:rFonts w:ascii="Verdana" w:hAnsi="Verdana"/>
        </w:rPr>
        <w:t>. It</w:t>
      </w:r>
      <w:r w:rsidRPr="00162969">
        <w:rPr>
          <w:rFonts w:ascii="Verdana" w:hAnsi="Verdana"/>
        </w:rPr>
        <w:t xml:space="preserve"> illustrates the Group's ability to balance growth and higher profitability.</w:t>
      </w:r>
    </w:p>
    <w:p w14:paraId="265E8A5A" w14:textId="32E8BF07" w:rsidR="00B00202" w:rsidRPr="00162969" w:rsidRDefault="00B00202" w:rsidP="002C22BA">
      <w:pPr>
        <w:spacing w:before="120" w:after="120" w:line="276" w:lineRule="auto"/>
        <w:rPr>
          <w:rFonts w:ascii="Verdana" w:hAnsi="Verdana" w:cs="Arial"/>
        </w:rPr>
      </w:pPr>
      <w:r w:rsidRPr="00162969">
        <w:rPr>
          <w:rFonts w:ascii="Verdana" w:hAnsi="Verdana"/>
        </w:rPr>
        <w:t xml:space="preserve">Other operating income and expenses </w:t>
      </w:r>
      <w:r w:rsidR="00022189" w:rsidRPr="00162969">
        <w:rPr>
          <w:rFonts w:ascii="Verdana" w:hAnsi="Verdana"/>
        </w:rPr>
        <w:t xml:space="preserve">represent a net expense of </w:t>
      </w:r>
      <w:r w:rsidRPr="00162969">
        <w:rPr>
          <w:rFonts w:ascii="Verdana" w:hAnsi="Verdana"/>
        </w:rPr>
        <w:t>€139 million</w:t>
      </w:r>
      <w:r w:rsidR="00801C65" w:rsidRPr="00162969">
        <w:rPr>
          <w:rFonts w:ascii="Verdana" w:hAnsi="Verdana"/>
        </w:rPr>
        <w:t>. The</w:t>
      </w:r>
      <w:r w:rsidRPr="00162969">
        <w:rPr>
          <w:rFonts w:ascii="Verdana" w:hAnsi="Verdana"/>
        </w:rPr>
        <w:t xml:space="preserve"> €47 million improvement year-on-year</w:t>
      </w:r>
      <w:r w:rsidR="00801C65" w:rsidRPr="00162969">
        <w:rPr>
          <w:rFonts w:ascii="Verdana" w:hAnsi="Verdana"/>
        </w:rPr>
        <w:t xml:space="preserve"> is</w:t>
      </w:r>
      <w:r w:rsidRPr="00162969">
        <w:rPr>
          <w:rFonts w:ascii="Verdana" w:hAnsi="Verdana"/>
        </w:rPr>
        <w:t xml:space="preserve"> mainly due to a reduction in restructuring costs. </w:t>
      </w:r>
    </w:p>
    <w:p w14:paraId="13EE68E1" w14:textId="77777777" w:rsidR="00B00202" w:rsidRPr="00162969" w:rsidRDefault="00B00202" w:rsidP="002C22BA">
      <w:pPr>
        <w:spacing w:before="120" w:after="120" w:line="276" w:lineRule="auto"/>
        <w:rPr>
          <w:rFonts w:ascii="Verdana" w:hAnsi="Verdana" w:cs="Arial"/>
        </w:rPr>
      </w:pPr>
      <w:r w:rsidRPr="00162969">
        <w:rPr>
          <w:rFonts w:ascii="Verdana" w:hAnsi="Verdana"/>
          <w:b/>
        </w:rPr>
        <w:t>Operating profit</w:t>
      </w:r>
      <w:r w:rsidRPr="00162969">
        <w:rPr>
          <w:rFonts w:ascii="Verdana" w:hAnsi="Verdana"/>
        </w:rPr>
        <w:t xml:space="preserve"> rose 26% to €658 million, or 9.4% of revenues. </w:t>
      </w:r>
    </w:p>
    <w:p w14:paraId="3C3A2C79" w14:textId="77777777" w:rsidR="00076691" w:rsidRPr="00162969" w:rsidRDefault="00B00202" w:rsidP="002C22BA">
      <w:pPr>
        <w:spacing w:before="120" w:after="120" w:line="276" w:lineRule="auto"/>
        <w:rPr>
          <w:rFonts w:ascii="Verdana" w:hAnsi="Verdana" w:cs="Arial"/>
        </w:rPr>
      </w:pPr>
      <w:bookmarkStart w:id="5" w:name="_Hlk519508497"/>
      <w:r w:rsidRPr="00162969">
        <w:rPr>
          <w:rFonts w:ascii="Verdana" w:hAnsi="Verdana"/>
        </w:rPr>
        <w:t xml:space="preserve">The net financial expense is stable year-on-year at €39 million. </w:t>
      </w:r>
      <w:bookmarkStart w:id="6" w:name="_Hlk519774751"/>
      <w:bookmarkEnd w:id="5"/>
      <w:r w:rsidRPr="00162969">
        <w:rPr>
          <w:rFonts w:ascii="Verdana" w:hAnsi="Verdana"/>
        </w:rPr>
        <w:t xml:space="preserve">The income tax expense is €232 million and includes €30 million due to the transitional impact of tax reforms in the United States, </w:t>
      </w:r>
      <w:r w:rsidR="00AA7E57" w:rsidRPr="00162969">
        <w:rPr>
          <w:rFonts w:ascii="Verdana" w:hAnsi="Verdana"/>
        </w:rPr>
        <w:t>compared with</w:t>
      </w:r>
      <w:r w:rsidRPr="00162969">
        <w:rPr>
          <w:rFonts w:ascii="Verdana" w:hAnsi="Verdana"/>
        </w:rPr>
        <w:t xml:space="preserve"> €18 million last year. Adjusted for these expenses, the effective tax rate is 32.6%, </w:t>
      </w:r>
      <w:r w:rsidR="00AA7E57" w:rsidRPr="00162969">
        <w:rPr>
          <w:rFonts w:ascii="Verdana" w:hAnsi="Verdana"/>
        </w:rPr>
        <w:t>compared with</w:t>
      </w:r>
      <w:r w:rsidRPr="00162969">
        <w:rPr>
          <w:rFonts w:ascii="Verdana" w:hAnsi="Verdana"/>
        </w:rPr>
        <w:t xml:space="preserve"> 31.4% in H1 2018 and 33.7% in FY 2018.</w:t>
      </w:r>
    </w:p>
    <w:p w14:paraId="1EC8E24B" w14:textId="3575A547" w:rsidR="00B00202" w:rsidRPr="00162969" w:rsidRDefault="00B00202" w:rsidP="002C22BA">
      <w:pPr>
        <w:spacing w:line="276" w:lineRule="auto"/>
        <w:rPr>
          <w:rFonts w:ascii="Verdana" w:hAnsi="Verdana" w:cs="Arial"/>
        </w:rPr>
      </w:pPr>
      <w:r w:rsidRPr="00162969">
        <w:rPr>
          <w:rFonts w:ascii="Verdana" w:hAnsi="Verdana"/>
          <w:b/>
        </w:rPr>
        <w:t>Net profit (Group share)</w:t>
      </w:r>
      <w:r w:rsidRPr="00162969">
        <w:rPr>
          <w:rFonts w:ascii="Verdana" w:hAnsi="Verdana"/>
        </w:rPr>
        <w:t xml:space="preserve"> increase</w:t>
      </w:r>
      <w:r w:rsidR="00220ACA" w:rsidRPr="00162969">
        <w:rPr>
          <w:rFonts w:ascii="Verdana" w:hAnsi="Verdana"/>
        </w:rPr>
        <w:t>s</w:t>
      </w:r>
      <w:r w:rsidRPr="00162969">
        <w:rPr>
          <w:rFonts w:ascii="Verdana" w:hAnsi="Verdana"/>
        </w:rPr>
        <w:t xml:space="preserve"> 23% year-on-year to €388 million for the first six months of the year. </w:t>
      </w:r>
      <w:r w:rsidRPr="00162969">
        <w:rPr>
          <w:rFonts w:ascii="Verdana" w:hAnsi="Verdana"/>
          <w:b/>
        </w:rPr>
        <w:t>Basic EPS</w:t>
      </w:r>
      <w:r w:rsidRPr="00162969">
        <w:rPr>
          <w:rFonts w:ascii="Verdana" w:hAnsi="Verdana"/>
        </w:rPr>
        <w:t xml:space="preserve"> (earnings per share) is up 24% year-on-year at €2.34</w:t>
      </w:r>
      <w:r w:rsidR="00801C65" w:rsidRPr="00162969">
        <w:rPr>
          <w:rFonts w:ascii="Verdana" w:hAnsi="Verdana"/>
        </w:rPr>
        <w:t xml:space="preserve">. </w:t>
      </w:r>
      <w:r w:rsidRPr="00162969">
        <w:rPr>
          <w:rFonts w:ascii="Verdana" w:hAnsi="Verdana"/>
          <w:b/>
        </w:rPr>
        <w:t>Normalized EPS</w:t>
      </w:r>
      <w:r w:rsidRPr="00162969">
        <w:rPr>
          <w:rFonts w:ascii="Verdana" w:hAnsi="Verdana"/>
          <w:vertAlign w:val="superscript"/>
        </w:rPr>
        <w:t>*</w:t>
      </w:r>
      <w:r w:rsidRPr="00162969">
        <w:rPr>
          <w:rFonts w:ascii="Verdana" w:hAnsi="Verdana"/>
        </w:rPr>
        <w:t xml:space="preserve"> is </w:t>
      </w:r>
      <w:r w:rsidR="008F1AFA" w:rsidRPr="00162969">
        <w:rPr>
          <w:rFonts w:ascii="Verdana" w:hAnsi="Verdana"/>
        </w:rPr>
        <w:t xml:space="preserve">up 10% to </w:t>
      </w:r>
      <w:r w:rsidRPr="00162969">
        <w:rPr>
          <w:rFonts w:ascii="Verdana" w:hAnsi="Verdana"/>
        </w:rPr>
        <w:t>€2.90</w:t>
      </w:r>
      <w:r w:rsidR="008F1AFA" w:rsidRPr="00162969">
        <w:rPr>
          <w:rFonts w:ascii="Verdana" w:hAnsi="Verdana"/>
        </w:rPr>
        <w:t xml:space="preserve">. Normalized EPS </w:t>
      </w:r>
      <w:r w:rsidRPr="00162969">
        <w:rPr>
          <w:rFonts w:ascii="Verdana" w:hAnsi="Verdana"/>
        </w:rPr>
        <w:t>adjusted for the transitional tax expense</w:t>
      </w:r>
      <w:r w:rsidR="008F1AFA" w:rsidRPr="00162969">
        <w:rPr>
          <w:rFonts w:ascii="Verdana" w:hAnsi="Verdana"/>
        </w:rPr>
        <w:t xml:space="preserve"> is up 12% to €3.08</w:t>
      </w:r>
      <w:r w:rsidRPr="00162969">
        <w:rPr>
          <w:rFonts w:ascii="Verdana" w:hAnsi="Verdana"/>
        </w:rPr>
        <w:t>.</w:t>
      </w:r>
    </w:p>
    <w:bookmarkEnd w:id="6"/>
    <w:p w14:paraId="1B9E23E6" w14:textId="6B127B3A" w:rsidR="00216752" w:rsidRPr="00162969" w:rsidRDefault="00E06107" w:rsidP="002C22BA">
      <w:pPr>
        <w:spacing w:before="120" w:after="120" w:line="276" w:lineRule="auto"/>
        <w:rPr>
          <w:rFonts w:ascii="Verdana" w:hAnsi="Verdana" w:cs="Arial"/>
        </w:rPr>
      </w:pPr>
      <w:r w:rsidRPr="00162969">
        <w:rPr>
          <w:rFonts w:ascii="Verdana" w:hAnsi="Verdana"/>
        </w:rPr>
        <w:t xml:space="preserve">The Group generated </w:t>
      </w:r>
      <w:r w:rsidRPr="00162969">
        <w:rPr>
          <w:rFonts w:ascii="Verdana" w:hAnsi="Verdana"/>
          <w:b/>
        </w:rPr>
        <w:t>organic free cash flow</w:t>
      </w:r>
      <w:r w:rsidR="00701F43" w:rsidRPr="00162969">
        <w:rPr>
          <w:rFonts w:ascii="Verdana" w:hAnsi="Verdana" w:cs="Arial"/>
          <w:bCs/>
          <w:vertAlign w:val="superscript"/>
        </w:rPr>
        <w:fldChar w:fldCharType="begin"/>
      </w:r>
      <w:r w:rsidR="00701F43" w:rsidRPr="00162969">
        <w:rPr>
          <w:rFonts w:ascii="Verdana" w:hAnsi="Verdana" w:cs="Arial"/>
          <w:bCs/>
          <w:vertAlign w:val="superscript"/>
        </w:rPr>
        <w:instrText xml:space="preserve"> NOTEREF _Ref13738408 \h  \* MERGEFORMAT </w:instrText>
      </w:r>
      <w:r w:rsidR="00701F43" w:rsidRPr="00162969">
        <w:rPr>
          <w:rFonts w:ascii="Verdana" w:hAnsi="Verdana" w:cs="Arial"/>
          <w:bCs/>
          <w:vertAlign w:val="superscript"/>
        </w:rPr>
      </w:r>
      <w:r w:rsidR="00701F43" w:rsidRPr="00162969">
        <w:rPr>
          <w:rFonts w:ascii="Verdana" w:hAnsi="Verdana" w:cs="Arial"/>
          <w:bCs/>
          <w:vertAlign w:val="superscript"/>
        </w:rPr>
        <w:fldChar w:fldCharType="separate"/>
      </w:r>
      <w:r w:rsidR="00BE4A72" w:rsidRPr="00162969">
        <w:rPr>
          <w:bCs/>
          <w:vertAlign w:val="superscript"/>
        </w:rPr>
        <w:t>*</w:t>
      </w:r>
      <w:r w:rsidR="00701F43" w:rsidRPr="00162969">
        <w:rPr>
          <w:rFonts w:ascii="Verdana" w:hAnsi="Verdana" w:cs="Arial"/>
          <w:bCs/>
          <w:vertAlign w:val="superscript"/>
        </w:rPr>
        <w:fldChar w:fldCharType="end"/>
      </w:r>
      <w:r w:rsidRPr="00162969">
        <w:rPr>
          <w:rFonts w:ascii="Verdana" w:hAnsi="Verdana"/>
        </w:rPr>
        <w:t xml:space="preserve"> of €90 million in the half-year, compared with €11 million in the </w:t>
      </w:r>
      <w:r w:rsidR="00DA11D9" w:rsidRPr="00162969">
        <w:rPr>
          <w:rFonts w:ascii="Verdana" w:hAnsi="Verdana"/>
        </w:rPr>
        <w:t xml:space="preserve">previous </w:t>
      </w:r>
      <w:r w:rsidRPr="00162969">
        <w:rPr>
          <w:rFonts w:ascii="Verdana" w:hAnsi="Verdana"/>
        </w:rPr>
        <w:t>year period</w:t>
      </w:r>
      <w:r w:rsidRPr="00162969">
        <w:t xml:space="preserve">. </w:t>
      </w:r>
    </w:p>
    <w:p w14:paraId="1CD4016E" w14:textId="3346ECDC" w:rsidR="00B00202" w:rsidRPr="00162969" w:rsidRDefault="00B356EF" w:rsidP="002C22BA">
      <w:pPr>
        <w:spacing w:before="120" w:after="120" w:line="276" w:lineRule="auto"/>
        <w:rPr>
          <w:rFonts w:ascii="Verdana" w:hAnsi="Verdana" w:cs="Arial"/>
        </w:rPr>
      </w:pPr>
      <w:r w:rsidRPr="00162969">
        <w:rPr>
          <w:rFonts w:ascii="Verdana" w:hAnsi="Verdana"/>
        </w:rPr>
        <w:t>Return</w:t>
      </w:r>
      <w:r w:rsidR="00022189" w:rsidRPr="00162969">
        <w:rPr>
          <w:rFonts w:ascii="Verdana" w:hAnsi="Verdana"/>
        </w:rPr>
        <w:t>s</w:t>
      </w:r>
      <w:r w:rsidRPr="00162969">
        <w:rPr>
          <w:rFonts w:ascii="Verdana" w:hAnsi="Verdana"/>
        </w:rPr>
        <w:t xml:space="preserve"> to shareholder</w:t>
      </w:r>
      <w:r w:rsidR="00022189" w:rsidRPr="00162969">
        <w:rPr>
          <w:rFonts w:ascii="Verdana" w:hAnsi="Verdana"/>
        </w:rPr>
        <w:t>s</w:t>
      </w:r>
      <w:r w:rsidRPr="00162969">
        <w:rPr>
          <w:rFonts w:ascii="Verdana" w:hAnsi="Verdana"/>
        </w:rPr>
        <w:t xml:space="preserve"> amounted to €</w:t>
      </w:r>
      <w:r w:rsidR="004E1C69" w:rsidRPr="00162969">
        <w:rPr>
          <w:rFonts w:ascii="Verdana" w:hAnsi="Verdana"/>
        </w:rPr>
        <w:t>431</w:t>
      </w:r>
      <w:r w:rsidRPr="00162969">
        <w:rPr>
          <w:rFonts w:ascii="Verdana" w:hAnsi="Verdana"/>
        </w:rPr>
        <w:t xml:space="preserve"> million in H1 2019, with a dividend payment of €281 million and share buybacks totaling €150 million (excluding the liquidity contract). </w:t>
      </w:r>
      <w:r w:rsidR="008348D3" w:rsidRPr="00162969">
        <w:rPr>
          <w:rFonts w:ascii="Verdana" w:hAnsi="Verdana"/>
        </w:rPr>
        <w:t xml:space="preserve">In addition, bolt-on acquisitions resulted in a net cash outflow of </w:t>
      </w:r>
      <w:r w:rsidR="00220ACA" w:rsidRPr="00162969">
        <w:rPr>
          <w:rFonts w:ascii="Verdana" w:hAnsi="Verdana"/>
        </w:rPr>
        <w:t>€</w:t>
      </w:r>
      <w:r w:rsidR="008348D3" w:rsidRPr="00162969">
        <w:rPr>
          <w:rFonts w:ascii="Verdana" w:hAnsi="Verdana"/>
        </w:rPr>
        <w:t>152 million over the period.</w:t>
      </w:r>
    </w:p>
    <w:p w14:paraId="0C478865" w14:textId="77777777" w:rsidR="00B00202" w:rsidRPr="00162969" w:rsidRDefault="00B00202" w:rsidP="002C22BA">
      <w:pPr>
        <w:spacing w:before="120" w:after="120" w:line="276" w:lineRule="auto"/>
        <w:rPr>
          <w:rFonts w:ascii="Verdana" w:hAnsi="Verdana"/>
          <w:b/>
          <w:caps/>
          <w:szCs w:val="36"/>
        </w:rPr>
      </w:pPr>
    </w:p>
    <w:p w14:paraId="2F483D58" w14:textId="77777777" w:rsidR="00B00202" w:rsidRPr="00162969" w:rsidRDefault="00C96D53" w:rsidP="002C22BA">
      <w:pPr>
        <w:pStyle w:val="Heading1"/>
        <w:spacing w:line="276" w:lineRule="auto"/>
      </w:pPr>
      <w:r w:rsidRPr="00162969">
        <w:t>OUTLOOK</w:t>
      </w:r>
    </w:p>
    <w:p w14:paraId="01662AB8" w14:textId="77777777" w:rsidR="00062BCE" w:rsidRPr="00162969" w:rsidRDefault="00062BCE" w:rsidP="00062BCE">
      <w:pPr>
        <w:spacing w:before="120" w:after="120" w:line="288" w:lineRule="auto"/>
        <w:rPr>
          <w:rFonts w:cs="Arial"/>
        </w:rPr>
      </w:pPr>
      <w:r w:rsidRPr="00162969">
        <w:t>For 2019, the Group targets revenue growth at constant exchange rates of 5.5% to 8.0%, improved profitability with an operating margin of 12.3% to 12.6% and stronger organic free cash flow - on a comparable basis - of over €1.1 billion.</w:t>
      </w:r>
    </w:p>
    <w:p w14:paraId="47818ED7" w14:textId="77777777" w:rsidR="00062BCE" w:rsidRPr="00162969" w:rsidRDefault="00062BCE" w:rsidP="00062BCE">
      <w:pPr>
        <w:spacing w:before="120" w:after="120" w:line="288" w:lineRule="auto"/>
        <w:rPr>
          <w:rFonts w:cs="Arial"/>
        </w:rPr>
      </w:pPr>
      <w:r w:rsidRPr="00162969">
        <w:lastRenderedPageBreak/>
        <w:t>This outlook takes into account the impact of the application of IFRS 16 from January 1, 2019 on the operating margin (around +5 basis points) and on the organic free cash flow definition (around -€50 million), as detailed in the appendix to the press release publishing this outlook, issued on February 14, 2019.</w:t>
      </w:r>
    </w:p>
    <w:p w14:paraId="50519836" w14:textId="77777777" w:rsidR="00B00202" w:rsidRPr="00162969" w:rsidRDefault="00B00202" w:rsidP="00B00202">
      <w:pPr>
        <w:spacing w:before="120" w:after="120"/>
        <w:rPr>
          <w:rFonts w:ascii="Verdana" w:hAnsi="Verdana"/>
        </w:rPr>
      </w:pPr>
    </w:p>
    <w:p w14:paraId="65492735" w14:textId="77777777" w:rsidR="00B00202" w:rsidRPr="00162969" w:rsidRDefault="00B00202" w:rsidP="00EF5205">
      <w:pPr>
        <w:pStyle w:val="Heading1"/>
      </w:pPr>
      <w:r w:rsidRPr="00162969">
        <w:t>OPERATIONS BY REGION</w:t>
      </w:r>
    </w:p>
    <w:p w14:paraId="4272030E" w14:textId="2F3A0D53" w:rsidR="00B00202" w:rsidRPr="00162969" w:rsidRDefault="00230C70" w:rsidP="00230C70">
      <w:pPr>
        <w:spacing w:before="120" w:after="120" w:line="288" w:lineRule="auto"/>
        <w:rPr>
          <w:rFonts w:ascii="Verdana" w:hAnsi="Verdana" w:cs="Arial"/>
          <w:b/>
        </w:rPr>
      </w:pPr>
      <w:bookmarkStart w:id="7" w:name="_Hlk519835484"/>
      <w:r w:rsidRPr="00162969">
        <w:rPr>
          <w:b/>
        </w:rPr>
        <w:t>North America</w:t>
      </w:r>
      <w:r w:rsidRPr="00162969">
        <w:t xml:space="preserve"> revenues (32% of Group revenues) grew 3.8% at constant exchange rates, </w:t>
      </w:r>
      <w:r w:rsidR="00A17D61" w:rsidRPr="00162969">
        <w:t>on</w:t>
      </w:r>
      <w:r w:rsidRPr="00162969">
        <w:t xml:space="preserve"> a particularly high comparison basis </w:t>
      </w:r>
      <w:r w:rsidR="008348D3" w:rsidRPr="00162969">
        <w:t>as the region</w:t>
      </w:r>
      <w:r w:rsidR="00636A78" w:rsidRPr="00162969">
        <w:t>’s</w:t>
      </w:r>
      <w:r w:rsidR="008348D3" w:rsidRPr="00162969">
        <w:t xml:space="preserve"> </w:t>
      </w:r>
      <w:r w:rsidRPr="00162969">
        <w:t xml:space="preserve">growth </w:t>
      </w:r>
      <w:r w:rsidR="008348D3" w:rsidRPr="00162969">
        <w:t xml:space="preserve">reached </w:t>
      </w:r>
      <w:r w:rsidRPr="00162969">
        <w:t>17</w:t>
      </w:r>
      <w:r w:rsidR="00801C65" w:rsidRPr="00162969">
        <w:t>.2</w:t>
      </w:r>
      <w:r w:rsidRPr="00162969">
        <w:t xml:space="preserve">% in </w:t>
      </w:r>
      <w:r w:rsidR="00801C65" w:rsidRPr="00162969">
        <w:t>H</w:t>
      </w:r>
      <w:r w:rsidRPr="00162969">
        <w:t>1 2018. TMT (Telecoms, Media &amp; Technology), Energy &amp; Utilities and Services se</w:t>
      </w:r>
      <w:r w:rsidR="0091212E" w:rsidRPr="00162969">
        <w:t>ctors</w:t>
      </w:r>
      <w:r w:rsidR="008348D3" w:rsidRPr="00162969">
        <w:t xml:space="preserve"> recorded </w:t>
      </w:r>
      <w:r w:rsidR="00636A78" w:rsidRPr="00162969">
        <w:t>the</w:t>
      </w:r>
      <w:r w:rsidR="008348D3" w:rsidRPr="00162969">
        <w:t xml:space="preserve"> strongest momentum</w:t>
      </w:r>
      <w:r w:rsidRPr="00162969">
        <w:t xml:space="preserve">. </w:t>
      </w:r>
      <w:r w:rsidRPr="00162969">
        <w:rPr>
          <w:rFonts w:ascii="Verdana" w:hAnsi="Verdana"/>
        </w:rPr>
        <w:t>The operatin</w:t>
      </w:r>
      <w:r w:rsidR="00801C65" w:rsidRPr="00162969">
        <w:rPr>
          <w:rFonts w:ascii="Verdana" w:hAnsi="Verdana"/>
        </w:rPr>
        <w:t>g</w:t>
      </w:r>
      <w:r w:rsidRPr="00162969">
        <w:rPr>
          <w:rFonts w:ascii="Verdana" w:hAnsi="Verdana"/>
        </w:rPr>
        <w:t xml:space="preserve"> margin rate </w:t>
      </w:r>
      <w:r w:rsidR="008348D3" w:rsidRPr="00162969">
        <w:rPr>
          <w:rFonts w:ascii="Verdana" w:hAnsi="Verdana"/>
        </w:rPr>
        <w:t xml:space="preserve">was </w:t>
      </w:r>
      <w:r w:rsidRPr="00162969">
        <w:rPr>
          <w:rFonts w:ascii="Verdana" w:hAnsi="Verdana"/>
        </w:rPr>
        <w:t>12.</w:t>
      </w:r>
      <w:r w:rsidR="00B75A09" w:rsidRPr="00162969">
        <w:rPr>
          <w:rFonts w:ascii="Verdana" w:hAnsi="Verdana"/>
        </w:rPr>
        <w:t>9</w:t>
      </w:r>
      <w:r w:rsidRPr="00162969">
        <w:rPr>
          <w:rFonts w:ascii="Verdana" w:hAnsi="Verdana"/>
        </w:rPr>
        <w:t xml:space="preserve">%, compared with 13.2% in the prior-year period. </w:t>
      </w:r>
    </w:p>
    <w:p w14:paraId="2AEC1205" w14:textId="79F5EC44" w:rsidR="00B00202" w:rsidRPr="00162969" w:rsidRDefault="00801C65" w:rsidP="00230C70">
      <w:pPr>
        <w:spacing w:before="120" w:after="120" w:line="288" w:lineRule="auto"/>
        <w:rPr>
          <w:rFonts w:cs="Arial"/>
        </w:rPr>
      </w:pPr>
      <w:r w:rsidRPr="00162969">
        <w:t>T</w:t>
      </w:r>
      <w:r w:rsidR="00230C70" w:rsidRPr="00162969">
        <w:t xml:space="preserve">he </w:t>
      </w:r>
      <w:r w:rsidR="00230C70" w:rsidRPr="00162969">
        <w:rPr>
          <w:b/>
        </w:rPr>
        <w:t>United Kingdom &amp; Ireland</w:t>
      </w:r>
      <w:r w:rsidR="00230C70" w:rsidRPr="00162969">
        <w:t xml:space="preserve"> region (12% of Group revenues) </w:t>
      </w:r>
      <w:r w:rsidRPr="00162969">
        <w:t>reported a</w:t>
      </w:r>
      <w:r w:rsidR="00230C70" w:rsidRPr="00162969">
        <w:t xml:space="preserve"> remarkable</w:t>
      </w:r>
      <w:r w:rsidRPr="00162969">
        <w:t xml:space="preserve"> performance</w:t>
      </w:r>
      <w:r w:rsidR="00230C70" w:rsidRPr="00162969">
        <w:t xml:space="preserve">, with growth of 8.0% at constant exchange rates. Revenue growth in the Financial Services, Consumer </w:t>
      </w:r>
      <w:r w:rsidR="004E1C69" w:rsidRPr="00162969">
        <w:t>Goods</w:t>
      </w:r>
      <w:r w:rsidR="00230C70" w:rsidRPr="00162969">
        <w:t xml:space="preserve"> &amp; Retail and TMT sector</w:t>
      </w:r>
      <w:r w:rsidRPr="00162969">
        <w:t>s was 10% or higher, while the P</w:t>
      </w:r>
      <w:r w:rsidR="00230C70" w:rsidRPr="00162969">
        <w:t xml:space="preserve">ublic </w:t>
      </w:r>
      <w:r w:rsidRPr="00162969">
        <w:t>S</w:t>
      </w:r>
      <w:r w:rsidR="00230C70" w:rsidRPr="00162969">
        <w:t xml:space="preserve">ector </w:t>
      </w:r>
      <w:r w:rsidR="00312A68" w:rsidRPr="00162969">
        <w:t xml:space="preserve">continued </w:t>
      </w:r>
      <w:r w:rsidR="00230C70" w:rsidRPr="00162969">
        <w:t xml:space="preserve">the positive trends initiated </w:t>
      </w:r>
      <w:r w:rsidR="00312A68" w:rsidRPr="00162969">
        <w:t xml:space="preserve">a </w:t>
      </w:r>
      <w:r w:rsidR="00230C70" w:rsidRPr="00162969">
        <w:t xml:space="preserve">year ago. The operating margin </w:t>
      </w:r>
      <w:r w:rsidRPr="00162969">
        <w:t>jumped to</w:t>
      </w:r>
      <w:r w:rsidR="00230C70" w:rsidRPr="00162969">
        <w:t xml:space="preserve"> 15.9% </w:t>
      </w:r>
      <w:r w:rsidRPr="00162969">
        <w:t>from</w:t>
      </w:r>
      <w:r w:rsidR="00230C70" w:rsidRPr="00162969">
        <w:t xml:space="preserve"> 12.2% a year earlier.</w:t>
      </w:r>
    </w:p>
    <w:p w14:paraId="3D7C0CCE" w14:textId="6FC5DBB7" w:rsidR="00B00202" w:rsidRPr="00162969" w:rsidRDefault="00801C65" w:rsidP="00230C70">
      <w:pPr>
        <w:spacing w:before="120" w:after="120" w:line="288" w:lineRule="auto"/>
        <w:rPr>
          <w:rFonts w:ascii="Verdana" w:hAnsi="Verdana" w:cs="Arial"/>
        </w:rPr>
      </w:pPr>
      <w:r w:rsidRPr="00162969">
        <w:t>Activity wa</w:t>
      </w:r>
      <w:r w:rsidR="00AD6650" w:rsidRPr="00162969">
        <w:t xml:space="preserve">s strong in </w:t>
      </w:r>
      <w:r w:rsidR="00AD6650" w:rsidRPr="00162969">
        <w:rPr>
          <w:b/>
        </w:rPr>
        <w:t xml:space="preserve">France </w:t>
      </w:r>
      <w:r w:rsidR="00AD6650" w:rsidRPr="00162969">
        <w:t xml:space="preserve">(22% of Group revenues), with revenues up 6.9% year-on-year. The Manufacturing sector was the most buoyant during the period, growing in excess of 10%. By business, growth was driven by Applications &amp; Technology services and Digital and Cloud demand. </w:t>
      </w:r>
      <w:r w:rsidR="00AD6650" w:rsidRPr="00162969">
        <w:rPr>
          <w:rFonts w:ascii="Verdana" w:hAnsi="Verdana"/>
        </w:rPr>
        <w:t>The operating margin improved 120 basis points year-on-year to 9.6% of revenues.</w:t>
      </w:r>
    </w:p>
    <w:p w14:paraId="5B03FD25" w14:textId="515E7FDB" w:rsidR="00B00202" w:rsidRPr="00162969" w:rsidRDefault="00230C70" w:rsidP="00662042">
      <w:pPr>
        <w:spacing w:before="120" w:after="120" w:line="288" w:lineRule="auto"/>
        <w:rPr>
          <w:rFonts w:ascii="Verdana" w:hAnsi="Verdana" w:cs="Arial"/>
        </w:rPr>
      </w:pPr>
      <w:r w:rsidRPr="00162969">
        <w:t xml:space="preserve">Growth momentum remained robust in the </w:t>
      </w:r>
      <w:r w:rsidRPr="00162969">
        <w:rPr>
          <w:b/>
        </w:rPr>
        <w:t>Rest of Europe</w:t>
      </w:r>
      <w:r w:rsidRPr="00162969">
        <w:t xml:space="preserve"> (27% of Group revenues), with a 6.2% increase in revenues at constant exchange rates. The Energy &amp; Utilities, Consumer </w:t>
      </w:r>
      <w:r w:rsidR="004E1C69" w:rsidRPr="00162969">
        <w:t>Goods</w:t>
      </w:r>
      <w:r w:rsidRPr="00162969">
        <w:t xml:space="preserve"> &amp; Retail and Services sectors were the </w:t>
      </w:r>
      <w:r w:rsidR="00312A68" w:rsidRPr="00162969">
        <w:t>strongest over the period</w:t>
      </w:r>
      <w:r w:rsidRPr="00162969">
        <w:t>. The region reported a slight</w:t>
      </w:r>
      <w:r w:rsidR="00BF22A5" w:rsidRPr="00162969">
        <w:t xml:space="preserve">ly lower </w:t>
      </w:r>
      <w:r w:rsidRPr="00162969">
        <w:t xml:space="preserve">operating margin </w:t>
      </w:r>
      <w:r w:rsidR="00BF22A5" w:rsidRPr="00162969">
        <w:t xml:space="preserve">at </w:t>
      </w:r>
      <w:r w:rsidRPr="00162969">
        <w:t>11.3%</w:t>
      </w:r>
      <w:r w:rsidR="00BF22A5" w:rsidRPr="00162969">
        <w:t>,</w:t>
      </w:r>
      <w:r w:rsidRPr="00162969">
        <w:t xml:space="preserve"> from 12.0% </w:t>
      </w:r>
      <w:r w:rsidR="00BF22A5" w:rsidRPr="00162969">
        <w:t xml:space="preserve">a </w:t>
      </w:r>
      <w:r w:rsidRPr="00162969">
        <w:t>year earlier.</w:t>
      </w:r>
    </w:p>
    <w:p w14:paraId="43136B21" w14:textId="33EDD7BD" w:rsidR="00B00202" w:rsidRPr="00162969" w:rsidRDefault="00230C70" w:rsidP="00230C70">
      <w:pPr>
        <w:spacing w:before="120" w:after="120" w:line="288" w:lineRule="auto"/>
        <w:rPr>
          <w:rFonts w:ascii="Verdana" w:hAnsi="Verdana" w:cs="Arial"/>
        </w:rPr>
      </w:pPr>
      <w:r w:rsidRPr="00162969">
        <w:t>Finally,</w:t>
      </w:r>
      <w:r w:rsidR="00801C65" w:rsidRPr="00162969">
        <w:t xml:space="preserve"> </w:t>
      </w:r>
      <w:r w:rsidRPr="00162969">
        <w:t>the</w:t>
      </w:r>
      <w:r w:rsidRPr="00162969">
        <w:rPr>
          <w:b/>
        </w:rPr>
        <w:t xml:space="preserve"> Asia-Pacific and Latin America</w:t>
      </w:r>
      <w:r w:rsidRPr="00162969">
        <w:t xml:space="preserve"> region (7% of Group revenues)</w:t>
      </w:r>
      <w:r w:rsidR="00801C65" w:rsidRPr="00162969">
        <w:t xml:space="preserve"> was particularly dynamic</w:t>
      </w:r>
      <w:r w:rsidRPr="00162969">
        <w:t xml:space="preserve">. Revenues grew 12.2%, with Financial Services and Manufacturing the main drivers. Overall, the region’s operating margin </w:t>
      </w:r>
      <w:r w:rsidR="00E23DEE" w:rsidRPr="00162969">
        <w:t>was slightly down</w:t>
      </w:r>
      <w:r w:rsidRPr="00162969">
        <w:t xml:space="preserve"> </w:t>
      </w:r>
      <w:r w:rsidR="00E23DEE" w:rsidRPr="00162969">
        <w:t>to</w:t>
      </w:r>
      <w:r w:rsidRPr="00162969">
        <w:t xml:space="preserve"> 11.</w:t>
      </w:r>
      <w:r w:rsidR="00B75A09" w:rsidRPr="00162969">
        <w:t>4</w:t>
      </w:r>
      <w:r w:rsidRPr="00162969">
        <w:t xml:space="preserve">%, </w:t>
      </w:r>
      <w:r w:rsidR="00AA7E57" w:rsidRPr="00162969">
        <w:t>compared with</w:t>
      </w:r>
      <w:r w:rsidRPr="00162969">
        <w:t xml:space="preserve"> 11.7% in H1 2018.</w:t>
      </w:r>
    </w:p>
    <w:bookmarkEnd w:id="7"/>
    <w:p w14:paraId="5B01A009" w14:textId="77777777" w:rsidR="00B00202" w:rsidRPr="00162969" w:rsidRDefault="00B00202" w:rsidP="00B00202">
      <w:pPr>
        <w:spacing w:before="120" w:after="120"/>
        <w:rPr>
          <w:rFonts w:ascii="Verdana" w:hAnsi="Verdana" w:cs="Arial"/>
        </w:rPr>
      </w:pPr>
    </w:p>
    <w:p w14:paraId="68656B4F" w14:textId="77777777" w:rsidR="00D159DD" w:rsidRPr="00162969" w:rsidRDefault="00C96D53" w:rsidP="00EF5205">
      <w:pPr>
        <w:pStyle w:val="Heading1"/>
      </w:pPr>
      <w:r w:rsidRPr="00162969">
        <w:t>OPERATIONS BY BUSINESS</w:t>
      </w:r>
    </w:p>
    <w:p w14:paraId="15D2A113" w14:textId="18260117" w:rsidR="00230C70" w:rsidRPr="00162969" w:rsidRDefault="00230C70" w:rsidP="00230C70">
      <w:pPr>
        <w:spacing w:before="120" w:after="120" w:line="288" w:lineRule="auto"/>
        <w:rPr>
          <w:rFonts w:cs="Arial"/>
        </w:rPr>
      </w:pPr>
      <w:bookmarkStart w:id="8" w:name="_Hlk504930058"/>
      <w:r w:rsidRPr="00162969">
        <w:rPr>
          <w:b/>
        </w:rPr>
        <w:t xml:space="preserve">Strategy </w:t>
      </w:r>
      <w:r w:rsidR="004E1C69" w:rsidRPr="00162969">
        <w:rPr>
          <w:b/>
        </w:rPr>
        <w:t>&amp;</w:t>
      </w:r>
      <w:r w:rsidRPr="00162969">
        <w:rPr>
          <w:b/>
        </w:rPr>
        <w:t xml:space="preserve"> Transformation</w:t>
      </w:r>
      <w:r w:rsidRPr="00162969">
        <w:t xml:space="preserve"> consulting services (7% of Group </w:t>
      </w:r>
      <w:r w:rsidR="00501AC3" w:rsidRPr="00162969">
        <w:t>t</w:t>
      </w:r>
      <w:r w:rsidR="00C46584" w:rsidRPr="00162969">
        <w:t xml:space="preserve">otal </w:t>
      </w:r>
      <w:r w:rsidRPr="00162969">
        <w:t>revenues</w:t>
      </w:r>
      <w:r w:rsidR="00C46584" w:rsidRPr="00162969">
        <w:rPr>
          <w:rFonts w:cs="Arial"/>
          <w:vertAlign w:val="superscript"/>
        </w:rPr>
        <w:fldChar w:fldCharType="begin"/>
      </w:r>
      <w:r w:rsidR="00C46584" w:rsidRPr="00162969">
        <w:rPr>
          <w:rFonts w:cs="Arial"/>
          <w:vertAlign w:val="superscript"/>
        </w:rPr>
        <w:instrText xml:space="preserve"> NOTEREF _Ref13738408 \h  \* MERGEFORMAT </w:instrText>
      </w:r>
      <w:r w:rsidR="00C46584" w:rsidRPr="00162969">
        <w:rPr>
          <w:rFonts w:cs="Arial"/>
          <w:vertAlign w:val="superscript"/>
        </w:rPr>
      </w:r>
      <w:r w:rsidR="00C46584" w:rsidRPr="00162969">
        <w:rPr>
          <w:rFonts w:cs="Arial"/>
          <w:vertAlign w:val="superscript"/>
        </w:rPr>
        <w:fldChar w:fldCharType="separate"/>
      </w:r>
      <w:r w:rsidR="00BE4A72" w:rsidRPr="00162969">
        <w:rPr>
          <w:vertAlign w:val="superscript"/>
        </w:rPr>
        <w:t>*</w:t>
      </w:r>
      <w:r w:rsidR="00C46584" w:rsidRPr="00162969">
        <w:rPr>
          <w:rFonts w:cs="Arial"/>
          <w:vertAlign w:val="superscript"/>
        </w:rPr>
        <w:fldChar w:fldCharType="end"/>
      </w:r>
      <w:r w:rsidRPr="00162969">
        <w:t xml:space="preserve">), now grouped under </w:t>
      </w:r>
      <w:r w:rsidRPr="00162969">
        <w:rPr>
          <w:i/>
        </w:rPr>
        <w:t>Capgemini Invent</w:t>
      </w:r>
      <w:r w:rsidRPr="00162969">
        <w:t>, recorded a 19.4% increase at co</w:t>
      </w:r>
      <w:r w:rsidR="00801C65" w:rsidRPr="00162969">
        <w:t>nstant exchange rates in their t</w:t>
      </w:r>
      <w:r w:rsidRPr="00162969">
        <w:t xml:space="preserve">otal revenues. Growth was </w:t>
      </w:r>
      <w:r w:rsidR="00054144" w:rsidRPr="00162969">
        <w:t xml:space="preserve">driven primarily </w:t>
      </w:r>
      <w:r w:rsidRPr="00162969">
        <w:t xml:space="preserve">by the TMT sector and, with the </w:t>
      </w:r>
      <w:r w:rsidR="00054144" w:rsidRPr="00162969">
        <w:t xml:space="preserve">contribution </w:t>
      </w:r>
      <w:r w:rsidRPr="00162969">
        <w:t xml:space="preserve">of </w:t>
      </w:r>
      <w:r w:rsidR="00054144" w:rsidRPr="00162969">
        <w:t xml:space="preserve">the </w:t>
      </w:r>
      <w:r w:rsidRPr="00162969">
        <w:t>acquisition</w:t>
      </w:r>
      <w:r w:rsidR="00AA7E57" w:rsidRPr="00162969">
        <w:t>s</w:t>
      </w:r>
      <w:r w:rsidRPr="00162969">
        <w:t>, by Financial Services.</w:t>
      </w:r>
    </w:p>
    <w:p w14:paraId="4C7A148B" w14:textId="6D3A60C3" w:rsidR="00230C70" w:rsidRPr="00162969" w:rsidRDefault="00230C70" w:rsidP="00230C70">
      <w:pPr>
        <w:spacing w:before="120" w:after="120" w:line="288" w:lineRule="auto"/>
        <w:rPr>
          <w:rFonts w:cs="Arial"/>
        </w:rPr>
      </w:pPr>
      <w:r w:rsidRPr="00162969">
        <w:rPr>
          <w:b/>
        </w:rPr>
        <w:t>Applications &amp; Technology</w:t>
      </w:r>
      <w:r w:rsidRPr="00162969">
        <w:t xml:space="preserve"> services (71% of Group </w:t>
      </w:r>
      <w:r w:rsidR="00501AC3" w:rsidRPr="00162969">
        <w:t>t</w:t>
      </w:r>
      <w:r w:rsidR="00C46584" w:rsidRPr="00162969">
        <w:t xml:space="preserve">otal </w:t>
      </w:r>
      <w:r w:rsidRPr="00162969">
        <w:t xml:space="preserve">revenues), the Group's core business, reported </w:t>
      </w:r>
      <w:r w:rsidR="00AA7E57" w:rsidRPr="00162969">
        <w:t xml:space="preserve">total </w:t>
      </w:r>
      <w:r w:rsidRPr="00162969">
        <w:t>revenue growth of 6.6% at constant exchange rates. The</w:t>
      </w:r>
      <w:r w:rsidR="00AA7E57" w:rsidRPr="00162969">
        <w:t xml:space="preserve">se </w:t>
      </w:r>
      <w:r w:rsidR="00054144" w:rsidRPr="00162969">
        <w:t xml:space="preserve">services </w:t>
      </w:r>
      <w:r w:rsidRPr="00162969">
        <w:t xml:space="preserve">are heavily involved in </w:t>
      </w:r>
      <w:r w:rsidR="00AA7E57" w:rsidRPr="00162969">
        <w:t>client</w:t>
      </w:r>
      <w:r w:rsidRPr="00162969">
        <w:t xml:space="preserve"> projects for</w:t>
      </w:r>
      <w:r w:rsidR="00AA7E57" w:rsidRPr="00162969">
        <w:t xml:space="preserve"> </w:t>
      </w:r>
      <w:r w:rsidRPr="00162969">
        <w:t xml:space="preserve">the large-scale roll-out of </w:t>
      </w:r>
      <w:r w:rsidR="00AA7E57" w:rsidRPr="00162969">
        <w:t>their</w:t>
      </w:r>
      <w:r w:rsidRPr="00162969">
        <w:t xml:space="preserve"> digital strategy.</w:t>
      </w:r>
    </w:p>
    <w:p w14:paraId="0272ECA5" w14:textId="3668D129" w:rsidR="00230C70" w:rsidRPr="00162969" w:rsidRDefault="00230C70" w:rsidP="00230C70">
      <w:pPr>
        <w:spacing w:before="120" w:after="120" w:line="288" w:lineRule="auto"/>
        <w:rPr>
          <w:rFonts w:cs="Arial"/>
        </w:rPr>
      </w:pPr>
      <w:r w:rsidRPr="00162969">
        <w:t xml:space="preserve">Finally, </w:t>
      </w:r>
      <w:r w:rsidRPr="00162969">
        <w:rPr>
          <w:b/>
        </w:rPr>
        <w:t>Operations &amp; Engineering</w:t>
      </w:r>
      <w:r w:rsidRPr="00162969">
        <w:t xml:space="preserve"> services (22% of Group </w:t>
      </w:r>
      <w:r w:rsidR="00501AC3" w:rsidRPr="00162969">
        <w:t>t</w:t>
      </w:r>
      <w:r w:rsidR="00C46584" w:rsidRPr="00162969">
        <w:t xml:space="preserve">otal </w:t>
      </w:r>
      <w:r w:rsidRPr="00162969">
        <w:t xml:space="preserve">revenues) grew 3.5% at constant exchange rates. The stabilization of </w:t>
      </w:r>
      <w:r w:rsidR="00AA7E57" w:rsidRPr="00162969">
        <w:t xml:space="preserve">the </w:t>
      </w:r>
      <w:r w:rsidRPr="00162969">
        <w:t>Infrastructure Services and Business Services (Business Process Outsourcing and platforms) activit</w:t>
      </w:r>
      <w:r w:rsidR="004E1C69" w:rsidRPr="00162969">
        <w:t>ies</w:t>
      </w:r>
      <w:r w:rsidRPr="00162969">
        <w:t xml:space="preserve"> observed at the beginning of the year was confirmed, while </w:t>
      </w:r>
      <w:r w:rsidR="004E1C69" w:rsidRPr="00162969">
        <w:t>D</w:t>
      </w:r>
      <w:r w:rsidRPr="00162969">
        <w:t xml:space="preserve">igital </w:t>
      </w:r>
      <w:r w:rsidR="004E1C69" w:rsidRPr="00162969">
        <w:t>M</w:t>
      </w:r>
      <w:r w:rsidRPr="00162969">
        <w:t xml:space="preserve">anufacturing and </w:t>
      </w:r>
      <w:r w:rsidR="004E1C69" w:rsidRPr="00162969">
        <w:t>E</w:t>
      </w:r>
      <w:r w:rsidRPr="00162969">
        <w:t xml:space="preserve">ngineering </w:t>
      </w:r>
      <w:r w:rsidR="00816D5C" w:rsidRPr="00162969">
        <w:t>business</w:t>
      </w:r>
      <w:r w:rsidRPr="00162969">
        <w:t xml:space="preserve"> </w:t>
      </w:r>
      <w:r w:rsidR="00816D5C" w:rsidRPr="00162969">
        <w:t>is buoyant</w:t>
      </w:r>
      <w:r w:rsidRPr="00162969">
        <w:t>.</w:t>
      </w:r>
    </w:p>
    <w:p w14:paraId="0DED28BF" w14:textId="77777777" w:rsidR="0009087E" w:rsidRPr="00162969" w:rsidRDefault="0009087E" w:rsidP="00230C70">
      <w:pPr>
        <w:spacing w:before="120" w:after="120" w:line="288" w:lineRule="auto"/>
        <w:rPr>
          <w:rFonts w:cs="Arial"/>
        </w:rPr>
      </w:pPr>
    </w:p>
    <w:bookmarkEnd w:id="8"/>
    <w:p w14:paraId="5E40E0B5" w14:textId="77777777" w:rsidR="00B00202" w:rsidRPr="00162969" w:rsidRDefault="00C96D53" w:rsidP="00EF5205">
      <w:pPr>
        <w:pStyle w:val="Heading1"/>
      </w:pPr>
      <w:r w:rsidRPr="00162969">
        <w:t>Q2 TRENDS</w:t>
      </w:r>
    </w:p>
    <w:p w14:paraId="79F96EDF" w14:textId="77777777" w:rsidR="00B00202" w:rsidRPr="00162969" w:rsidRDefault="0009087E" w:rsidP="003A5C07">
      <w:pPr>
        <w:spacing w:before="120" w:after="120" w:line="276" w:lineRule="auto"/>
        <w:rPr>
          <w:rFonts w:ascii="Verdana" w:hAnsi="Verdana" w:cs="Arial"/>
        </w:rPr>
      </w:pPr>
      <w:r w:rsidRPr="00162969">
        <w:rPr>
          <w:rFonts w:ascii="Verdana" w:hAnsi="Verdana"/>
        </w:rPr>
        <w:t xml:space="preserve">Q2 revenues totaled €3,566 million, up 5.7% at constant exchange rates and 4.7% at constant Group scope and exchange rates. </w:t>
      </w:r>
    </w:p>
    <w:p w14:paraId="711F4929" w14:textId="5A7A3E99" w:rsidR="00F22BEB" w:rsidRPr="00162969" w:rsidRDefault="008D2D67" w:rsidP="003A5C07">
      <w:pPr>
        <w:spacing w:before="120" w:after="120" w:line="276" w:lineRule="auto"/>
        <w:rPr>
          <w:rFonts w:ascii="Verdana" w:hAnsi="Verdana" w:cs="Arial"/>
        </w:rPr>
      </w:pPr>
      <w:r w:rsidRPr="00162969">
        <w:rPr>
          <w:rFonts w:ascii="Verdana" w:hAnsi="Verdana"/>
        </w:rPr>
        <w:t xml:space="preserve">Activity accelerated slightly in Europe and </w:t>
      </w:r>
      <w:r w:rsidR="00E223EF" w:rsidRPr="00162969">
        <w:rPr>
          <w:rFonts w:ascii="Verdana" w:hAnsi="Verdana"/>
        </w:rPr>
        <w:t xml:space="preserve">notably in </w:t>
      </w:r>
      <w:r w:rsidRPr="00162969">
        <w:rPr>
          <w:rFonts w:ascii="Verdana" w:hAnsi="Verdana"/>
        </w:rPr>
        <w:t xml:space="preserve">France (+8.9% year-on-year at constant exchange rates), as well as in the United Kingdom &amp; Ireland region (+9.5%), while momentum remained strong in the Rest of Europe (+6.1%). The North America region slowed (+0.8%), as expected, due to a comparison basis that peaked in the second quarter </w:t>
      </w:r>
      <w:r w:rsidR="00801C65" w:rsidRPr="00162969">
        <w:rPr>
          <w:rFonts w:ascii="Verdana" w:hAnsi="Verdana"/>
        </w:rPr>
        <w:t>with</w:t>
      </w:r>
      <w:r w:rsidRPr="00162969">
        <w:rPr>
          <w:rFonts w:ascii="Verdana" w:hAnsi="Verdana"/>
        </w:rPr>
        <w:t xml:space="preserve"> growth of 19.4% reported in Q2 2018. </w:t>
      </w:r>
      <w:r w:rsidR="00801C65" w:rsidRPr="00162969">
        <w:rPr>
          <w:rFonts w:ascii="Verdana" w:hAnsi="Verdana"/>
        </w:rPr>
        <w:t>This region’s</w:t>
      </w:r>
      <w:r w:rsidRPr="00162969">
        <w:rPr>
          <w:rFonts w:ascii="Verdana" w:hAnsi="Verdana"/>
        </w:rPr>
        <w:t xml:space="preserve"> growth is therefore expected to accelerate from Q3. Finally, the Asia-Pacific and Latin America region </w:t>
      </w:r>
      <w:r w:rsidR="005F3F8C" w:rsidRPr="00162969">
        <w:rPr>
          <w:rFonts w:ascii="Verdana" w:hAnsi="Verdana"/>
        </w:rPr>
        <w:t xml:space="preserve">growth </w:t>
      </w:r>
      <w:r w:rsidRPr="00162969">
        <w:rPr>
          <w:rFonts w:ascii="Verdana" w:hAnsi="Verdana"/>
        </w:rPr>
        <w:t>remained in double digits during the period, growing +10.9%.</w:t>
      </w:r>
    </w:p>
    <w:p w14:paraId="58469651" w14:textId="77777777" w:rsidR="000612F0" w:rsidRPr="00162969" w:rsidRDefault="000612F0" w:rsidP="003A5C07">
      <w:pPr>
        <w:spacing w:before="120" w:after="120" w:line="276" w:lineRule="auto"/>
        <w:rPr>
          <w:rFonts w:ascii="Verdana" w:hAnsi="Verdana" w:cs="Arial"/>
        </w:rPr>
      </w:pPr>
      <w:r w:rsidRPr="00162969">
        <w:rPr>
          <w:rFonts w:ascii="Verdana" w:hAnsi="Verdana"/>
        </w:rPr>
        <w:t>Bookings rose 6.7% at constant exchange rates to €3,734 million.</w:t>
      </w:r>
    </w:p>
    <w:p w14:paraId="270174F9" w14:textId="77777777" w:rsidR="00B00202" w:rsidRPr="00162969" w:rsidRDefault="00B00202" w:rsidP="00B00202">
      <w:pPr>
        <w:spacing w:before="120" w:after="120"/>
        <w:rPr>
          <w:rFonts w:ascii="Verdana" w:hAnsi="Verdana" w:cs="Arial"/>
          <w:b/>
        </w:rPr>
      </w:pPr>
    </w:p>
    <w:p w14:paraId="7DF13C3C" w14:textId="77777777" w:rsidR="00B00202" w:rsidRPr="00162969" w:rsidRDefault="00C96D53" w:rsidP="00EF5205">
      <w:pPr>
        <w:pStyle w:val="Heading1"/>
      </w:pPr>
      <w:r w:rsidRPr="00162969">
        <w:lastRenderedPageBreak/>
        <w:t>HEADCOUNT</w:t>
      </w:r>
    </w:p>
    <w:p w14:paraId="2AA0CA73" w14:textId="77777777" w:rsidR="00980F65" w:rsidRPr="00162969" w:rsidRDefault="00980F65" w:rsidP="003A5C07">
      <w:pPr>
        <w:pStyle w:val="BodyText"/>
        <w:spacing w:line="276" w:lineRule="auto"/>
      </w:pPr>
      <w:r w:rsidRPr="00162969">
        <w:t xml:space="preserve">At June 30, 2019, the Group’s total headcount stood at 216,800, up 5.5% year-on-year, with an increase in employees in offshore centers to 125,100 (58% of the total headcount). </w:t>
      </w:r>
    </w:p>
    <w:p w14:paraId="758372F8" w14:textId="77777777" w:rsidR="00B00202" w:rsidRPr="00162969" w:rsidRDefault="00B00202" w:rsidP="00B00202">
      <w:pPr>
        <w:spacing w:before="120" w:after="120"/>
        <w:rPr>
          <w:rFonts w:ascii="Verdana" w:hAnsi="Verdana" w:cs="Arial"/>
        </w:rPr>
      </w:pPr>
    </w:p>
    <w:p w14:paraId="4EDE8217" w14:textId="77777777" w:rsidR="00B00202" w:rsidRPr="00162969" w:rsidRDefault="00C96D53" w:rsidP="00EF5205">
      <w:pPr>
        <w:pStyle w:val="Heading1"/>
      </w:pPr>
      <w:r w:rsidRPr="00162969">
        <w:t>BALANCE SHEET</w:t>
      </w:r>
    </w:p>
    <w:p w14:paraId="493178B5" w14:textId="4039885D" w:rsidR="00B00202" w:rsidRPr="00162969" w:rsidRDefault="00B00202" w:rsidP="003A5C07">
      <w:pPr>
        <w:spacing w:before="120" w:after="120" w:line="276" w:lineRule="auto"/>
        <w:rPr>
          <w:rFonts w:ascii="Verdana" w:hAnsi="Verdana" w:cs="Arial"/>
        </w:rPr>
      </w:pPr>
      <w:r w:rsidRPr="00162969">
        <w:rPr>
          <w:rFonts w:ascii="Verdana" w:hAnsi="Verdana"/>
        </w:rPr>
        <w:t>The Group had €1,</w:t>
      </w:r>
      <w:r w:rsidR="00801C65" w:rsidRPr="00162969">
        <w:rPr>
          <w:rFonts w:ascii="Verdana" w:hAnsi="Verdana"/>
        </w:rPr>
        <w:t>663</w:t>
      </w:r>
      <w:r w:rsidRPr="00162969">
        <w:rPr>
          <w:rFonts w:ascii="Verdana" w:hAnsi="Verdana"/>
        </w:rPr>
        <w:t xml:space="preserve"> million in cash and cash equivalents (net of bank overdrafts) at June 30, 2019. After accounting for borrowings (excluding lease liabilities) of €3,491 million, cash management assets and derivative instruments, Group net debt* is €1,621 million at the end of H1 2019, compared with €1,104 million at January</w:t>
      </w:r>
      <w:r w:rsidR="00E23DEE" w:rsidRPr="00162969">
        <w:rPr>
          <w:rFonts w:ascii="Verdana" w:hAnsi="Verdana"/>
        </w:rPr>
        <w:t> </w:t>
      </w:r>
      <w:r w:rsidRPr="00162969">
        <w:rPr>
          <w:rFonts w:ascii="Verdana" w:hAnsi="Verdana"/>
        </w:rPr>
        <w:t>1, 2019 and €2,192 million at June 30, 2018 (i.e. before the application of IFRS 16</w:t>
      </w:r>
      <w:r w:rsidR="00116355" w:rsidRPr="00162969">
        <w:rPr>
          <w:rFonts w:ascii="Verdana" w:hAnsi="Verdana" w:cs="Arial"/>
          <w:vertAlign w:val="superscript"/>
        </w:rPr>
        <w:fldChar w:fldCharType="begin"/>
      </w:r>
      <w:r w:rsidR="00116355" w:rsidRPr="00162969">
        <w:rPr>
          <w:rFonts w:ascii="Verdana" w:hAnsi="Verdana" w:cs="Arial"/>
          <w:vertAlign w:val="superscript"/>
        </w:rPr>
        <w:instrText xml:space="preserve"> NOTEREF _Ref14022851 \h  \* MERGEFORMAT </w:instrText>
      </w:r>
      <w:r w:rsidR="00116355" w:rsidRPr="00162969">
        <w:rPr>
          <w:rFonts w:ascii="Verdana" w:hAnsi="Verdana" w:cs="Arial"/>
          <w:vertAlign w:val="superscript"/>
        </w:rPr>
      </w:r>
      <w:r w:rsidR="00116355" w:rsidRPr="00162969">
        <w:rPr>
          <w:rFonts w:ascii="Verdana" w:hAnsi="Verdana" w:cs="Arial"/>
          <w:vertAlign w:val="superscript"/>
        </w:rPr>
        <w:fldChar w:fldCharType="separate"/>
      </w:r>
      <w:r w:rsidR="00BE4A72" w:rsidRPr="00162969">
        <w:rPr>
          <w:rFonts w:ascii="Verdana" w:hAnsi="Verdana" w:cs="Arial"/>
          <w:vertAlign w:val="superscript"/>
        </w:rPr>
        <w:t>2</w:t>
      </w:r>
      <w:r w:rsidR="00116355" w:rsidRPr="00162969">
        <w:rPr>
          <w:rFonts w:ascii="Verdana" w:hAnsi="Verdana" w:cs="Arial"/>
          <w:vertAlign w:val="superscript"/>
        </w:rPr>
        <w:fldChar w:fldCharType="end"/>
      </w:r>
      <w:r w:rsidRPr="00162969">
        <w:rPr>
          <w:rFonts w:ascii="Verdana" w:hAnsi="Verdana"/>
        </w:rPr>
        <w:t xml:space="preserve"> from January 1, 2019). </w:t>
      </w:r>
    </w:p>
    <w:p w14:paraId="09F0951E" w14:textId="77777777" w:rsidR="00B00202" w:rsidRPr="00162969" w:rsidRDefault="00CE5359" w:rsidP="00B00202">
      <w:pPr>
        <w:spacing w:before="120" w:after="120"/>
        <w:rPr>
          <w:rFonts w:ascii="Verdana" w:hAnsi="Verdana" w:cs="Arial"/>
        </w:rPr>
      </w:pPr>
      <w:r w:rsidRPr="00162969">
        <w:rPr>
          <w:rFonts w:ascii="Verdana" w:hAnsi="Verdana"/>
        </w:rPr>
        <w:t>The proposed acquisition of Altran did not impact the Group’s balance sheet structure at June 30, 2019.</w:t>
      </w:r>
    </w:p>
    <w:p w14:paraId="6D955FCF" w14:textId="77777777" w:rsidR="00E62AD7" w:rsidRPr="00162969" w:rsidRDefault="00E62AD7" w:rsidP="00B00202">
      <w:pPr>
        <w:spacing w:before="120" w:after="120"/>
        <w:rPr>
          <w:rFonts w:ascii="Verdana" w:hAnsi="Verdana" w:cs="Arial"/>
        </w:rPr>
      </w:pPr>
    </w:p>
    <w:p w14:paraId="16898615" w14:textId="19366CC1" w:rsidR="00C96D53" w:rsidRPr="00162969" w:rsidRDefault="00C96D53" w:rsidP="00B00202">
      <w:pPr>
        <w:spacing w:before="120" w:after="120"/>
        <w:rPr>
          <w:rFonts w:ascii="Verdana" w:hAnsi="Verdana" w:cs="Arial"/>
          <w:b/>
        </w:rPr>
      </w:pPr>
      <w:r w:rsidRPr="00162969">
        <w:rPr>
          <w:rFonts w:ascii="Verdana" w:hAnsi="Verdana"/>
          <w:b/>
        </w:rPr>
        <w:t xml:space="preserve">PROPOSED ACQUISITION OF ALTRAN </w:t>
      </w:r>
      <w:r w:rsidR="008F1DAC" w:rsidRPr="00162969">
        <w:rPr>
          <w:rFonts w:ascii="Verdana" w:hAnsi="Verdana"/>
          <w:b/>
        </w:rPr>
        <w:t>TECHNOLOGIES</w:t>
      </w:r>
    </w:p>
    <w:p w14:paraId="34E98D1A" w14:textId="511705AE" w:rsidR="00D73FD4" w:rsidRPr="00162969" w:rsidRDefault="00CE5359" w:rsidP="00D73FD4">
      <w:pPr>
        <w:spacing w:before="120" w:after="120" w:line="276" w:lineRule="auto"/>
        <w:rPr>
          <w:rFonts w:ascii="Verdana" w:hAnsi="Verdana" w:cs="Arial"/>
        </w:rPr>
      </w:pPr>
      <w:r w:rsidRPr="00162969">
        <w:rPr>
          <w:rFonts w:ascii="Verdana" w:hAnsi="Verdana"/>
        </w:rPr>
        <w:t xml:space="preserve">On June 24, 2019, Capgemini and Altran Technologies (Euronext Paris: ALT), the global leader in Engineering and R&amp;D services, jointly announced they had entered into an agreement for exclusive negotiations whereby Capgemini would acquire Altran, through a friendly </w:t>
      </w:r>
      <w:r w:rsidR="008F1DAC" w:rsidRPr="00162969">
        <w:rPr>
          <w:rFonts w:ascii="Verdana" w:hAnsi="Verdana"/>
        </w:rPr>
        <w:t>public offer</w:t>
      </w:r>
      <w:r w:rsidRPr="00162969">
        <w:rPr>
          <w:rFonts w:ascii="Verdana" w:hAnsi="Verdana"/>
        </w:rPr>
        <w:t xml:space="preserve"> at €14.00 per Altran share, payable in cash. This project seeks to create a global digital transformation leader for industrial and tech companies. The agreement was unanimously approved by the Capgemini and Altran Boards of Directors.</w:t>
      </w:r>
    </w:p>
    <w:p w14:paraId="7ED6DE21" w14:textId="77777777" w:rsidR="00EF2430" w:rsidRPr="00162969" w:rsidRDefault="0049013D" w:rsidP="00EF2430">
      <w:pPr>
        <w:spacing w:before="120" w:after="120" w:line="276" w:lineRule="auto"/>
        <w:rPr>
          <w:rFonts w:ascii="Verdana" w:hAnsi="Verdana" w:cs="Arial"/>
        </w:rPr>
      </w:pPr>
      <w:r w:rsidRPr="00162969">
        <w:rPr>
          <w:rFonts w:ascii="Verdana" w:hAnsi="Verdana"/>
        </w:rPr>
        <w:t xml:space="preserve">Capgemini has secured a bridge financing of €5.4 billion, covering the purchase of securities </w:t>
      </w:r>
      <w:r w:rsidR="00801C65" w:rsidRPr="00162969">
        <w:rPr>
          <w:rFonts w:ascii="Verdana" w:hAnsi="Verdana"/>
        </w:rPr>
        <w:t xml:space="preserve">(€3.6 billion) </w:t>
      </w:r>
      <w:r w:rsidRPr="00162969">
        <w:rPr>
          <w:rFonts w:ascii="Verdana" w:hAnsi="Verdana"/>
        </w:rPr>
        <w:t>as well as the gross debt</w:t>
      </w:r>
      <w:r w:rsidR="00801C65" w:rsidRPr="00162969">
        <w:rPr>
          <w:rFonts w:ascii="Verdana" w:hAnsi="Verdana"/>
        </w:rPr>
        <w:t xml:space="preserve"> (€1.8 billion)</w:t>
      </w:r>
      <w:r w:rsidRPr="00162969">
        <w:rPr>
          <w:rFonts w:ascii="Verdana" w:hAnsi="Verdana"/>
        </w:rPr>
        <w:t xml:space="preserve">. </w:t>
      </w:r>
    </w:p>
    <w:p w14:paraId="1414A754" w14:textId="3AABF7D4" w:rsidR="00EF2430" w:rsidRPr="00162969" w:rsidRDefault="00CE5359" w:rsidP="00CE5359">
      <w:pPr>
        <w:spacing w:before="120" w:after="120" w:line="276" w:lineRule="auto"/>
        <w:rPr>
          <w:rFonts w:ascii="Verdana" w:hAnsi="Verdana" w:cs="Arial"/>
        </w:rPr>
      </w:pPr>
      <w:r w:rsidRPr="00162969">
        <w:rPr>
          <w:rFonts w:ascii="Verdana" w:hAnsi="Verdana"/>
        </w:rPr>
        <w:t xml:space="preserve">Additionally, on July 2, 2019, Capgemini </w:t>
      </w:r>
      <w:r w:rsidR="00801C65" w:rsidRPr="00162969">
        <w:rPr>
          <w:rFonts w:ascii="Verdana" w:hAnsi="Verdana"/>
        </w:rPr>
        <w:t>announced</w:t>
      </w:r>
      <w:r w:rsidRPr="00162969">
        <w:rPr>
          <w:rFonts w:ascii="Verdana" w:hAnsi="Verdana"/>
        </w:rPr>
        <w:t xml:space="preserve"> that it held 29,378,319 Altran shares following settlement and delivery of the off-market acquisition of a block of shares from the concert formed around </w:t>
      </w:r>
      <w:proofErr w:type="spellStart"/>
      <w:r w:rsidRPr="00162969">
        <w:rPr>
          <w:rFonts w:ascii="Verdana" w:hAnsi="Verdana"/>
        </w:rPr>
        <w:t>Apax</w:t>
      </w:r>
      <w:proofErr w:type="spellEnd"/>
      <w:r w:rsidRPr="00162969">
        <w:rPr>
          <w:rFonts w:ascii="Verdana" w:hAnsi="Verdana"/>
        </w:rPr>
        <w:t xml:space="preserve"> Partners</w:t>
      </w:r>
      <w:r w:rsidR="008F1DAC" w:rsidRPr="00162969">
        <w:rPr>
          <w:rStyle w:val="FootnoteReference"/>
          <w:rFonts w:ascii="Verdana" w:hAnsi="Verdana"/>
        </w:rPr>
        <w:footnoteReference w:id="5"/>
      </w:r>
      <w:r w:rsidRPr="00162969">
        <w:rPr>
          <w:rFonts w:ascii="Verdana" w:hAnsi="Verdana"/>
        </w:rPr>
        <w:t>. This transaction follows the signature on June 24, 2019 of a definitive agreement to acquire this block, representing 11.43% of Altran’s share capital.</w:t>
      </w:r>
    </w:p>
    <w:p w14:paraId="7764076C" w14:textId="77777777" w:rsidR="00C96D53" w:rsidRPr="00162969" w:rsidRDefault="00C96D53" w:rsidP="00B00202">
      <w:pPr>
        <w:spacing w:before="120" w:after="120"/>
        <w:rPr>
          <w:rFonts w:ascii="Verdana" w:hAnsi="Verdana" w:cs="Arial"/>
          <w:b/>
        </w:rPr>
      </w:pPr>
    </w:p>
    <w:p w14:paraId="537DA621" w14:textId="77777777" w:rsidR="00B00202" w:rsidRPr="00162969" w:rsidRDefault="00C96D53" w:rsidP="000E6BB7">
      <w:pPr>
        <w:pStyle w:val="Heading1"/>
      </w:pPr>
      <w:r w:rsidRPr="00162969">
        <w:t>CONFERENCE CALL</w:t>
      </w:r>
    </w:p>
    <w:p w14:paraId="165B2F69" w14:textId="22413FE5" w:rsidR="00B00202" w:rsidRPr="00162969" w:rsidRDefault="00B00202" w:rsidP="003A5C07">
      <w:pPr>
        <w:spacing w:before="120" w:after="120" w:line="276" w:lineRule="auto"/>
        <w:rPr>
          <w:rFonts w:ascii="Verdana" w:hAnsi="Verdana" w:cs="Arial"/>
        </w:rPr>
      </w:pPr>
      <w:r w:rsidRPr="00162969">
        <w:rPr>
          <w:rFonts w:ascii="Verdana" w:hAnsi="Verdana"/>
        </w:rPr>
        <w:t xml:space="preserve">Paul </w:t>
      </w:r>
      <w:proofErr w:type="spellStart"/>
      <w:r w:rsidRPr="00162969">
        <w:rPr>
          <w:rFonts w:ascii="Verdana" w:hAnsi="Verdana"/>
        </w:rPr>
        <w:t>Hermelin</w:t>
      </w:r>
      <w:proofErr w:type="spellEnd"/>
      <w:r w:rsidRPr="00162969">
        <w:rPr>
          <w:rFonts w:ascii="Verdana" w:hAnsi="Verdana"/>
        </w:rPr>
        <w:t xml:space="preserve">, Chairman and Chief Executive Officer, Carole Ferrand, Chief Financial Officer and Rosemary Stark, </w:t>
      </w:r>
      <w:r w:rsidR="004E1C69" w:rsidRPr="00162969">
        <w:rPr>
          <w:rFonts w:ascii="Verdana" w:hAnsi="Verdana"/>
        </w:rPr>
        <w:t>Chief</w:t>
      </w:r>
      <w:r w:rsidRPr="00162969">
        <w:rPr>
          <w:rFonts w:ascii="Verdana" w:hAnsi="Verdana"/>
        </w:rPr>
        <w:t xml:space="preserve"> Sales Officer, will present this press release during a conference call in English to be held </w:t>
      </w:r>
      <w:r w:rsidRPr="00162969">
        <w:rPr>
          <w:rFonts w:ascii="Verdana" w:hAnsi="Verdana"/>
          <w:b/>
        </w:rPr>
        <w:t>today at 8.00 a.m. Paris time (CET)</w:t>
      </w:r>
      <w:r w:rsidRPr="00162969">
        <w:rPr>
          <w:rFonts w:ascii="Verdana" w:hAnsi="Verdana"/>
        </w:rPr>
        <w:t xml:space="preserve">. </w:t>
      </w:r>
      <w:r w:rsidRPr="00162969">
        <w:t xml:space="preserve">You can follow this conference call live via webcast at the following </w:t>
      </w:r>
      <w:hyperlink r:id="rId11" w:history="1">
        <w:r w:rsidRPr="00162969">
          <w:rPr>
            <w:rStyle w:val="Hyperlink"/>
            <w:rFonts w:ascii="Verdana" w:hAnsi="Verdana"/>
          </w:rPr>
          <w:t>link</w:t>
        </w:r>
      </w:hyperlink>
      <w:r w:rsidRPr="00162969">
        <w:t>. A replay will also be available for a period of one year.</w:t>
      </w:r>
      <w:r w:rsidRPr="00162969">
        <w:rPr>
          <w:rFonts w:ascii="Verdana" w:hAnsi="Verdana"/>
        </w:rPr>
        <w:t xml:space="preserve"> </w:t>
      </w:r>
    </w:p>
    <w:p w14:paraId="43368671" w14:textId="47BA8AAB" w:rsidR="007D6284" w:rsidRPr="00162969" w:rsidRDefault="00B00202" w:rsidP="00D73FD4">
      <w:pPr>
        <w:spacing w:before="120" w:after="120" w:line="276" w:lineRule="auto"/>
        <w:rPr>
          <w:rFonts w:ascii="Verdana" w:hAnsi="Verdana" w:cs="Arial"/>
        </w:rPr>
      </w:pPr>
      <w:r w:rsidRPr="00162969">
        <w:rPr>
          <w:rFonts w:ascii="Verdana" w:hAnsi="Verdana"/>
        </w:rPr>
        <w:t xml:space="preserve">All documents relating to this publication will be placed online on the Capgemini investor website at </w:t>
      </w:r>
      <w:hyperlink r:id="rId12" w:history="1">
        <w:r w:rsidR="009368E7" w:rsidRPr="00162969">
          <w:rPr>
            <w:rStyle w:val="Hyperlink"/>
          </w:rPr>
          <w:t>https://investors.capgemini.com/en/financial-results/</w:t>
        </w:r>
      </w:hyperlink>
      <w:r w:rsidRPr="00162969">
        <w:rPr>
          <w:rFonts w:ascii="Verdana" w:hAnsi="Verdana"/>
        </w:rPr>
        <w:t>.</w:t>
      </w:r>
    </w:p>
    <w:p w14:paraId="1DD078D7" w14:textId="77777777" w:rsidR="00D73FD4" w:rsidRPr="00162969" w:rsidRDefault="00D73FD4" w:rsidP="00B00202">
      <w:pPr>
        <w:spacing w:before="120" w:after="120"/>
        <w:rPr>
          <w:rFonts w:ascii="Verdana" w:hAnsi="Verdana" w:cs="Arial"/>
        </w:rPr>
      </w:pPr>
    </w:p>
    <w:p w14:paraId="61B89723" w14:textId="77777777" w:rsidR="00B00202" w:rsidRPr="00162969" w:rsidRDefault="00B00202" w:rsidP="007D6284">
      <w:pPr>
        <w:pStyle w:val="Heading1"/>
      </w:pPr>
      <w:r w:rsidRPr="00162969">
        <w:t>PROVISIONAL CALENDAR</w:t>
      </w:r>
    </w:p>
    <w:p w14:paraId="018AFB0D" w14:textId="77777777" w:rsidR="00B00202" w:rsidRPr="00162969" w:rsidRDefault="00B00202" w:rsidP="00AA7E57">
      <w:pPr>
        <w:tabs>
          <w:tab w:val="left" w:pos="2268"/>
        </w:tabs>
        <w:spacing w:line="276" w:lineRule="auto"/>
        <w:rPr>
          <w:rFonts w:ascii="Verdana" w:hAnsi="Verdana" w:cs="Arial"/>
        </w:rPr>
      </w:pPr>
      <w:r w:rsidRPr="00162969">
        <w:rPr>
          <w:rFonts w:ascii="Verdana" w:hAnsi="Verdana"/>
        </w:rPr>
        <w:t>October 24, 2019</w:t>
      </w:r>
      <w:r w:rsidRPr="00162969">
        <w:rPr>
          <w:rFonts w:ascii="Verdana" w:hAnsi="Verdana"/>
        </w:rPr>
        <w:tab/>
        <w:t>Q3 2019 revenues</w:t>
      </w:r>
    </w:p>
    <w:p w14:paraId="4BCDD353" w14:textId="4DCD3522" w:rsidR="00B00202" w:rsidRPr="00162969" w:rsidRDefault="00B00202" w:rsidP="00AA7E57">
      <w:pPr>
        <w:tabs>
          <w:tab w:val="left" w:pos="2268"/>
        </w:tabs>
        <w:spacing w:line="276" w:lineRule="auto"/>
        <w:rPr>
          <w:rFonts w:ascii="Verdana" w:hAnsi="Verdana" w:cs="Arial"/>
        </w:rPr>
      </w:pPr>
      <w:r w:rsidRPr="00162969">
        <w:rPr>
          <w:rFonts w:ascii="Verdana" w:hAnsi="Verdana"/>
        </w:rPr>
        <w:t>February 13, 2020</w:t>
      </w:r>
      <w:r w:rsidRPr="00162969">
        <w:rPr>
          <w:rFonts w:ascii="Verdana" w:hAnsi="Verdana"/>
        </w:rPr>
        <w:tab/>
      </w:r>
      <w:r w:rsidR="009368E7" w:rsidRPr="00162969">
        <w:rPr>
          <w:rFonts w:ascii="Verdana" w:hAnsi="Verdana"/>
        </w:rPr>
        <w:t xml:space="preserve">FY </w:t>
      </w:r>
      <w:r w:rsidRPr="00162969">
        <w:rPr>
          <w:rFonts w:ascii="Verdana" w:hAnsi="Verdana"/>
        </w:rPr>
        <w:t>2019 results</w:t>
      </w:r>
    </w:p>
    <w:p w14:paraId="3230FA6F" w14:textId="77777777" w:rsidR="002C1412" w:rsidRPr="00162969" w:rsidRDefault="002C1412" w:rsidP="00AA7E57">
      <w:pPr>
        <w:tabs>
          <w:tab w:val="left" w:pos="2268"/>
        </w:tabs>
        <w:spacing w:line="276" w:lineRule="auto"/>
        <w:rPr>
          <w:rFonts w:ascii="Verdana" w:hAnsi="Verdana" w:cs="Arial"/>
        </w:rPr>
      </w:pPr>
      <w:r w:rsidRPr="00162969">
        <w:rPr>
          <w:rFonts w:ascii="Verdana" w:hAnsi="Verdana"/>
        </w:rPr>
        <w:t>April 28, 2020</w:t>
      </w:r>
      <w:r w:rsidRPr="00162969">
        <w:rPr>
          <w:rFonts w:ascii="Verdana" w:hAnsi="Verdana"/>
        </w:rPr>
        <w:tab/>
        <w:t>Q1 2020 revenues</w:t>
      </w:r>
    </w:p>
    <w:p w14:paraId="1C044D1E" w14:textId="77777777" w:rsidR="00B00202" w:rsidRPr="00162969" w:rsidRDefault="00B00202" w:rsidP="00B00202">
      <w:pPr>
        <w:tabs>
          <w:tab w:val="left" w:pos="1701"/>
        </w:tabs>
        <w:spacing w:line="288" w:lineRule="auto"/>
        <w:rPr>
          <w:rFonts w:ascii="Verdana" w:hAnsi="Verdana" w:cs="Arial"/>
        </w:rPr>
      </w:pPr>
    </w:p>
    <w:p w14:paraId="6C0F34BD" w14:textId="77777777" w:rsidR="00B00202" w:rsidRPr="00162969" w:rsidRDefault="00C96D53" w:rsidP="007D6284">
      <w:pPr>
        <w:pStyle w:val="Heading1"/>
      </w:pPr>
      <w:r w:rsidRPr="00162969">
        <w:t>DISCLAIMER</w:t>
      </w:r>
    </w:p>
    <w:p w14:paraId="1E672362" w14:textId="77777777" w:rsidR="00B00202" w:rsidRPr="00162969" w:rsidRDefault="00B00202" w:rsidP="003A5C07">
      <w:pPr>
        <w:spacing w:before="120" w:after="120" w:line="276" w:lineRule="auto"/>
        <w:rPr>
          <w:rFonts w:ascii="Verdana" w:hAnsi="Verdana" w:cs="Arial"/>
        </w:rPr>
      </w:pPr>
      <w:r w:rsidRPr="00162969">
        <w:rPr>
          <w:rFonts w:ascii="Verdana" w:hAnsi="Verdana"/>
        </w:rPr>
        <w:t xml:space="preserve">This press release may contain forward-looking statements. Such statements may include projections, estimates, assumptions, statements regarding plans, objectives, intentions and/or expectations with respect to future financial results, events, operations and services and product development, as well as statements, regarding future performance or events. Forward-looking statements are generally identified by the words “expects”, “anticipates”, “believes”, “intends”, “estimates”, “plans”, “projects”, “may”, “would” “should” or the negatives of these terms and similar expressions. Although Capgemini’s management currently believes that the expectations reflected in such forward-looking statements are reasonable, investors are cautioned that forward-looking statements are subject to various risks and uncertainties (including without limitation risks identified in Capgemini’s Registration Document available on Capgemini’s website), because they relate to future events and depend on future circumstances that may or may not occur and may be different from those anticipated, many of which are difficult to predict and generally beyond the control of Capgemini. Actual results and developments </w:t>
      </w:r>
      <w:r w:rsidRPr="00162969">
        <w:rPr>
          <w:rFonts w:ascii="Verdana" w:hAnsi="Verdana"/>
        </w:rPr>
        <w:lastRenderedPageBreak/>
        <w:t>may differ materially from those expressed in, implied by or projected by forward-looking statements. Forward-looking statements are not intended to and do not give any assurances or comfort as to future events or results. Other than as required by applicable law, Capgemini does not undertake any obligation to update or revise any forward-looking statement.</w:t>
      </w:r>
    </w:p>
    <w:p w14:paraId="75C52FA7" w14:textId="18967BE1" w:rsidR="00B00202" w:rsidRPr="00162969" w:rsidRDefault="00B00202" w:rsidP="003A5C07">
      <w:pPr>
        <w:spacing w:before="120" w:after="120" w:line="276" w:lineRule="auto"/>
        <w:rPr>
          <w:rFonts w:ascii="Verdana" w:hAnsi="Verdana"/>
        </w:rPr>
      </w:pPr>
      <w:r w:rsidRPr="00162969">
        <w:rPr>
          <w:rFonts w:ascii="Verdana" w:hAnsi="Verdana"/>
        </w:rPr>
        <w:t>This press release does not contain or constitute an offer of securities for sale or an invitation or inducement to invest in securities in France, the United States or any other jurisdiction.</w:t>
      </w:r>
    </w:p>
    <w:p w14:paraId="601B3616" w14:textId="0EF6D18C" w:rsidR="00A6562D" w:rsidRPr="00162969" w:rsidRDefault="00A6562D" w:rsidP="003A5C07">
      <w:pPr>
        <w:spacing w:before="120" w:after="120" w:line="276" w:lineRule="auto"/>
        <w:rPr>
          <w:rFonts w:ascii="Verdana" w:hAnsi="Verdana"/>
        </w:rPr>
      </w:pPr>
    </w:p>
    <w:p w14:paraId="5D69421A" w14:textId="77777777" w:rsidR="00A6562D" w:rsidRPr="00162969" w:rsidRDefault="00A6562D" w:rsidP="00A6562D">
      <w:pPr>
        <w:pStyle w:val="Heading1"/>
      </w:pPr>
      <w:r w:rsidRPr="00162969">
        <w:t>IMPORTANT INFORMATION</w:t>
      </w:r>
    </w:p>
    <w:p w14:paraId="2A19CBDE" w14:textId="77777777" w:rsidR="00A6562D" w:rsidRPr="00162969" w:rsidRDefault="00A6562D" w:rsidP="00A6562D">
      <w:pPr>
        <w:spacing w:before="120" w:after="120" w:line="276" w:lineRule="auto"/>
        <w:rPr>
          <w:rFonts w:ascii="Verdana" w:hAnsi="Verdana"/>
        </w:rPr>
      </w:pPr>
      <w:r w:rsidRPr="00162969">
        <w:rPr>
          <w:rFonts w:ascii="Verdana" w:hAnsi="Verdana"/>
        </w:rPr>
        <w:t>This press release is disseminated for information purposes only and does not constitute an offer to purchase, or a solicitation of an offer to sell, any securities of Altran Technologies.</w:t>
      </w:r>
    </w:p>
    <w:p w14:paraId="3AAED71F" w14:textId="3826CE74" w:rsidR="00A6562D" w:rsidRPr="00162969" w:rsidRDefault="00A6562D" w:rsidP="00A6562D">
      <w:pPr>
        <w:spacing w:before="120" w:after="120" w:line="276" w:lineRule="auto"/>
        <w:rPr>
          <w:rFonts w:ascii="Verdana" w:hAnsi="Verdana"/>
        </w:rPr>
      </w:pPr>
      <w:r w:rsidRPr="00162969">
        <w:rPr>
          <w:rFonts w:ascii="Verdana" w:hAnsi="Verdana"/>
        </w:rPr>
        <w:t xml:space="preserve">The documentation relating to the tender offer which, if filed, will state the terms and conditions of the tender offer, will be submitted to the review of the </w:t>
      </w:r>
      <w:proofErr w:type="spellStart"/>
      <w:r w:rsidRPr="00162969">
        <w:rPr>
          <w:rFonts w:ascii="Verdana" w:hAnsi="Verdana"/>
        </w:rPr>
        <w:t>Autorité</w:t>
      </w:r>
      <w:proofErr w:type="spellEnd"/>
      <w:r w:rsidRPr="00162969">
        <w:rPr>
          <w:rFonts w:ascii="Verdana" w:hAnsi="Verdana"/>
        </w:rPr>
        <w:t xml:space="preserve"> des </w:t>
      </w:r>
      <w:proofErr w:type="spellStart"/>
      <w:r w:rsidRPr="00162969">
        <w:rPr>
          <w:rFonts w:ascii="Verdana" w:hAnsi="Verdana"/>
        </w:rPr>
        <w:t>marchés</w:t>
      </w:r>
      <w:proofErr w:type="spellEnd"/>
      <w:r w:rsidRPr="00162969">
        <w:rPr>
          <w:rFonts w:ascii="Verdana" w:hAnsi="Verdana"/>
        </w:rPr>
        <w:t xml:space="preserve"> financiers. Investors and shareholders are strongly advised to read the documentation relating to the tender offer when it becomes available, if the offer is filed, as well as any amendments and supplements to those documents as they will contain important information about Capgemini, Altran Technologies and the proposed transaction.</w:t>
      </w:r>
    </w:p>
    <w:p w14:paraId="607F8113" w14:textId="77777777" w:rsidR="00A6562D" w:rsidRPr="00162969" w:rsidRDefault="00A6562D" w:rsidP="00A6562D">
      <w:pPr>
        <w:spacing w:before="120" w:after="120" w:line="276" w:lineRule="auto"/>
        <w:rPr>
          <w:rFonts w:ascii="Verdana" w:hAnsi="Verdana"/>
        </w:rPr>
      </w:pPr>
      <w:r w:rsidRPr="00162969">
        <w:rPr>
          <w:rFonts w:ascii="Verdana" w:hAnsi="Verdana"/>
        </w:rPr>
        <w:t xml:space="preserve">The transaction is notably subject to execution of definitive documentation and obtaining of required regulatory authorizations and other customary conditions. The tender offer would only be filed with the </w:t>
      </w:r>
      <w:proofErr w:type="spellStart"/>
      <w:r w:rsidRPr="00162969">
        <w:rPr>
          <w:rFonts w:ascii="Verdana" w:hAnsi="Verdana"/>
        </w:rPr>
        <w:t>Autorité</w:t>
      </w:r>
      <w:proofErr w:type="spellEnd"/>
      <w:r w:rsidRPr="00162969">
        <w:rPr>
          <w:rFonts w:ascii="Verdana" w:hAnsi="Verdana"/>
        </w:rPr>
        <w:t xml:space="preserve"> des </w:t>
      </w:r>
      <w:proofErr w:type="spellStart"/>
      <w:r w:rsidRPr="00162969">
        <w:rPr>
          <w:rFonts w:ascii="Verdana" w:hAnsi="Verdana"/>
        </w:rPr>
        <w:t>marchés</w:t>
      </w:r>
      <w:proofErr w:type="spellEnd"/>
      <w:r w:rsidRPr="00162969">
        <w:rPr>
          <w:rFonts w:ascii="Verdana" w:hAnsi="Verdana"/>
        </w:rPr>
        <w:t xml:space="preserve"> financiers after such conditions have been fulfilled.</w:t>
      </w:r>
    </w:p>
    <w:p w14:paraId="16879451" w14:textId="77777777" w:rsidR="00A6562D" w:rsidRPr="00162969" w:rsidRDefault="00A6562D" w:rsidP="00A6562D">
      <w:pPr>
        <w:spacing w:before="120" w:after="120" w:line="276" w:lineRule="auto"/>
        <w:rPr>
          <w:rFonts w:ascii="Verdana" w:hAnsi="Verdana"/>
        </w:rPr>
      </w:pPr>
      <w:r w:rsidRPr="00162969">
        <w:rPr>
          <w:rFonts w:ascii="Verdana" w:hAnsi="Verdana"/>
        </w:rPr>
        <w:t>This press release must not be published, broadcast or distributed, directly or indirectly, in any country in which the distribution of this information is subject to legal restrictions. The tender offer will not be open to the public in jurisdictions in which its launch is subject to legal restrictions. The publication, broadcasting or distribution of this press release in certain countries may be subject to legal or regulatory restrictions. Therefore, persons located in countries where this press release is published, broadcasted or distributed must inform themselves about and comply with such restrictions. Capgemini and Altran Technologies disclaim any responsibility for any violation of such restrictions.</w:t>
      </w:r>
    </w:p>
    <w:p w14:paraId="1897B49D" w14:textId="77777777" w:rsidR="00A6562D" w:rsidRPr="00162969" w:rsidRDefault="00A6562D" w:rsidP="00B00202">
      <w:pPr>
        <w:spacing w:before="120" w:after="120"/>
        <w:rPr>
          <w:rFonts w:ascii="Verdana" w:hAnsi="Verdana" w:cs="Arial"/>
        </w:rPr>
      </w:pPr>
    </w:p>
    <w:p w14:paraId="39F9EB3D" w14:textId="77777777" w:rsidR="00B00202" w:rsidRPr="00162969" w:rsidRDefault="00B00202" w:rsidP="007D6284">
      <w:pPr>
        <w:pStyle w:val="Heading1"/>
      </w:pPr>
      <w:r w:rsidRPr="00162969">
        <w:t>ABOUT CAPGEMINI</w:t>
      </w:r>
    </w:p>
    <w:p w14:paraId="43C25821" w14:textId="7C122EF6" w:rsidR="003A5C07" w:rsidRPr="00162969" w:rsidRDefault="003A5C07" w:rsidP="002C22BA">
      <w:pPr>
        <w:spacing w:after="120" w:line="276" w:lineRule="auto"/>
        <w:rPr>
          <w:rFonts w:cs="Arial"/>
        </w:rPr>
      </w:pPr>
      <w:r w:rsidRPr="00162969">
        <w:t xml:space="preserve">A global leader in consulting, technology services and digital transformation, Capgemini is at the forefront of innovation to address the entire breadth of clients’ opportunities in the evolving world of cloud, digital and platforms. Building on its strong 50-year heritage and deep industry-specific expertise, Capgemini enables organizations to realize their business ambitions through an array of services from strategy to operations. Capgemini is driven by the conviction that the business value of technology comes from and through people. It is a multicultural company of over 200,000 team members in </w:t>
      </w:r>
      <w:r w:rsidR="00330FBC">
        <w:t>more than</w:t>
      </w:r>
      <w:r w:rsidRPr="00162969">
        <w:t xml:space="preserve"> 40 countries. The Group reported 2018 global revenues of EUR 13.2 billion.</w:t>
      </w:r>
    </w:p>
    <w:p w14:paraId="11BBC315" w14:textId="77777777" w:rsidR="003A5C07" w:rsidRPr="00162969" w:rsidRDefault="003A5C07" w:rsidP="002C22BA">
      <w:pPr>
        <w:spacing w:line="276" w:lineRule="auto"/>
        <w:rPr>
          <w:rFonts w:cs="Arial"/>
        </w:rPr>
      </w:pPr>
      <w:r w:rsidRPr="00162969">
        <w:t>Visit us at</w:t>
      </w:r>
      <w:r w:rsidR="00541409" w:rsidRPr="00162969">
        <w:t xml:space="preserve"> </w:t>
      </w:r>
      <w:hyperlink r:id="rId13" w:history="1">
        <w:r w:rsidR="00541409" w:rsidRPr="00162969">
          <w:rPr>
            <w:rStyle w:val="Hyperlink"/>
          </w:rPr>
          <w:t>www.capgemini.com</w:t>
        </w:r>
      </w:hyperlink>
      <w:r w:rsidR="00541409" w:rsidRPr="00162969">
        <w:t xml:space="preserve">. </w:t>
      </w:r>
      <w:r w:rsidRPr="00162969">
        <w:rPr>
          <w:i/>
        </w:rPr>
        <w:t>People matter, results count</w:t>
      </w:r>
      <w:r w:rsidRPr="00162969">
        <w:t>.</w:t>
      </w:r>
    </w:p>
    <w:p w14:paraId="6B37AEFA" w14:textId="77777777" w:rsidR="00B00202" w:rsidRPr="00162969" w:rsidRDefault="00B00202" w:rsidP="00B00202">
      <w:pPr>
        <w:rPr>
          <w:rFonts w:ascii="Verdana" w:hAnsi="Verdana" w:cs="Arial"/>
          <w:i/>
          <w:iCs/>
          <w:color w:val="000000"/>
        </w:rPr>
      </w:pPr>
    </w:p>
    <w:p w14:paraId="5240AF6B" w14:textId="77777777" w:rsidR="00B00202" w:rsidRPr="00162969" w:rsidRDefault="00B00202" w:rsidP="00B00202">
      <w:pPr>
        <w:rPr>
          <w:rFonts w:ascii="Verdana" w:hAnsi="Verdana" w:cs="Arial"/>
          <w:i/>
          <w:iCs/>
          <w:color w:val="000000"/>
        </w:rPr>
      </w:pPr>
    </w:p>
    <w:p w14:paraId="16968CCA" w14:textId="77777777" w:rsidR="00B00202" w:rsidRPr="00162969" w:rsidRDefault="00B00202" w:rsidP="00B00202">
      <w:pPr>
        <w:jc w:val="center"/>
        <w:rPr>
          <w:rFonts w:ascii="Verdana" w:hAnsi="Verdana" w:cs="Arial"/>
          <w:iCs/>
          <w:color w:val="000000"/>
        </w:rPr>
      </w:pPr>
      <w:r w:rsidRPr="00162969">
        <w:rPr>
          <w:rFonts w:ascii="Verdana" w:hAnsi="Verdana"/>
          <w:iCs/>
          <w:color w:val="000000"/>
        </w:rPr>
        <w:t>*          *</w:t>
      </w:r>
    </w:p>
    <w:p w14:paraId="28A3F0F5" w14:textId="77777777" w:rsidR="00B00202" w:rsidRPr="00162969" w:rsidRDefault="00B00202" w:rsidP="00B00202">
      <w:pPr>
        <w:jc w:val="center"/>
        <w:rPr>
          <w:rFonts w:ascii="Verdana" w:hAnsi="Verdana" w:cs="Arial"/>
          <w:iCs/>
          <w:color w:val="000000"/>
        </w:rPr>
      </w:pPr>
    </w:p>
    <w:p w14:paraId="345FBD19" w14:textId="77777777" w:rsidR="00B00202" w:rsidRPr="00162969" w:rsidRDefault="00B00202" w:rsidP="00B00202">
      <w:pPr>
        <w:jc w:val="center"/>
        <w:rPr>
          <w:rFonts w:ascii="Verdana" w:hAnsi="Verdana" w:cs="Arial"/>
          <w:iCs/>
          <w:color w:val="000000"/>
        </w:rPr>
      </w:pPr>
      <w:r w:rsidRPr="00162969">
        <w:rPr>
          <w:rFonts w:ascii="Verdana" w:hAnsi="Verdana"/>
          <w:iCs/>
          <w:color w:val="000000"/>
        </w:rPr>
        <w:t>*</w:t>
      </w:r>
    </w:p>
    <w:p w14:paraId="57E6369B" w14:textId="77777777" w:rsidR="00B00202" w:rsidRPr="00162969" w:rsidRDefault="00B00202" w:rsidP="00B00202">
      <w:pPr>
        <w:rPr>
          <w:rFonts w:ascii="Verdana" w:hAnsi="Verdana" w:cs="Arial"/>
        </w:rPr>
      </w:pPr>
    </w:p>
    <w:p w14:paraId="35C9BFEF" w14:textId="77777777" w:rsidR="00B00202" w:rsidRPr="00162969" w:rsidRDefault="00B00202" w:rsidP="00B00202">
      <w:pPr>
        <w:spacing w:before="120" w:after="120"/>
        <w:jc w:val="center"/>
        <w:rPr>
          <w:rFonts w:ascii="Verdana" w:hAnsi="Verdana" w:cs="Arial"/>
          <w:b/>
        </w:rPr>
      </w:pPr>
      <w:r w:rsidRPr="00162969">
        <w:rPr>
          <w:rFonts w:ascii="Verdana" w:hAnsi="Verdana"/>
          <w:b/>
        </w:rPr>
        <w:t>APPENDIX</w:t>
      </w:r>
      <w:r w:rsidR="00E4251B" w:rsidRPr="00162969">
        <w:rPr>
          <w:rStyle w:val="FootnoteReference"/>
          <w:rFonts w:ascii="Verdana" w:hAnsi="Verdana" w:cs="Arial"/>
          <w:b/>
        </w:rPr>
        <w:footnoteReference w:id="6"/>
      </w:r>
    </w:p>
    <w:p w14:paraId="17D515AF" w14:textId="77777777" w:rsidR="00C96D53" w:rsidRPr="00162969" w:rsidRDefault="00C96D53" w:rsidP="00B00202">
      <w:pPr>
        <w:spacing w:before="120" w:after="120"/>
        <w:jc w:val="center"/>
        <w:rPr>
          <w:rFonts w:ascii="Verdana" w:hAnsi="Verdana" w:cs="Arial"/>
          <w:b/>
        </w:rPr>
      </w:pPr>
    </w:p>
    <w:p w14:paraId="64AD9697" w14:textId="77777777" w:rsidR="003A5C07" w:rsidRPr="00162969" w:rsidRDefault="003A5C07" w:rsidP="003A5C07">
      <w:pPr>
        <w:pStyle w:val="Heading1"/>
        <w:spacing w:line="276" w:lineRule="auto"/>
      </w:pPr>
      <w:r w:rsidRPr="00162969">
        <w:t xml:space="preserve">BUSINESS </w:t>
      </w:r>
      <w:r w:rsidR="0091212E" w:rsidRPr="00162969">
        <w:t>CLASSIFICATION</w:t>
      </w:r>
    </w:p>
    <w:p w14:paraId="72770BA6" w14:textId="77777777" w:rsidR="003A5C07" w:rsidRPr="00162969" w:rsidRDefault="003A5C07" w:rsidP="003A5C07">
      <w:pPr>
        <w:spacing w:after="120" w:line="276" w:lineRule="auto"/>
        <w:rPr>
          <w:rFonts w:cs="Arial"/>
        </w:rPr>
      </w:pPr>
      <w:r w:rsidRPr="00162969">
        <w:t>As previously announced, the classification of the Group's business lines was simplified and standardized from January 1, 2019:</w:t>
      </w:r>
    </w:p>
    <w:p w14:paraId="5C06D59D" w14:textId="77777777" w:rsidR="003A5C07" w:rsidRPr="00162969" w:rsidRDefault="003A5C07" w:rsidP="003A5C07">
      <w:pPr>
        <w:pStyle w:val="ListParagraph"/>
        <w:numPr>
          <w:ilvl w:val="0"/>
          <w:numId w:val="6"/>
        </w:numPr>
        <w:spacing w:line="276" w:lineRule="auto"/>
        <w:rPr>
          <w:rFonts w:cs="Arial"/>
        </w:rPr>
      </w:pPr>
      <w:r w:rsidRPr="00162969">
        <w:rPr>
          <w:b/>
        </w:rPr>
        <w:t>Strategy &amp; Transformation</w:t>
      </w:r>
      <w:r w:rsidRPr="00162969">
        <w:t xml:space="preserve"> includes all strategy and transformation consulting services and corresponds to the </w:t>
      </w:r>
      <w:r w:rsidRPr="00162969">
        <w:rPr>
          <w:i/>
        </w:rPr>
        <w:t>Capgemini Invent</w:t>
      </w:r>
      <w:r w:rsidRPr="00162969">
        <w:t xml:space="preserve"> scope;</w:t>
      </w:r>
    </w:p>
    <w:p w14:paraId="0D3DE10C" w14:textId="77777777" w:rsidR="003A5C07" w:rsidRPr="00162969" w:rsidRDefault="003A5C07" w:rsidP="003A5C07">
      <w:pPr>
        <w:pStyle w:val="ListParagraph"/>
        <w:numPr>
          <w:ilvl w:val="0"/>
          <w:numId w:val="6"/>
        </w:numPr>
        <w:spacing w:line="276" w:lineRule="auto"/>
        <w:rPr>
          <w:rFonts w:cs="Arial"/>
        </w:rPr>
      </w:pPr>
      <w:r w:rsidRPr="00162969">
        <w:rPr>
          <w:b/>
        </w:rPr>
        <w:t>Applications &amp; Technology</w:t>
      </w:r>
      <w:r w:rsidRPr="00162969">
        <w:t xml:space="preserve"> brings together “Application Services” and related activities and notably local technology services previously included in “Technology &amp; Engineering Services”; </w:t>
      </w:r>
    </w:p>
    <w:p w14:paraId="19EF4A40" w14:textId="77777777" w:rsidR="003A5C07" w:rsidRPr="00162969" w:rsidRDefault="003A5C07" w:rsidP="003A5C07">
      <w:pPr>
        <w:pStyle w:val="ListParagraph"/>
        <w:numPr>
          <w:ilvl w:val="0"/>
          <w:numId w:val="6"/>
        </w:numPr>
        <w:spacing w:line="276" w:lineRule="auto"/>
        <w:rPr>
          <w:rFonts w:cs="Arial"/>
        </w:rPr>
      </w:pPr>
      <w:r w:rsidRPr="00162969">
        <w:rPr>
          <w:b/>
        </w:rPr>
        <w:lastRenderedPageBreak/>
        <w:t>Operations &amp; Engineering</w:t>
      </w:r>
      <w:r w:rsidRPr="00162969">
        <w:t xml:space="preserve"> encompasses all other Group businesses. These currently comprise: Business Services (including Business Process Outsourcing), all Infrastructure Services (including those previously in “Technology &amp; Engineering Services”) and Digital Engineering and Digital Manufacturing services (previously in “Technology &amp; Engineering Services”).</w:t>
      </w:r>
    </w:p>
    <w:p w14:paraId="0C003845" w14:textId="77777777" w:rsidR="003A5C07" w:rsidRPr="00162969" w:rsidRDefault="003A5C07" w:rsidP="00B00202">
      <w:pPr>
        <w:spacing w:before="120" w:after="120"/>
        <w:jc w:val="center"/>
        <w:rPr>
          <w:rFonts w:ascii="Verdana" w:hAnsi="Verdana" w:cs="Arial"/>
          <w:b/>
        </w:rPr>
      </w:pPr>
    </w:p>
    <w:p w14:paraId="7F7B5953" w14:textId="77777777" w:rsidR="00500495" w:rsidRPr="00162969" w:rsidRDefault="00500495" w:rsidP="00500495">
      <w:pPr>
        <w:pStyle w:val="Heading1"/>
      </w:pPr>
      <w:bookmarkStart w:id="9" w:name="_Hlk504633452"/>
      <w:bookmarkStart w:id="10" w:name="_Hlk535418361"/>
      <w:bookmarkStart w:id="11" w:name="_Hlk432874"/>
      <w:r w:rsidRPr="00162969">
        <w:t>APPLICATION OF IFRS 16 AND ADAPTATION OF PERFORMANCE MEASURES</w:t>
      </w:r>
    </w:p>
    <w:p w14:paraId="3A1EB013" w14:textId="77777777" w:rsidR="00500495" w:rsidRPr="00162969" w:rsidRDefault="00500495" w:rsidP="00500495">
      <w:pPr>
        <w:spacing w:before="120" w:after="120"/>
        <w:rPr>
          <w:szCs w:val="18"/>
        </w:rPr>
      </w:pPr>
      <w:bookmarkStart w:id="12" w:name="_Hlk505326527"/>
      <w:bookmarkStart w:id="13" w:name="_Hlk536430159"/>
      <w:bookmarkEnd w:id="9"/>
      <w:r w:rsidRPr="00162969">
        <w:t>The Group set-out the expected impacts of the application of IFRS 16 from January 1, 2019, when presenting its objectives for 2019 on February 14, 2019.</w:t>
      </w:r>
    </w:p>
    <w:p w14:paraId="4655AA89" w14:textId="2F79D71F" w:rsidR="00500495" w:rsidRPr="00162969" w:rsidRDefault="000A6593" w:rsidP="00500495">
      <w:pPr>
        <w:spacing w:before="120" w:after="120"/>
        <w:rPr>
          <w:szCs w:val="18"/>
        </w:rPr>
      </w:pPr>
      <w:r w:rsidRPr="00162969">
        <w:t>As a result of</w:t>
      </w:r>
      <w:r w:rsidR="006F0CF7" w:rsidRPr="00162969">
        <w:t xml:space="preserve"> </w:t>
      </w:r>
      <w:r w:rsidR="00500495" w:rsidRPr="00162969">
        <w:t>the entry into effect of this standard, the Group appl</w:t>
      </w:r>
      <w:r w:rsidR="009368E7" w:rsidRPr="00162969">
        <w:t>ies</w:t>
      </w:r>
      <w:r w:rsidR="00500495" w:rsidRPr="00162969">
        <w:t xml:space="preserve"> a new accounting treatment to all its leases (primarily real estate leases), similar in substance to that currently applied to finance leases. </w:t>
      </w:r>
    </w:p>
    <w:p w14:paraId="5F7C173E" w14:textId="77777777" w:rsidR="00500495" w:rsidRPr="00162969" w:rsidRDefault="00500495" w:rsidP="00500495">
      <w:pPr>
        <w:spacing w:before="120" w:after="120"/>
        <w:rPr>
          <w:szCs w:val="18"/>
        </w:rPr>
      </w:pPr>
      <w:r w:rsidRPr="00162969">
        <w:t>Essentially, the Group:</w:t>
      </w:r>
    </w:p>
    <w:p w14:paraId="36949EAF" w14:textId="39D9D862" w:rsidR="00500495" w:rsidRPr="00162969" w:rsidRDefault="00500495" w:rsidP="00500495">
      <w:pPr>
        <w:pStyle w:val="ListParagraph"/>
        <w:numPr>
          <w:ilvl w:val="0"/>
          <w:numId w:val="1"/>
        </w:numPr>
        <w:ind w:left="425" w:hanging="357"/>
        <w:rPr>
          <w:szCs w:val="18"/>
        </w:rPr>
      </w:pPr>
      <w:r w:rsidRPr="00162969">
        <w:t>in its</w:t>
      </w:r>
      <w:r w:rsidRPr="00162969">
        <w:rPr>
          <w:b/>
        </w:rPr>
        <w:t xml:space="preserve"> balance sheet</w:t>
      </w:r>
      <w:r w:rsidRPr="00162969">
        <w:t>: recognized, at January 1, 2019, all lease obligations as a debt in liabilities in the amount of €828 million (including €80 million already recognized in respect of finance leases), in line with the €750 to €8</w:t>
      </w:r>
      <w:r w:rsidR="00C4767B" w:rsidRPr="00162969">
        <w:t>5</w:t>
      </w:r>
      <w:r w:rsidRPr="00162969">
        <w:t xml:space="preserve">0 million estimate </w:t>
      </w:r>
      <w:r w:rsidR="00BB0CEF" w:rsidRPr="00162969">
        <w:t xml:space="preserve">communicated in February 2019. </w:t>
      </w:r>
      <w:r w:rsidRPr="00162969">
        <w:t>The corresponding right-of-use was recognized in assets in the amount of €785 million;</w:t>
      </w:r>
    </w:p>
    <w:p w14:paraId="7E986E65" w14:textId="77777777" w:rsidR="00500495" w:rsidRPr="00162969" w:rsidRDefault="00500495" w:rsidP="00500495">
      <w:pPr>
        <w:pStyle w:val="ListParagraph"/>
        <w:numPr>
          <w:ilvl w:val="0"/>
          <w:numId w:val="1"/>
        </w:numPr>
        <w:ind w:left="425" w:hanging="357"/>
        <w:rPr>
          <w:szCs w:val="18"/>
        </w:rPr>
      </w:pPr>
      <w:r w:rsidRPr="00162969">
        <w:t xml:space="preserve">in its </w:t>
      </w:r>
      <w:r w:rsidRPr="00162969">
        <w:rPr>
          <w:b/>
        </w:rPr>
        <w:t>income statement</w:t>
      </w:r>
      <w:r w:rsidRPr="00162969">
        <w:t>: recognized the depreciation of the right-of-use asset over the lease term in operating expenses and the corresponding interest in finance costs, instead of a lease expense in operating expenses;</w:t>
      </w:r>
    </w:p>
    <w:p w14:paraId="38D01C31" w14:textId="77777777" w:rsidR="00500495" w:rsidRPr="00162969" w:rsidRDefault="00500495" w:rsidP="00500495">
      <w:pPr>
        <w:pStyle w:val="ListParagraph"/>
        <w:numPr>
          <w:ilvl w:val="0"/>
          <w:numId w:val="1"/>
        </w:numPr>
        <w:ind w:left="425" w:hanging="357"/>
        <w:rPr>
          <w:szCs w:val="18"/>
        </w:rPr>
      </w:pPr>
      <w:r w:rsidRPr="00162969">
        <w:t xml:space="preserve">in </w:t>
      </w:r>
      <w:r w:rsidRPr="00162969">
        <w:rPr>
          <w:b/>
        </w:rPr>
        <w:t>cash flows</w:t>
      </w:r>
      <w:r w:rsidRPr="00162969">
        <w:t>: recognized cash outflows as repayments of the lease de</w:t>
      </w:r>
      <w:r w:rsidR="00801C65" w:rsidRPr="00162969">
        <w:t>bt rather than a rental payment.</w:t>
      </w:r>
    </w:p>
    <w:p w14:paraId="22D65540" w14:textId="703E7C34" w:rsidR="00500495" w:rsidRPr="00162969" w:rsidRDefault="00500495" w:rsidP="00500495">
      <w:pPr>
        <w:spacing w:before="120" w:after="120"/>
        <w:rPr>
          <w:szCs w:val="18"/>
        </w:rPr>
      </w:pPr>
      <w:r w:rsidRPr="00162969">
        <w:t xml:space="preserve">As announced, the Group does not believe this new accounting treatment modifies the operating nature of </w:t>
      </w:r>
      <w:proofErr w:type="gramStart"/>
      <w:r w:rsidRPr="00162969">
        <w:t>the majority of</w:t>
      </w:r>
      <w:proofErr w:type="gramEnd"/>
      <w:r w:rsidRPr="00162969">
        <w:t xml:space="preserve"> its leases. </w:t>
      </w:r>
      <w:r w:rsidR="009368E7" w:rsidRPr="00162969">
        <w:t>Con</w:t>
      </w:r>
      <w:r w:rsidR="00636A78" w:rsidRPr="00162969">
        <w:t>s</w:t>
      </w:r>
      <w:r w:rsidR="009368E7" w:rsidRPr="00162969">
        <w:t>equently</w:t>
      </w:r>
      <w:r w:rsidRPr="00162969">
        <w:t xml:space="preserve">, to ensure the Group's performance measures continue to best reflect its operating performance, as the distinction between different lease types disappears with the introduction of IFRS 16, the Group considers, </w:t>
      </w:r>
      <w:r w:rsidR="00801C65" w:rsidRPr="00162969">
        <w:rPr>
          <w:b/>
        </w:rPr>
        <w:t>from</w:t>
      </w:r>
      <w:r w:rsidRPr="00162969">
        <w:rPr>
          <w:b/>
        </w:rPr>
        <w:t xml:space="preserve"> January 1, 2019</w:t>
      </w:r>
      <w:r w:rsidRPr="00162969">
        <w:t>, all repayments of lease debt as operating items. Accordingly:</w:t>
      </w:r>
    </w:p>
    <w:p w14:paraId="13913CBD" w14:textId="77777777" w:rsidR="00500495" w:rsidRPr="00162969" w:rsidRDefault="00500495" w:rsidP="00500495">
      <w:pPr>
        <w:pStyle w:val="ListParagraph"/>
        <w:numPr>
          <w:ilvl w:val="0"/>
          <w:numId w:val="1"/>
        </w:numPr>
        <w:ind w:left="425" w:hanging="357"/>
        <w:rPr>
          <w:szCs w:val="18"/>
        </w:rPr>
      </w:pPr>
      <w:r w:rsidRPr="00162969">
        <w:rPr>
          <w:b/>
        </w:rPr>
        <w:t>organic free cash flow</w:t>
      </w:r>
      <w:r w:rsidRPr="00162969">
        <w:t xml:space="preserve"> includes repayments of the lease debt (including for finance leases, previously excluded as recognized in repayments of borrowings, of approximately €50 million in 2018);</w:t>
      </w:r>
    </w:p>
    <w:p w14:paraId="45D3D2E3" w14:textId="77777777" w:rsidR="00500495" w:rsidRPr="00162969" w:rsidRDefault="00500495" w:rsidP="00500495">
      <w:pPr>
        <w:pStyle w:val="ListParagraph"/>
        <w:numPr>
          <w:ilvl w:val="0"/>
          <w:numId w:val="1"/>
        </w:numPr>
        <w:ind w:left="425" w:hanging="357"/>
        <w:rPr>
          <w:szCs w:val="18"/>
        </w:rPr>
      </w:pPr>
      <w:r w:rsidRPr="00162969">
        <w:t xml:space="preserve">Group </w:t>
      </w:r>
      <w:r w:rsidRPr="00162969">
        <w:rPr>
          <w:b/>
        </w:rPr>
        <w:t>net debt</w:t>
      </w:r>
      <w:r w:rsidRPr="00162969">
        <w:t xml:space="preserve"> excludes all lease debt (including that relating to finance leases of approximately €80 million at the end of 2018).</w:t>
      </w:r>
    </w:p>
    <w:p w14:paraId="6A4E1917" w14:textId="77777777" w:rsidR="00500495" w:rsidRPr="00162969" w:rsidRDefault="00801C65" w:rsidP="00500495">
      <w:pPr>
        <w:spacing w:before="120" w:after="120"/>
        <w:rPr>
          <w:szCs w:val="18"/>
        </w:rPr>
      </w:pPr>
      <w:bookmarkStart w:id="14" w:name="_Hlk434397"/>
      <w:r w:rsidRPr="00162969">
        <w:t>Elsewhere</w:t>
      </w:r>
      <w:r w:rsidR="00500495" w:rsidRPr="00162969">
        <w:t>, the impact of application of IFRS 16 on the Group’s income statement is generally neutral for the main performance measures, whose definitions remain unchanged (estimates based on the 2018 accounts):</w:t>
      </w:r>
    </w:p>
    <w:p w14:paraId="51258443" w14:textId="77777777" w:rsidR="00500495" w:rsidRPr="00162969" w:rsidRDefault="00500495" w:rsidP="00500495">
      <w:pPr>
        <w:pStyle w:val="ListParagraph"/>
        <w:numPr>
          <w:ilvl w:val="0"/>
          <w:numId w:val="1"/>
        </w:numPr>
        <w:ind w:left="425" w:hanging="357"/>
        <w:rPr>
          <w:szCs w:val="18"/>
        </w:rPr>
      </w:pPr>
      <w:r w:rsidRPr="00162969">
        <w:rPr>
          <w:b/>
        </w:rPr>
        <w:t>operating margin</w:t>
      </w:r>
      <w:r w:rsidRPr="00162969">
        <w:t xml:space="preserve">: slightly positive impact, in the range of 5 basis points; </w:t>
      </w:r>
    </w:p>
    <w:p w14:paraId="274FD050" w14:textId="77777777" w:rsidR="00500495" w:rsidRPr="00162969" w:rsidRDefault="00500495" w:rsidP="00500495">
      <w:pPr>
        <w:pStyle w:val="ListParagraph"/>
        <w:numPr>
          <w:ilvl w:val="0"/>
          <w:numId w:val="1"/>
        </w:numPr>
        <w:ind w:left="425" w:hanging="357"/>
        <w:rPr>
          <w:szCs w:val="18"/>
        </w:rPr>
      </w:pPr>
      <w:r w:rsidRPr="00162969">
        <w:rPr>
          <w:b/>
        </w:rPr>
        <w:t>net profit</w:t>
      </w:r>
      <w:r w:rsidRPr="00162969">
        <w:t xml:space="preserve"> (Group share): slightly negative impact, in the range of €5 million; and </w:t>
      </w:r>
    </w:p>
    <w:p w14:paraId="3BF75BF6" w14:textId="77777777" w:rsidR="00500495" w:rsidRPr="00162969" w:rsidRDefault="00500495" w:rsidP="00500495">
      <w:pPr>
        <w:pStyle w:val="ListParagraph"/>
        <w:numPr>
          <w:ilvl w:val="0"/>
          <w:numId w:val="1"/>
        </w:numPr>
        <w:ind w:left="425" w:hanging="357"/>
        <w:rPr>
          <w:szCs w:val="18"/>
        </w:rPr>
      </w:pPr>
      <w:r w:rsidRPr="00162969">
        <w:rPr>
          <w:b/>
        </w:rPr>
        <w:t>normalized earnings per share</w:t>
      </w:r>
      <w:r w:rsidRPr="00162969">
        <w:t>: slightly negative impact, in the range of €0.03 per share.</w:t>
      </w:r>
    </w:p>
    <w:p w14:paraId="1B8FD079" w14:textId="77777777" w:rsidR="00500495" w:rsidRPr="00162969" w:rsidRDefault="00500495" w:rsidP="00500495">
      <w:pPr>
        <w:pStyle w:val="ListParagraph"/>
        <w:ind w:left="425"/>
        <w:rPr>
          <w:szCs w:val="18"/>
        </w:rPr>
      </w:pPr>
    </w:p>
    <w:bookmarkEnd w:id="10"/>
    <w:bookmarkEnd w:id="11"/>
    <w:bookmarkEnd w:id="12"/>
    <w:bookmarkEnd w:id="13"/>
    <w:bookmarkEnd w:id="14"/>
    <w:p w14:paraId="773D7F34" w14:textId="77777777" w:rsidR="003A5C07" w:rsidRPr="00162969" w:rsidRDefault="003A5C07" w:rsidP="003A5C07">
      <w:pPr>
        <w:pStyle w:val="Heading1"/>
      </w:pPr>
      <w:r w:rsidRPr="00162969">
        <w:t xml:space="preserve">DEFINITIONS </w:t>
      </w:r>
    </w:p>
    <w:p w14:paraId="0D45F883" w14:textId="77777777" w:rsidR="00D159DD" w:rsidRPr="00162969" w:rsidRDefault="00D159DD" w:rsidP="003A5C07">
      <w:pPr>
        <w:spacing w:before="120" w:after="120" w:line="276" w:lineRule="auto"/>
        <w:rPr>
          <w:rFonts w:cs="Arial"/>
        </w:rPr>
      </w:pPr>
      <w:r w:rsidRPr="00162969">
        <w:rPr>
          <w:b/>
        </w:rPr>
        <w:t>Organic growth</w:t>
      </w:r>
      <w:r w:rsidRPr="00162969">
        <w:t xml:space="preserve">, or like-for-like growth, in revenues is the growth rate calculated at </w:t>
      </w:r>
      <w:r w:rsidRPr="00162969">
        <w:rPr>
          <w:b/>
        </w:rPr>
        <w:t>constant Group scope and exchange rates</w:t>
      </w:r>
      <w:r w:rsidRPr="00162969">
        <w:t xml:space="preserve">. The Group scope and exchange rates used are those for the reported period. Exchange rates for the reported period are also used to calculate </w:t>
      </w:r>
      <w:r w:rsidRPr="00162969">
        <w:rPr>
          <w:b/>
        </w:rPr>
        <w:t>growth at constant exchange rates</w:t>
      </w:r>
      <w:r w:rsidRPr="00162969">
        <w:t xml:space="preserve">. </w:t>
      </w:r>
    </w:p>
    <w:tbl>
      <w:tblPr>
        <w:tblW w:w="6520" w:type="dxa"/>
        <w:jc w:val="center"/>
        <w:tblBorders>
          <w:top w:val="single" w:sz="8" w:space="0" w:color="30849B"/>
          <w:bottom w:val="single" w:sz="8" w:space="0" w:color="30849B"/>
          <w:insideH w:val="single" w:sz="8" w:space="0" w:color="30849B"/>
        </w:tblBorders>
        <w:tblLayout w:type="fixed"/>
        <w:tblCellMar>
          <w:left w:w="0" w:type="dxa"/>
          <w:right w:w="0" w:type="dxa"/>
        </w:tblCellMar>
        <w:tblLook w:val="01E0" w:firstRow="1" w:lastRow="1" w:firstColumn="1" w:lastColumn="1" w:noHBand="0" w:noVBand="0"/>
      </w:tblPr>
      <w:tblGrid>
        <w:gridCol w:w="3798"/>
        <w:gridCol w:w="1361"/>
        <w:gridCol w:w="1361"/>
      </w:tblGrid>
      <w:tr w:rsidR="00B00202" w:rsidRPr="00162969" w14:paraId="00A3A3E0" w14:textId="77777777" w:rsidTr="00C225ED">
        <w:trPr>
          <w:trHeight w:val="338"/>
          <w:jc w:val="center"/>
        </w:trPr>
        <w:tc>
          <w:tcPr>
            <w:tcW w:w="3798" w:type="dxa"/>
            <w:tcBorders>
              <w:top w:val="single" w:sz="8" w:space="0" w:color="0070AD" w:themeColor="accent1"/>
              <w:bottom w:val="single" w:sz="8" w:space="0" w:color="0070AD" w:themeColor="accent1"/>
            </w:tcBorders>
            <w:shd w:val="clear" w:color="auto" w:fill="auto"/>
            <w:vAlign w:val="center"/>
          </w:tcPr>
          <w:p w14:paraId="505B6E90" w14:textId="77777777" w:rsidR="00B00202" w:rsidRPr="00162969" w:rsidRDefault="00B00202" w:rsidP="00D159DD">
            <w:pPr>
              <w:pStyle w:val="TableParagraph"/>
              <w:keepNext/>
              <w:spacing w:before="29"/>
              <w:ind w:left="63"/>
              <w:jc w:val="center"/>
              <w:rPr>
                <w:rFonts w:ascii="Verdana" w:hAnsi="Verdana" w:cs="Arial"/>
                <w:b/>
                <w:color w:val="30849B"/>
                <w:sz w:val="14"/>
              </w:rPr>
            </w:pPr>
            <w:r w:rsidRPr="00162969">
              <w:rPr>
                <w:rFonts w:ascii="Verdana" w:hAnsi="Verdana"/>
                <w:b/>
                <w:sz w:val="14"/>
              </w:rPr>
              <w:t>Reconciliation of growth rates</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5EAD7442" w14:textId="77777777" w:rsidR="00B00202" w:rsidRPr="00162969" w:rsidRDefault="00B00202" w:rsidP="00D159DD">
            <w:pPr>
              <w:pStyle w:val="TableParagraph"/>
              <w:keepNext/>
              <w:spacing w:before="29"/>
              <w:ind w:left="63"/>
              <w:jc w:val="center"/>
              <w:rPr>
                <w:rFonts w:ascii="Verdana" w:hAnsi="Verdana" w:cs="Arial"/>
                <w:b/>
                <w:sz w:val="14"/>
              </w:rPr>
            </w:pPr>
            <w:r w:rsidRPr="00162969">
              <w:rPr>
                <w:rFonts w:ascii="Verdana" w:hAnsi="Verdana"/>
                <w:b/>
                <w:sz w:val="14"/>
              </w:rPr>
              <w:t>Q2</w:t>
            </w:r>
          </w:p>
          <w:p w14:paraId="3F520209" w14:textId="77777777" w:rsidR="00B00202" w:rsidRPr="00162969" w:rsidRDefault="00230C70" w:rsidP="00D159DD">
            <w:pPr>
              <w:pStyle w:val="TableParagraph"/>
              <w:keepNext/>
              <w:spacing w:before="29"/>
              <w:ind w:left="63"/>
              <w:jc w:val="center"/>
              <w:rPr>
                <w:rFonts w:ascii="Verdana" w:hAnsi="Verdana" w:cs="Arial"/>
                <w:b/>
                <w:sz w:val="14"/>
              </w:rPr>
            </w:pPr>
            <w:r w:rsidRPr="00162969">
              <w:rPr>
                <w:rFonts w:ascii="Verdana" w:hAnsi="Verdana"/>
                <w:b/>
                <w:sz w:val="14"/>
              </w:rPr>
              <w:t>2019</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4824E8FD" w14:textId="77777777" w:rsidR="00B00202" w:rsidRPr="00162969" w:rsidRDefault="00B00202" w:rsidP="00D159DD">
            <w:pPr>
              <w:pStyle w:val="TableParagraph"/>
              <w:keepNext/>
              <w:spacing w:before="29"/>
              <w:ind w:left="63"/>
              <w:jc w:val="center"/>
              <w:rPr>
                <w:rFonts w:ascii="Verdana" w:hAnsi="Verdana" w:cs="Arial"/>
                <w:b/>
                <w:sz w:val="14"/>
              </w:rPr>
            </w:pPr>
            <w:r w:rsidRPr="00162969">
              <w:rPr>
                <w:rFonts w:ascii="Verdana" w:hAnsi="Verdana"/>
                <w:b/>
                <w:sz w:val="14"/>
              </w:rPr>
              <w:t>H1</w:t>
            </w:r>
          </w:p>
          <w:p w14:paraId="4B0B03F5" w14:textId="77777777" w:rsidR="00B00202" w:rsidRPr="00162969" w:rsidRDefault="00230C70" w:rsidP="00D159DD">
            <w:pPr>
              <w:pStyle w:val="TableParagraph"/>
              <w:keepNext/>
              <w:spacing w:before="29"/>
              <w:ind w:left="63"/>
              <w:jc w:val="center"/>
              <w:rPr>
                <w:rFonts w:ascii="Verdana" w:hAnsi="Verdana" w:cs="Arial"/>
                <w:b/>
                <w:sz w:val="14"/>
              </w:rPr>
            </w:pPr>
            <w:r w:rsidRPr="00162969">
              <w:rPr>
                <w:rFonts w:ascii="Verdana" w:hAnsi="Verdana"/>
                <w:b/>
                <w:sz w:val="14"/>
              </w:rPr>
              <w:t>2019</w:t>
            </w:r>
          </w:p>
        </w:tc>
      </w:tr>
      <w:tr w:rsidR="00B00202" w:rsidRPr="00162969" w14:paraId="47E4E3AC" w14:textId="77777777" w:rsidTr="00C225ED">
        <w:trPr>
          <w:trHeight w:val="227"/>
          <w:jc w:val="center"/>
        </w:trPr>
        <w:tc>
          <w:tcPr>
            <w:tcW w:w="3798" w:type="dxa"/>
            <w:tcBorders>
              <w:top w:val="single" w:sz="8" w:space="0" w:color="0070AD" w:themeColor="accent1"/>
              <w:bottom w:val="single" w:sz="8" w:space="0" w:color="0070AD" w:themeColor="accent1"/>
            </w:tcBorders>
            <w:shd w:val="clear" w:color="auto" w:fill="auto"/>
            <w:vAlign w:val="center"/>
          </w:tcPr>
          <w:p w14:paraId="20D281FF" w14:textId="77777777" w:rsidR="00B00202" w:rsidRPr="00162969" w:rsidRDefault="00B00202" w:rsidP="004746E0">
            <w:pPr>
              <w:pStyle w:val="TableParagraph"/>
              <w:keepNext/>
              <w:spacing w:before="100" w:beforeAutospacing="1"/>
              <w:ind w:left="63"/>
              <w:rPr>
                <w:rFonts w:ascii="Verdana" w:hAnsi="Verdana" w:cs="Arial"/>
                <w:b/>
                <w:color w:val="0070AD" w:themeColor="accent1"/>
                <w:sz w:val="14"/>
              </w:rPr>
            </w:pPr>
            <w:r w:rsidRPr="00162969">
              <w:rPr>
                <w:rFonts w:ascii="Verdana" w:hAnsi="Verdana"/>
                <w:b/>
                <w:color w:val="0070AD" w:themeColor="accent1"/>
                <w:sz w:val="14"/>
              </w:rPr>
              <w:t xml:space="preserve">Organic growth </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46D1E143" w14:textId="77777777" w:rsidR="00B00202" w:rsidRPr="00162969" w:rsidRDefault="00B00202" w:rsidP="004746E0">
            <w:pPr>
              <w:pStyle w:val="TableParagraph"/>
              <w:keepNext/>
              <w:spacing w:before="100" w:beforeAutospacing="1"/>
              <w:ind w:left="63" w:right="537"/>
              <w:jc w:val="right"/>
              <w:rPr>
                <w:rFonts w:ascii="Verdana" w:hAnsi="Verdana" w:cs="Arial"/>
                <w:b/>
                <w:color w:val="0070AD" w:themeColor="accent1"/>
                <w:sz w:val="14"/>
              </w:rPr>
            </w:pPr>
            <w:r w:rsidRPr="00162969">
              <w:rPr>
                <w:rFonts w:ascii="Verdana" w:hAnsi="Verdana"/>
                <w:b/>
                <w:color w:val="0070AD" w:themeColor="accent1"/>
                <w:sz w:val="14"/>
              </w:rPr>
              <w:t>+4.7%</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7CBBB392" w14:textId="77777777" w:rsidR="00B00202" w:rsidRPr="00162969" w:rsidRDefault="00B00202" w:rsidP="004746E0">
            <w:pPr>
              <w:pStyle w:val="TableParagraph"/>
              <w:keepNext/>
              <w:spacing w:before="100" w:beforeAutospacing="1"/>
              <w:ind w:left="63" w:right="537"/>
              <w:jc w:val="right"/>
              <w:rPr>
                <w:rFonts w:ascii="Verdana" w:hAnsi="Verdana" w:cs="Arial"/>
                <w:b/>
                <w:color w:val="0070AD" w:themeColor="accent1"/>
                <w:sz w:val="14"/>
              </w:rPr>
            </w:pPr>
            <w:r w:rsidRPr="00162969">
              <w:rPr>
                <w:rFonts w:ascii="Verdana" w:hAnsi="Verdana"/>
                <w:b/>
                <w:color w:val="0070AD" w:themeColor="accent1"/>
                <w:sz w:val="14"/>
              </w:rPr>
              <w:t>+4.9%</w:t>
            </w:r>
          </w:p>
        </w:tc>
      </w:tr>
      <w:tr w:rsidR="00B00202" w:rsidRPr="00162969" w14:paraId="54AC2A49" w14:textId="77777777" w:rsidTr="00C225ED">
        <w:trPr>
          <w:trHeight w:val="227"/>
          <w:jc w:val="center"/>
        </w:trPr>
        <w:tc>
          <w:tcPr>
            <w:tcW w:w="3798" w:type="dxa"/>
            <w:tcBorders>
              <w:top w:val="single" w:sz="8" w:space="0" w:color="0070AD" w:themeColor="accent1"/>
              <w:bottom w:val="single" w:sz="8" w:space="0" w:color="0070AD" w:themeColor="accent1"/>
            </w:tcBorders>
            <w:shd w:val="clear" w:color="auto" w:fill="auto"/>
            <w:vAlign w:val="center"/>
          </w:tcPr>
          <w:p w14:paraId="32FF0C3C" w14:textId="77777777" w:rsidR="00B00202" w:rsidRPr="00162969" w:rsidRDefault="00B00202" w:rsidP="004746E0">
            <w:pPr>
              <w:pStyle w:val="TableParagraph"/>
              <w:keepNext/>
              <w:spacing w:before="100" w:beforeAutospacing="1"/>
              <w:ind w:left="142"/>
              <w:rPr>
                <w:rFonts w:ascii="Verdana" w:hAnsi="Verdana" w:cs="Arial"/>
                <w:sz w:val="14"/>
              </w:rPr>
            </w:pPr>
            <w:r w:rsidRPr="00162969">
              <w:rPr>
                <w:rFonts w:ascii="Verdana" w:hAnsi="Verdana"/>
                <w:sz w:val="14"/>
                <w:szCs w:val="16"/>
              </w:rPr>
              <w:t>Changes in Group scope</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7D852FF6" w14:textId="77777777" w:rsidR="00B00202" w:rsidRPr="00162969" w:rsidRDefault="00B00202" w:rsidP="004746E0">
            <w:pPr>
              <w:pStyle w:val="TableParagraph"/>
              <w:keepNext/>
              <w:spacing w:before="100" w:beforeAutospacing="1"/>
              <w:ind w:left="1" w:right="537"/>
              <w:jc w:val="right"/>
              <w:rPr>
                <w:rFonts w:ascii="Verdana" w:hAnsi="Verdana" w:cs="Arial"/>
                <w:sz w:val="14"/>
                <w:szCs w:val="16"/>
              </w:rPr>
            </w:pPr>
            <w:r w:rsidRPr="00162969">
              <w:rPr>
                <w:rFonts w:ascii="Verdana" w:hAnsi="Verdana"/>
                <w:sz w:val="14"/>
                <w:szCs w:val="16"/>
              </w:rPr>
              <w:t>+1.0pt</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798DEC38" w14:textId="77777777" w:rsidR="00B00202" w:rsidRPr="00162969" w:rsidRDefault="00B00202" w:rsidP="004746E0">
            <w:pPr>
              <w:pStyle w:val="TableParagraph"/>
              <w:keepNext/>
              <w:spacing w:before="100" w:beforeAutospacing="1"/>
              <w:ind w:left="1" w:right="537"/>
              <w:jc w:val="right"/>
              <w:rPr>
                <w:rFonts w:ascii="Verdana" w:hAnsi="Verdana" w:cs="Arial"/>
                <w:sz w:val="14"/>
                <w:szCs w:val="16"/>
              </w:rPr>
            </w:pPr>
            <w:r w:rsidRPr="00162969">
              <w:rPr>
                <w:rFonts w:ascii="Verdana" w:hAnsi="Verdana"/>
                <w:sz w:val="14"/>
                <w:szCs w:val="16"/>
              </w:rPr>
              <w:t>+1.3pt</w:t>
            </w:r>
          </w:p>
        </w:tc>
      </w:tr>
      <w:tr w:rsidR="00B00202" w:rsidRPr="00162969" w14:paraId="5A6CE32A" w14:textId="77777777" w:rsidTr="00C225ED">
        <w:trPr>
          <w:trHeight w:val="227"/>
          <w:jc w:val="center"/>
        </w:trPr>
        <w:tc>
          <w:tcPr>
            <w:tcW w:w="3798" w:type="dxa"/>
            <w:tcBorders>
              <w:top w:val="single" w:sz="8" w:space="0" w:color="0070AD" w:themeColor="accent1"/>
              <w:bottom w:val="single" w:sz="8" w:space="0" w:color="0070AD" w:themeColor="accent1"/>
            </w:tcBorders>
            <w:shd w:val="clear" w:color="auto" w:fill="auto"/>
            <w:vAlign w:val="center"/>
          </w:tcPr>
          <w:p w14:paraId="6BDF1BCB" w14:textId="77777777" w:rsidR="00B00202" w:rsidRPr="00162969" w:rsidRDefault="00B00202" w:rsidP="004746E0">
            <w:pPr>
              <w:pStyle w:val="TableParagraph"/>
              <w:keepNext/>
              <w:spacing w:before="100" w:beforeAutospacing="1"/>
              <w:ind w:left="63"/>
              <w:rPr>
                <w:rFonts w:ascii="Verdana" w:hAnsi="Verdana" w:cs="Arial"/>
                <w:b/>
                <w:color w:val="0070AD" w:themeColor="accent1"/>
                <w:sz w:val="14"/>
              </w:rPr>
            </w:pPr>
            <w:r w:rsidRPr="00162969">
              <w:rPr>
                <w:rFonts w:ascii="Verdana" w:hAnsi="Verdana"/>
                <w:b/>
                <w:color w:val="0070AD" w:themeColor="accent1"/>
                <w:sz w:val="14"/>
              </w:rPr>
              <w:t>Growth at constant exchange rates</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693A1C73" w14:textId="77777777" w:rsidR="00B00202" w:rsidRPr="00162969" w:rsidRDefault="00B00202" w:rsidP="004746E0">
            <w:pPr>
              <w:pStyle w:val="TableParagraph"/>
              <w:keepNext/>
              <w:spacing w:before="100" w:beforeAutospacing="1"/>
              <w:ind w:left="63" w:right="537"/>
              <w:jc w:val="right"/>
              <w:rPr>
                <w:rFonts w:ascii="Verdana" w:hAnsi="Verdana" w:cs="Arial"/>
                <w:b/>
                <w:color w:val="0070AD" w:themeColor="accent1"/>
                <w:sz w:val="14"/>
              </w:rPr>
            </w:pPr>
            <w:r w:rsidRPr="00162969">
              <w:rPr>
                <w:rFonts w:ascii="Verdana" w:hAnsi="Verdana"/>
                <w:b/>
                <w:color w:val="0070AD" w:themeColor="accent1"/>
                <w:sz w:val="14"/>
              </w:rPr>
              <w:t>+5.7%</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75626295" w14:textId="77777777" w:rsidR="00B00202" w:rsidRPr="00162969" w:rsidRDefault="00B00202" w:rsidP="004746E0">
            <w:pPr>
              <w:pStyle w:val="TableParagraph"/>
              <w:keepNext/>
              <w:spacing w:before="100" w:beforeAutospacing="1"/>
              <w:ind w:left="63" w:right="537"/>
              <w:jc w:val="right"/>
              <w:rPr>
                <w:rFonts w:ascii="Verdana" w:hAnsi="Verdana" w:cs="Arial"/>
                <w:b/>
                <w:color w:val="0070AD" w:themeColor="accent1"/>
                <w:sz w:val="14"/>
              </w:rPr>
            </w:pPr>
            <w:r w:rsidRPr="00162969">
              <w:rPr>
                <w:rFonts w:ascii="Verdana" w:hAnsi="Verdana"/>
                <w:b/>
                <w:color w:val="0070AD" w:themeColor="accent1"/>
                <w:sz w:val="14"/>
              </w:rPr>
              <w:t>+6.2%</w:t>
            </w:r>
          </w:p>
        </w:tc>
      </w:tr>
      <w:tr w:rsidR="00B00202" w:rsidRPr="00162969" w14:paraId="5F425B84" w14:textId="77777777" w:rsidTr="00C225ED">
        <w:trPr>
          <w:trHeight w:val="227"/>
          <w:jc w:val="center"/>
        </w:trPr>
        <w:tc>
          <w:tcPr>
            <w:tcW w:w="3798" w:type="dxa"/>
            <w:tcBorders>
              <w:top w:val="single" w:sz="8" w:space="0" w:color="0070AD" w:themeColor="accent1"/>
              <w:bottom w:val="single" w:sz="8" w:space="0" w:color="0070AD" w:themeColor="accent1"/>
            </w:tcBorders>
            <w:shd w:val="clear" w:color="auto" w:fill="auto"/>
            <w:vAlign w:val="center"/>
          </w:tcPr>
          <w:p w14:paraId="1E53B7F9" w14:textId="77777777" w:rsidR="00B00202" w:rsidRPr="00162969" w:rsidRDefault="00B00202" w:rsidP="004746E0">
            <w:pPr>
              <w:pStyle w:val="TableParagraph"/>
              <w:keepNext/>
              <w:spacing w:before="100" w:beforeAutospacing="1"/>
              <w:ind w:left="142"/>
              <w:rPr>
                <w:rFonts w:ascii="Verdana" w:hAnsi="Verdana" w:cs="Arial"/>
                <w:sz w:val="14"/>
              </w:rPr>
            </w:pPr>
            <w:r w:rsidRPr="00162969">
              <w:rPr>
                <w:rFonts w:ascii="Verdana" w:hAnsi="Verdana"/>
                <w:sz w:val="14"/>
              </w:rPr>
              <w:t>Exchange rate fluctuations</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0CC58CA6" w14:textId="77777777" w:rsidR="00B00202" w:rsidRPr="00162969" w:rsidRDefault="00C41292" w:rsidP="004746E0">
            <w:pPr>
              <w:pStyle w:val="TableParagraph"/>
              <w:keepNext/>
              <w:spacing w:before="100" w:beforeAutospacing="1"/>
              <w:ind w:left="1" w:right="537"/>
              <w:jc w:val="right"/>
              <w:rPr>
                <w:rFonts w:ascii="Verdana" w:hAnsi="Verdana" w:cs="Arial"/>
                <w:sz w:val="14"/>
                <w:szCs w:val="16"/>
              </w:rPr>
            </w:pPr>
            <w:r w:rsidRPr="00162969">
              <w:rPr>
                <w:rFonts w:ascii="Verdana" w:hAnsi="Verdana"/>
                <w:sz w:val="14"/>
                <w:szCs w:val="16"/>
              </w:rPr>
              <w:t>+1.9pt</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11B170D5" w14:textId="77777777" w:rsidR="00B00202" w:rsidRPr="00162969" w:rsidRDefault="00C41292" w:rsidP="004746E0">
            <w:pPr>
              <w:pStyle w:val="TableParagraph"/>
              <w:keepNext/>
              <w:spacing w:before="100" w:beforeAutospacing="1"/>
              <w:ind w:left="1" w:right="537"/>
              <w:jc w:val="right"/>
              <w:rPr>
                <w:rFonts w:ascii="Verdana" w:hAnsi="Verdana" w:cs="Arial"/>
                <w:sz w:val="14"/>
                <w:szCs w:val="16"/>
              </w:rPr>
            </w:pPr>
            <w:r w:rsidRPr="00162969">
              <w:rPr>
                <w:rFonts w:ascii="Verdana" w:hAnsi="Verdana"/>
                <w:sz w:val="14"/>
                <w:szCs w:val="16"/>
              </w:rPr>
              <w:t>+2.2pt</w:t>
            </w:r>
          </w:p>
        </w:tc>
      </w:tr>
      <w:tr w:rsidR="00B00202" w:rsidRPr="00162969" w14:paraId="443EF9ED" w14:textId="77777777" w:rsidTr="00C225ED">
        <w:trPr>
          <w:trHeight w:val="227"/>
          <w:jc w:val="center"/>
        </w:trPr>
        <w:tc>
          <w:tcPr>
            <w:tcW w:w="3798" w:type="dxa"/>
            <w:tcBorders>
              <w:top w:val="single" w:sz="8" w:space="0" w:color="0070AD" w:themeColor="accent1"/>
              <w:bottom w:val="single" w:sz="8" w:space="0" w:color="0070AD" w:themeColor="accent1"/>
            </w:tcBorders>
            <w:shd w:val="clear" w:color="auto" w:fill="auto"/>
            <w:vAlign w:val="center"/>
          </w:tcPr>
          <w:p w14:paraId="0FBDC361" w14:textId="77777777" w:rsidR="00B00202" w:rsidRPr="00162969" w:rsidRDefault="00B00202" w:rsidP="004746E0">
            <w:pPr>
              <w:pStyle w:val="TableParagraph"/>
              <w:keepNext/>
              <w:spacing w:before="100" w:beforeAutospacing="1"/>
              <w:ind w:left="63"/>
              <w:rPr>
                <w:rFonts w:ascii="Verdana" w:hAnsi="Verdana" w:cs="Arial"/>
                <w:b/>
                <w:color w:val="0070AD" w:themeColor="accent1"/>
                <w:sz w:val="14"/>
              </w:rPr>
            </w:pPr>
            <w:r w:rsidRPr="00162969">
              <w:rPr>
                <w:rFonts w:ascii="Verdana" w:hAnsi="Verdana"/>
                <w:b/>
                <w:color w:val="0070AD" w:themeColor="accent1"/>
                <w:sz w:val="14"/>
              </w:rPr>
              <w:t>Reported growth</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7DFD0D57" w14:textId="77777777" w:rsidR="00B00202" w:rsidRPr="00162969" w:rsidRDefault="00B00202" w:rsidP="004746E0">
            <w:pPr>
              <w:pStyle w:val="TableParagraph"/>
              <w:keepNext/>
              <w:spacing w:before="100" w:beforeAutospacing="1"/>
              <w:ind w:left="1" w:right="537"/>
              <w:jc w:val="right"/>
              <w:rPr>
                <w:rFonts w:ascii="Verdana" w:hAnsi="Verdana" w:cs="Arial"/>
                <w:b/>
                <w:color w:val="0070AD" w:themeColor="accent1"/>
                <w:sz w:val="14"/>
                <w:szCs w:val="16"/>
              </w:rPr>
            </w:pPr>
            <w:r w:rsidRPr="00162969">
              <w:rPr>
                <w:rFonts w:ascii="Verdana" w:hAnsi="Verdana"/>
                <w:b/>
                <w:color w:val="0070AD" w:themeColor="accent1"/>
                <w:sz w:val="14"/>
                <w:szCs w:val="16"/>
              </w:rPr>
              <w:t>+7.6%</w:t>
            </w: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6FF5D024" w14:textId="77777777" w:rsidR="00B00202" w:rsidRPr="00162969" w:rsidRDefault="00B00202" w:rsidP="004746E0">
            <w:pPr>
              <w:pStyle w:val="TableParagraph"/>
              <w:keepNext/>
              <w:spacing w:before="100" w:beforeAutospacing="1"/>
              <w:ind w:left="1" w:right="537"/>
              <w:jc w:val="right"/>
              <w:rPr>
                <w:rFonts w:ascii="Verdana" w:hAnsi="Verdana" w:cs="Arial"/>
                <w:b/>
                <w:color w:val="0070AD" w:themeColor="accent1"/>
                <w:sz w:val="14"/>
                <w:szCs w:val="16"/>
              </w:rPr>
            </w:pPr>
            <w:r w:rsidRPr="00162969">
              <w:rPr>
                <w:rFonts w:ascii="Verdana" w:hAnsi="Verdana"/>
                <w:b/>
                <w:color w:val="0070AD" w:themeColor="accent1"/>
                <w:sz w:val="14"/>
                <w:szCs w:val="16"/>
              </w:rPr>
              <w:t>+8.4%</w:t>
            </w:r>
          </w:p>
        </w:tc>
      </w:tr>
    </w:tbl>
    <w:p w14:paraId="3F06D4E3" w14:textId="77777777" w:rsidR="00B00202" w:rsidRPr="00162969" w:rsidRDefault="00B00202" w:rsidP="003A5C07">
      <w:pPr>
        <w:spacing w:before="120" w:after="120" w:line="276" w:lineRule="auto"/>
        <w:rPr>
          <w:rFonts w:ascii="Verdana" w:hAnsi="Verdana" w:cs="Arial"/>
        </w:rPr>
      </w:pPr>
      <w:r w:rsidRPr="00162969">
        <w:rPr>
          <w:rFonts w:ascii="Verdana" w:hAnsi="Verdana"/>
        </w:rPr>
        <w:t xml:space="preserve">H1 2019 currency impacts are </w:t>
      </w:r>
      <w:r w:rsidR="00801C65" w:rsidRPr="00162969">
        <w:rPr>
          <w:rFonts w:ascii="Verdana" w:hAnsi="Verdana"/>
        </w:rPr>
        <w:t xml:space="preserve">mainly </w:t>
      </w:r>
      <w:r w:rsidRPr="00162969">
        <w:rPr>
          <w:rFonts w:ascii="Verdana" w:hAnsi="Verdana"/>
        </w:rPr>
        <w:t xml:space="preserve">linked to the appreciation of the US dollar against the euro. </w:t>
      </w:r>
    </w:p>
    <w:p w14:paraId="0421CF80" w14:textId="55844540" w:rsidR="003A5C07" w:rsidRPr="00162969" w:rsidRDefault="003A5C07" w:rsidP="003A5C07">
      <w:pPr>
        <w:spacing w:before="120" w:after="120" w:line="276" w:lineRule="auto"/>
        <w:rPr>
          <w:rFonts w:cs="Arial"/>
        </w:rPr>
      </w:pPr>
      <w:r w:rsidRPr="00162969">
        <w:t xml:space="preserve">When determining activity trends by business and in accordance with internal operating performance measures, growth at constant exchange rates is calculated based on </w:t>
      </w:r>
      <w:r w:rsidRPr="00162969">
        <w:rPr>
          <w:b/>
        </w:rPr>
        <w:t>total revenue</w:t>
      </w:r>
      <w:r w:rsidRPr="00162969">
        <w:t>, i.e. before elimination of inter-business billing. The Group considers this to be more representative of activity levels by business. As its businesses change, an increasing number of contracts require a range of business expertise for delivery, leading to a rise in inter-business flows (</w:t>
      </w:r>
      <w:r w:rsidR="00E23DEE" w:rsidRPr="00162969">
        <w:t xml:space="preserve">for information, </w:t>
      </w:r>
      <w:r w:rsidRPr="00162969">
        <w:t xml:space="preserve">approximately 7% of total revenues </w:t>
      </w:r>
      <w:r w:rsidR="00801C65" w:rsidRPr="00162969">
        <w:t>in 2018</w:t>
      </w:r>
      <w:r w:rsidRPr="00162969">
        <w:t xml:space="preserve">). </w:t>
      </w:r>
    </w:p>
    <w:p w14:paraId="20221C79" w14:textId="77777777" w:rsidR="00D159DD" w:rsidRPr="00162969" w:rsidRDefault="00D159DD" w:rsidP="003A5C07">
      <w:pPr>
        <w:pStyle w:val="BodyText"/>
        <w:spacing w:line="276" w:lineRule="auto"/>
      </w:pPr>
      <w:r w:rsidRPr="00162969">
        <w:rPr>
          <w:b/>
        </w:rPr>
        <w:t>Operating margin</w:t>
      </w:r>
      <w:r w:rsidRPr="00162969">
        <w:t xml:space="preserve"> is one of the Group’s key performance measures. It is defined as the difference between revenues and operating costs. It is calculated before “Other operating income and expenses” which include amortization of intangible assets recognized in business combinations, the charge resulting from the deferred recognition of the fair value of shares granted to employees (including social security contributions and employer contributions), and non-recurring revenues and expenses, notably impairment of goodwill, negative goodwill, </w:t>
      </w:r>
      <w:r w:rsidRPr="00162969">
        <w:lastRenderedPageBreak/>
        <w:t>capital gains or losses on disposals of consolidated companies or businesses, restructuring costs incurred under a detailed formal plan approved by the Group’s management, the cost of acquiring and integrating companies acquired by the Group, including earn-outs comprising conditions of presence, and the effects of curtailments, settlements and transfers of defined benefit pension plans.</w:t>
      </w:r>
    </w:p>
    <w:p w14:paraId="57AAFF8F" w14:textId="77777777" w:rsidR="00D159DD" w:rsidRPr="00162969" w:rsidRDefault="00D159DD" w:rsidP="003A5C07">
      <w:pPr>
        <w:pStyle w:val="BodyText"/>
        <w:spacing w:line="276" w:lineRule="auto"/>
      </w:pPr>
      <w:r w:rsidRPr="00162969">
        <w:t xml:space="preserve">Normalized net profit is equal to profit for the </w:t>
      </w:r>
      <w:r w:rsidR="00801C65" w:rsidRPr="00162969">
        <w:t>period</w:t>
      </w:r>
      <w:r w:rsidRPr="00162969">
        <w:t xml:space="preserve"> (Group share) adjusted for the impact of items recognized in “Other operating income and expense”, net of tax calculated using the effective tax rate. </w:t>
      </w:r>
      <w:r w:rsidRPr="00162969">
        <w:rPr>
          <w:b/>
        </w:rPr>
        <w:t>Normalized earnings per share</w:t>
      </w:r>
      <w:r w:rsidRPr="00162969">
        <w:t xml:space="preserve"> is computed like basic earnings per share, i.e. excluding dilution.</w:t>
      </w:r>
    </w:p>
    <w:p w14:paraId="561AF43A" w14:textId="77777777" w:rsidR="00D159DD" w:rsidRPr="00162969" w:rsidRDefault="00D159DD" w:rsidP="003A5C07">
      <w:pPr>
        <w:pStyle w:val="BodyText"/>
        <w:spacing w:line="276" w:lineRule="auto"/>
      </w:pPr>
      <w:r w:rsidRPr="00162969">
        <w:rPr>
          <w:b/>
        </w:rPr>
        <w:t>Organic free cash flow</w:t>
      </w:r>
      <w:r w:rsidRPr="00162969">
        <w:t xml:space="preserve"> is equal to cash flow from operations less acquisitions of property, plant, equipment and intangible assets (net of disposals) and repayments of lease liabilities, adjusted for cash out relating to the net interest cost. Finance lease payments were included in repayments of borrowings until December 31, 2018. From January 1, 2019, with the adoption of IFRS 16, these payments are now included in the new definition of organic free cash flow as repayments of lease liabilities.</w:t>
      </w:r>
    </w:p>
    <w:p w14:paraId="631848C2" w14:textId="77777777" w:rsidR="00D159DD" w:rsidRPr="00162969" w:rsidRDefault="00D159DD">
      <w:pPr>
        <w:jc w:val="left"/>
        <w:rPr>
          <w:rFonts w:ascii="Verdana" w:hAnsi="Verdana" w:cs="Arial"/>
          <w:b/>
          <w:caps/>
        </w:rPr>
      </w:pPr>
      <w:bookmarkStart w:id="15" w:name="_Hlk518391150"/>
    </w:p>
    <w:bookmarkEnd w:id="15"/>
    <w:p w14:paraId="35AC25B3" w14:textId="77777777" w:rsidR="00D159DD" w:rsidRPr="00162969" w:rsidRDefault="00D159DD" w:rsidP="00D159DD">
      <w:pPr>
        <w:pStyle w:val="Heading1"/>
      </w:pPr>
      <w:r w:rsidRPr="00162969">
        <w:t>RESULTS BY REGION</w:t>
      </w:r>
    </w:p>
    <w:tbl>
      <w:tblPr>
        <w:tblW w:w="10091" w:type="dxa"/>
        <w:jc w:val="center"/>
        <w:tblLayout w:type="fixed"/>
        <w:tblCellMar>
          <w:left w:w="0" w:type="dxa"/>
          <w:right w:w="0" w:type="dxa"/>
        </w:tblCellMar>
        <w:tblLook w:val="01E0" w:firstRow="1" w:lastRow="1" w:firstColumn="1" w:lastColumn="1" w:noHBand="0" w:noVBand="0"/>
      </w:tblPr>
      <w:tblGrid>
        <w:gridCol w:w="2948"/>
        <w:gridCol w:w="1361"/>
        <w:gridCol w:w="57"/>
        <w:gridCol w:w="1417"/>
        <w:gridCol w:w="1417"/>
        <w:gridCol w:w="57"/>
        <w:gridCol w:w="1417"/>
        <w:gridCol w:w="1417"/>
      </w:tblGrid>
      <w:tr w:rsidR="00D159DD" w:rsidRPr="00162969" w14:paraId="030D4CF5" w14:textId="77777777" w:rsidTr="00F0763C">
        <w:trPr>
          <w:trHeight w:hRule="exact" w:val="454"/>
          <w:jc w:val="center"/>
        </w:trPr>
        <w:tc>
          <w:tcPr>
            <w:tcW w:w="2948" w:type="dxa"/>
          </w:tcPr>
          <w:p w14:paraId="282F1B19" w14:textId="77777777" w:rsidR="00D159DD" w:rsidRPr="00162969" w:rsidRDefault="00D159DD" w:rsidP="00D159DD">
            <w:pPr>
              <w:keepNext/>
              <w:rPr>
                <w:sz w:val="14"/>
                <w:szCs w:val="14"/>
              </w:rPr>
            </w:pPr>
            <w:bookmarkStart w:id="16" w:name="_Hlk518564894"/>
          </w:p>
        </w:tc>
        <w:tc>
          <w:tcPr>
            <w:tcW w:w="1361" w:type="dxa"/>
            <w:tcBorders>
              <w:bottom w:val="single" w:sz="8" w:space="0" w:color="0070AD" w:themeColor="accent1"/>
            </w:tcBorders>
            <w:shd w:val="clear" w:color="auto" w:fill="auto"/>
            <w:vAlign w:val="center"/>
          </w:tcPr>
          <w:p w14:paraId="322F441B" w14:textId="77777777" w:rsidR="00D159DD" w:rsidRPr="00162969" w:rsidRDefault="00D159DD" w:rsidP="00D159DD">
            <w:pPr>
              <w:pStyle w:val="TableParagraph"/>
              <w:keepNext/>
              <w:ind w:left="1"/>
              <w:jc w:val="center"/>
              <w:rPr>
                <w:rFonts w:eastAsia="Arial" w:cs="Arial"/>
                <w:b/>
                <w:sz w:val="14"/>
                <w:szCs w:val="14"/>
              </w:rPr>
            </w:pPr>
            <w:r w:rsidRPr="00162969">
              <w:rPr>
                <w:b/>
                <w:sz w:val="14"/>
                <w:szCs w:val="14"/>
              </w:rPr>
              <w:t>Revenues</w:t>
            </w:r>
          </w:p>
        </w:tc>
        <w:tc>
          <w:tcPr>
            <w:tcW w:w="57" w:type="dxa"/>
          </w:tcPr>
          <w:p w14:paraId="5A549839" w14:textId="77777777" w:rsidR="00D159DD" w:rsidRPr="00162969" w:rsidRDefault="00D159DD" w:rsidP="00D159DD">
            <w:pPr>
              <w:pStyle w:val="TableParagraph"/>
              <w:keepNext/>
              <w:ind w:right="105"/>
              <w:jc w:val="center"/>
              <w:rPr>
                <w:b/>
                <w:sz w:val="14"/>
                <w:szCs w:val="14"/>
                <w:lang w:val="fr-FR"/>
              </w:rPr>
            </w:pPr>
          </w:p>
        </w:tc>
        <w:tc>
          <w:tcPr>
            <w:tcW w:w="2834" w:type="dxa"/>
            <w:gridSpan w:val="2"/>
            <w:tcBorders>
              <w:bottom w:val="single" w:sz="8" w:space="0" w:color="0070AD" w:themeColor="accent1"/>
            </w:tcBorders>
            <w:vAlign w:val="center"/>
          </w:tcPr>
          <w:p w14:paraId="7A60A96E" w14:textId="77777777" w:rsidR="00F0763C" w:rsidRPr="00162969" w:rsidRDefault="00D159DD" w:rsidP="003A5C07">
            <w:pPr>
              <w:pStyle w:val="TableParagraph"/>
              <w:keepNext/>
              <w:ind w:right="-1"/>
              <w:jc w:val="center"/>
              <w:rPr>
                <w:rFonts w:eastAsia="Arial" w:cs="Arial"/>
                <w:b/>
                <w:sz w:val="14"/>
                <w:szCs w:val="14"/>
              </w:rPr>
            </w:pPr>
            <w:r w:rsidRPr="00162969">
              <w:rPr>
                <w:b/>
                <w:sz w:val="14"/>
                <w:szCs w:val="14"/>
              </w:rPr>
              <w:t>Year-on-year growth</w:t>
            </w:r>
          </w:p>
        </w:tc>
        <w:tc>
          <w:tcPr>
            <w:tcW w:w="57" w:type="dxa"/>
          </w:tcPr>
          <w:p w14:paraId="6950E249" w14:textId="77777777" w:rsidR="00D159DD" w:rsidRPr="00162969" w:rsidRDefault="00D159DD" w:rsidP="00D159DD">
            <w:pPr>
              <w:pStyle w:val="TableParagraph"/>
              <w:keepNext/>
              <w:ind w:left="-11" w:right="380" w:firstLine="11"/>
              <w:jc w:val="center"/>
              <w:rPr>
                <w:b/>
                <w:sz w:val="14"/>
                <w:szCs w:val="14"/>
                <w:lang w:val="fr-FR"/>
              </w:rPr>
            </w:pPr>
          </w:p>
        </w:tc>
        <w:tc>
          <w:tcPr>
            <w:tcW w:w="2834" w:type="dxa"/>
            <w:gridSpan w:val="2"/>
            <w:tcBorders>
              <w:bottom w:val="single" w:sz="8" w:space="0" w:color="0070AD" w:themeColor="accent1"/>
            </w:tcBorders>
            <w:shd w:val="clear" w:color="auto" w:fill="auto"/>
            <w:vAlign w:val="center"/>
          </w:tcPr>
          <w:p w14:paraId="5F05F823" w14:textId="77777777" w:rsidR="00D159DD" w:rsidRPr="00162969" w:rsidRDefault="00D159DD" w:rsidP="00D159DD">
            <w:pPr>
              <w:pStyle w:val="TableParagraph"/>
              <w:keepNext/>
              <w:ind w:left="-11" w:firstLine="11"/>
              <w:jc w:val="center"/>
              <w:rPr>
                <w:rFonts w:eastAsia="Arial" w:cs="Arial"/>
                <w:b/>
                <w:sz w:val="14"/>
                <w:szCs w:val="14"/>
              </w:rPr>
            </w:pPr>
            <w:r w:rsidRPr="00162969">
              <w:rPr>
                <w:b/>
                <w:sz w:val="14"/>
                <w:szCs w:val="14"/>
              </w:rPr>
              <w:t>Operating margin rate</w:t>
            </w:r>
          </w:p>
        </w:tc>
      </w:tr>
      <w:tr w:rsidR="007D6284" w:rsidRPr="00162969" w14:paraId="054423CE" w14:textId="77777777" w:rsidTr="007D6284">
        <w:trPr>
          <w:trHeight w:hRule="exact" w:val="737"/>
          <w:jc w:val="center"/>
        </w:trPr>
        <w:tc>
          <w:tcPr>
            <w:tcW w:w="2948" w:type="dxa"/>
            <w:tcBorders>
              <w:bottom w:val="single" w:sz="8" w:space="0" w:color="0070AD" w:themeColor="accent1"/>
            </w:tcBorders>
          </w:tcPr>
          <w:p w14:paraId="304DF83F" w14:textId="77777777" w:rsidR="007D6284" w:rsidRPr="00162969" w:rsidRDefault="007D6284" w:rsidP="007D6284">
            <w:pPr>
              <w:keepNext/>
              <w:rPr>
                <w:sz w:val="14"/>
                <w:szCs w:val="14"/>
              </w:rPr>
            </w:pP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3A3946EE" w14:textId="77777777" w:rsidR="007D6284" w:rsidRPr="00162969" w:rsidRDefault="007D6284" w:rsidP="007D6284">
            <w:pPr>
              <w:pStyle w:val="TableParagraph"/>
              <w:keepNext/>
              <w:ind w:left="1"/>
              <w:jc w:val="center"/>
              <w:rPr>
                <w:b/>
                <w:sz w:val="14"/>
                <w:szCs w:val="14"/>
              </w:rPr>
            </w:pPr>
            <w:r w:rsidRPr="00162969">
              <w:rPr>
                <w:b/>
                <w:sz w:val="14"/>
                <w:szCs w:val="14"/>
              </w:rPr>
              <w:t>H1 2019</w:t>
            </w:r>
          </w:p>
          <w:p w14:paraId="4262F23A" w14:textId="77777777" w:rsidR="007D6284" w:rsidRPr="00162969" w:rsidRDefault="007D6284" w:rsidP="007D6284">
            <w:pPr>
              <w:keepNext/>
              <w:ind w:left="1"/>
              <w:jc w:val="center"/>
              <w:rPr>
                <w:b/>
                <w:sz w:val="14"/>
                <w:szCs w:val="14"/>
              </w:rPr>
            </w:pPr>
            <w:r w:rsidRPr="00162969">
              <w:rPr>
                <w:i/>
                <w:sz w:val="14"/>
                <w:szCs w:val="14"/>
              </w:rPr>
              <w:t>(In millions of euros)</w:t>
            </w:r>
          </w:p>
        </w:tc>
        <w:tc>
          <w:tcPr>
            <w:tcW w:w="57" w:type="dxa"/>
            <w:tcBorders>
              <w:bottom w:val="single" w:sz="8" w:space="0" w:color="0070AD" w:themeColor="accent1"/>
            </w:tcBorders>
          </w:tcPr>
          <w:p w14:paraId="68F365C6" w14:textId="77777777" w:rsidR="007D6284" w:rsidRPr="00162969" w:rsidRDefault="007D6284" w:rsidP="007D6284">
            <w:pPr>
              <w:pStyle w:val="TableParagraph"/>
              <w:keepNext/>
              <w:spacing w:before="27"/>
              <w:ind w:right="162" w:firstLine="26"/>
              <w:jc w:val="center"/>
              <w:rPr>
                <w:b/>
                <w:sz w:val="14"/>
                <w:szCs w:val="14"/>
              </w:rPr>
            </w:pPr>
          </w:p>
        </w:tc>
        <w:tc>
          <w:tcPr>
            <w:tcW w:w="1417" w:type="dxa"/>
            <w:tcBorders>
              <w:top w:val="single" w:sz="8" w:space="0" w:color="0070AD" w:themeColor="accent1"/>
              <w:bottom w:val="single" w:sz="8" w:space="0" w:color="0070AD" w:themeColor="accent1"/>
            </w:tcBorders>
            <w:vAlign w:val="center"/>
          </w:tcPr>
          <w:p w14:paraId="5C943A70" w14:textId="77777777" w:rsidR="007D6284" w:rsidRPr="00162969" w:rsidRDefault="007D6284" w:rsidP="002F2D6A">
            <w:pPr>
              <w:pStyle w:val="TableParagraph"/>
              <w:keepNext/>
              <w:spacing w:before="27"/>
              <w:jc w:val="center"/>
              <w:rPr>
                <w:rFonts w:eastAsia="Arial" w:cs="Arial"/>
                <w:b/>
                <w:sz w:val="14"/>
                <w:szCs w:val="14"/>
              </w:rPr>
            </w:pPr>
            <w:r w:rsidRPr="00162969">
              <w:rPr>
                <w:b/>
                <w:sz w:val="14"/>
                <w:szCs w:val="14"/>
              </w:rPr>
              <w:t>Reported</w:t>
            </w:r>
          </w:p>
        </w:tc>
        <w:tc>
          <w:tcPr>
            <w:tcW w:w="1417" w:type="dxa"/>
            <w:tcBorders>
              <w:top w:val="single" w:sz="8" w:space="0" w:color="0070AD" w:themeColor="accent1"/>
              <w:bottom w:val="single" w:sz="8" w:space="0" w:color="0070AD" w:themeColor="accent1"/>
            </w:tcBorders>
            <w:vAlign w:val="center"/>
          </w:tcPr>
          <w:p w14:paraId="3D92CEE7" w14:textId="77777777" w:rsidR="007D6284" w:rsidRPr="00162969" w:rsidRDefault="007D6284" w:rsidP="007D6284">
            <w:pPr>
              <w:pStyle w:val="TableParagraph"/>
              <w:keepNext/>
              <w:spacing w:before="27"/>
              <w:ind w:right="-1"/>
              <w:jc w:val="center"/>
              <w:rPr>
                <w:b/>
                <w:sz w:val="14"/>
                <w:szCs w:val="14"/>
              </w:rPr>
            </w:pPr>
            <w:r w:rsidRPr="00162969">
              <w:rPr>
                <w:b/>
                <w:sz w:val="14"/>
                <w:szCs w:val="14"/>
              </w:rPr>
              <w:t>at constant exchange rates</w:t>
            </w:r>
          </w:p>
        </w:tc>
        <w:tc>
          <w:tcPr>
            <w:tcW w:w="57" w:type="dxa"/>
            <w:tcBorders>
              <w:bottom w:val="single" w:sz="8" w:space="0" w:color="0070AD" w:themeColor="accent1"/>
            </w:tcBorders>
            <w:vAlign w:val="center"/>
          </w:tcPr>
          <w:p w14:paraId="44184331" w14:textId="77777777" w:rsidR="007D6284" w:rsidRPr="00162969" w:rsidRDefault="007D6284" w:rsidP="007D6284">
            <w:pPr>
              <w:pStyle w:val="TableParagraph"/>
              <w:keepNext/>
              <w:jc w:val="center"/>
              <w:rPr>
                <w:b/>
                <w:sz w:val="14"/>
                <w:szCs w:val="14"/>
                <w:lang w:val="fr-FR"/>
              </w:rPr>
            </w:pPr>
          </w:p>
        </w:tc>
        <w:tc>
          <w:tcPr>
            <w:tcW w:w="1417" w:type="dxa"/>
            <w:tcBorders>
              <w:top w:val="single" w:sz="8" w:space="0" w:color="0070AD" w:themeColor="accent1"/>
              <w:bottom w:val="single" w:sz="8" w:space="0" w:color="0070AD" w:themeColor="accent1"/>
            </w:tcBorders>
            <w:vAlign w:val="center"/>
          </w:tcPr>
          <w:p w14:paraId="71D68F61" w14:textId="77777777" w:rsidR="00F0763C" w:rsidRPr="00162969" w:rsidRDefault="007D6284" w:rsidP="002F2D6A">
            <w:pPr>
              <w:pStyle w:val="TableParagraph"/>
              <w:keepNext/>
              <w:jc w:val="center"/>
              <w:rPr>
                <w:rFonts w:eastAsia="Arial" w:cs="Arial"/>
                <w:sz w:val="14"/>
                <w:szCs w:val="14"/>
              </w:rPr>
            </w:pPr>
            <w:r w:rsidRPr="00162969">
              <w:rPr>
                <w:rFonts w:ascii="Verdana" w:hAnsi="Verdana"/>
                <w:b/>
                <w:sz w:val="14"/>
                <w:szCs w:val="16"/>
              </w:rPr>
              <w:t>H1 2018</w:t>
            </w:r>
          </w:p>
        </w:tc>
        <w:tc>
          <w:tcPr>
            <w:tcW w:w="1417" w:type="dxa"/>
            <w:tcBorders>
              <w:top w:val="single" w:sz="8" w:space="0" w:color="0070AD" w:themeColor="accent1"/>
              <w:bottom w:val="single" w:sz="8" w:space="0" w:color="0070AD" w:themeColor="accent1"/>
            </w:tcBorders>
            <w:shd w:val="clear" w:color="auto" w:fill="BBE7FF" w:themeFill="accent1" w:themeFillTint="33"/>
            <w:vAlign w:val="center"/>
          </w:tcPr>
          <w:p w14:paraId="4F47819C" w14:textId="77777777" w:rsidR="00F0763C" w:rsidRPr="00162969" w:rsidRDefault="007D6284" w:rsidP="002F2D6A">
            <w:pPr>
              <w:pStyle w:val="TableParagraph"/>
              <w:keepNext/>
              <w:ind w:left="17"/>
              <w:jc w:val="center"/>
              <w:rPr>
                <w:rFonts w:ascii="Verdana" w:hAnsi="Verdana"/>
                <w:b/>
                <w:sz w:val="14"/>
                <w:szCs w:val="16"/>
              </w:rPr>
            </w:pPr>
            <w:r w:rsidRPr="00162969">
              <w:rPr>
                <w:rFonts w:ascii="Verdana" w:hAnsi="Verdana"/>
                <w:b/>
                <w:sz w:val="14"/>
                <w:szCs w:val="16"/>
              </w:rPr>
              <w:t>H1 201</w:t>
            </w:r>
            <w:r w:rsidR="002F2D6A" w:rsidRPr="00162969">
              <w:rPr>
                <w:rFonts w:ascii="Verdana" w:hAnsi="Verdana"/>
                <w:b/>
                <w:sz w:val="14"/>
                <w:szCs w:val="16"/>
              </w:rPr>
              <w:t>9</w:t>
            </w:r>
          </w:p>
        </w:tc>
      </w:tr>
      <w:tr w:rsidR="00615364" w:rsidRPr="00162969" w14:paraId="7703959B" w14:textId="77777777" w:rsidTr="00B917CA">
        <w:trPr>
          <w:trHeight w:val="227"/>
          <w:jc w:val="center"/>
        </w:trPr>
        <w:tc>
          <w:tcPr>
            <w:tcW w:w="2948" w:type="dxa"/>
            <w:tcBorders>
              <w:top w:val="single" w:sz="8" w:space="0" w:color="0070AD" w:themeColor="accent1"/>
            </w:tcBorders>
            <w:vAlign w:val="center"/>
          </w:tcPr>
          <w:p w14:paraId="221E390E" w14:textId="77777777" w:rsidR="00615364" w:rsidRPr="00162969" w:rsidRDefault="00615364" w:rsidP="00615364">
            <w:pPr>
              <w:pStyle w:val="TableParagraph"/>
              <w:keepNext/>
              <w:spacing w:before="100" w:beforeAutospacing="1" w:after="100" w:afterAutospacing="1"/>
              <w:ind w:left="142"/>
              <w:rPr>
                <w:sz w:val="14"/>
                <w:szCs w:val="14"/>
              </w:rPr>
            </w:pPr>
            <w:r w:rsidRPr="00162969">
              <w:rPr>
                <w:sz w:val="14"/>
                <w:szCs w:val="14"/>
              </w:rPr>
              <w:t>North America</w:t>
            </w:r>
          </w:p>
        </w:tc>
        <w:tc>
          <w:tcPr>
            <w:tcW w:w="1361" w:type="dxa"/>
            <w:tcBorders>
              <w:top w:val="single" w:sz="8" w:space="0" w:color="0070AD"/>
              <w:left w:val="nil"/>
              <w:bottom w:val="nil"/>
              <w:right w:val="nil"/>
            </w:tcBorders>
            <w:shd w:val="clear" w:color="000000" w:fill="BBE7FF"/>
            <w:vAlign w:val="center"/>
          </w:tcPr>
          <w:p w14:paraId="7C7F8FCB"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rFonts w:ascii="Verdana" w:hAnsi="Verdana"/>
                <w:sz w:val="14"/>
                <w:szCs w:val="16"/>
              </w:rPr>
              <w:t>2,248</w:t>
            </w:r>
          </w:p>
        </w:tc>
        <w:tc>
          <w:tcPr>
            <w:tcW w:w="57" w:type="dxa"/>
            <w:tcBorders>
              <w:top w:val="single" w:sz="8" w:space="0" w:color="0070AD"/>
              <w:left w:val="nil"/>
              <w:bottom w:val="nil"/>
              <w:right w:val="nil"/>
            </w:tcBorders>
            <w:shd w:val="clear" w:color="auto" w:fill="auto"/>
            <w:vAlign w:val="center"/>
          </w:tcPr>
          <w:p w14:paraId="44BC6A6A"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 </w:t>
            </w:r>
          </w:p>
        </w:tc>
        <w:tc>
          <w:tcPr>
            <w:tcW w:w="1417" w:type="dxa"/>
            <w:tcBorders>
              <w:top w:val="single" w:sz="8" w:space="0" w:color="0070AD"/>
              <w:left w:val="nil"/>
              <w:bottom w:val="nil"/>
              <w:right w:val="nil"/>
            </w:tcBorders>
            <w:shd w:val="clear" w:color="auto" w:fill="auto"/>
            <w:vAlign w:val="center"/>
          </w:tcPr>
          <w:p w14:paraId="0B4B2E2A"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+10.8%</w:t>
            </w:r>
          </w:p>
        </w:tc>
        <w:tc>
          <w:tcPr>
            <w:tcW w:w="1417" w:type="dxa"/>
            <w:tcBorders>
              <w:top w:val="single" w:sz="8" w:space="0" w:color="0070AD"/>
              <w:left w:val="nil"/>
              <w:bottom w:val="nil"/>
              <w:right w:val="nil"/>
            </w:tcBorders>
            <w:shd w:val="clear" w:color="auto" w:fill="auto"/>
            <w:vAlign w:val="center"/>
          </w:tcPr>
          <w:p w14:paraId="5E36C9F0"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+3.8%</w:t>
            </w:r>
          </w:p>
        </w:tc>
        <w:tc>
          <w:tcPr>
            <w:tcW w:w="57" w:type="dxa"/>
            <w:tcBorders>
              <w:top w:val="single" w:sz="8" w:space="0" w:color="0070AD"/>
              <w:left w:val="nil"/>
              <w:bottom w:val="nil"/>
              <w:right w:val="nil"/>
            </w:tcBorders>
            <w:shd w:val="clear" w:color="auto" w:fill="auto"/>
            <w:vAlign w:val="center"/>
          </w:tcPr>
          <w:p w14:paraId="76EDDD5E"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 </w:t>
            </w:r>
          </w:p>
        </w:tc>
        <w:tc>
          <w:tcPr>
            <w:tcW w:w="1417" w:type="dxa"/>
            <w:tcBorders>
              <w:top w:val="single" w:sz="8" w:space="0" w:color="0070AD"/>
              <w:left w:val="nil"/>
              <w:bottom w:val="nil"/>
              <w:right w:val="nil"/>
            </w:tcBorders>
            <w:shd w:val="clear" w:color="auto" w:fill="auto"/>
            <w:vAlign w:val="center"/>
          </w:tcPr>
          <w:p w14:paraId="1E524F8B" w14:textId="77777777" w:rsidR="00615364" w:rsidRPr="00162969" w:rsidRDefault="00615364" w:rsidP="00615364">
            <w:pPr>
              <w:keepNext/>
              <w:widowControl w:val="0"/>
              <w:spacing w:before="100" w:beforeAutospacing="1" w:after="100" w:afterAutospacing="1"/>
              <w:ind w:right="452"/>
              <w:jc w:val="right"/>
              <w:rPr>
                <w:rFonts w:eastAsia="Arial" w:cs="Arial"/>
                <w:sz w:val="14"/>
                <w:szCs w:val="14"/>
              </w:rPr>
            </w:pPr>
            <w:r w:rsidRPr="00162969">
              <w:rPr>
                <w:sz w:val="14"/>
                <w:szCs w:val="14"/>
              </w:rPr>
              <w:t>13.2%</w:t>
            </w:r>
          </w:p>
        </w:tc>
        <w:tc>
          <w:tcPr>
            <w:tcW w:w="1417" w:type="dxa"/>
            <w:tcBorders>
              <w:top w:val="single" w:sz="8" w:space="0" w:color="0070AD"/>
              <w:left w:val="nil"/>
              <w:bottom w:val="nil"/>
              <w:right w:val="nil"/>
            </w:tcBorders>
            <w:shd w:val="clear" w:color="000000" w:fill="BBE7FF"/>
            <w:vAlign w:val="center"/>
          </w:tcPr>
          <w:p w14:paraId="56C24CA7" w14:textId="229215A7" w:rsidR="00615364" w:rsidRPr="00162969" w:rsidRDefault="00615364" w:rsidP="00615364">
            <w:pPr>
              <w:keepNext/>
              <w:widowControl w:val="0"/>
              <w:spacing w:before="100" w:beforeAutospacing="1" w:after="100" w:afterAutospacing="1"/>
              <w:ind w:right="596"/>
              <w:jc w:val="right"/>
              <w:rPr>
                <w:rFonts w:eastAsia="Arial" w:cs="Arial"/>
                <w:sz w:val="14"/>
                <w:szCs w:val="14"/>
              </w:rPr>
            </w:pPr>
            <w:r w:rsidRPr="00162969">
              <w:rPr>
                <w:sz w:val="14"/>
                <w:szCs w:val="14"/>
              </w:rPr>
              <w:t>12.</w:t>
            </w:r>
            <w:r w:rsidR="00B75A09" w:rsidRPr="00162969">
              <w:rPr>
                <w:sz w:val="14"/>
                <w:szCs w:val="14"/>
              </w:rPr>
              <w:t>9</w:t>
            </w:r>
            <w:r w:rsidRPr="00162969">
              <w:rPr>
                <w:sz w:val="14"/>
                <w:szCs w:val="14"/>
              </w:rPr>
              <w:t>%</w:t>
            </w:r>
          </w:p>
        </w:tc>
      </w:tr>
      <w:tr w:rsidR="00615364" w:rsidRPr="00162969" w14:paraId="2FCEDA1A" w14:textId="77777777" w:rsidTr="00B917CA">
        <w:trPr>
          <w:trHeight w:val="227"/>
          <w:jc w:val="center"/>
        </w:trPr>
        <w:tc>
          <w:tcPr>
            <w:tcW w:w="2948" w:type="dxa"/>
            <w:vAlign w:val="center"/>
          </w:tcPr>
          <w:p w14:paraId="5F8F4D93" w14:textId="77777777" w:rsidR="00615364" w:rsidRPr="00162969" w:rsidRDefault="00615364" w:rsidP="00615364">
            <w:pPr>
              <w:pStyle w:val="TableParagraph"/>
              <w:keepNext/>
              <w:spacing w:before="100" w:beforeAutospacing="1" w:after="100" w:afterAutospacing="1"/>
              <w:ind w:left="142"/>
              <w:rPr>
                <w:sz w:val="14"/>
                <w:szCs w:val="14"/>
              </w:rPr>
            </w:pPr>
            <w:r w:rsidRPr="00162969">
              <w:rPr>
                <w:sz w:val="14"/>
                <w:szCs w:val="14"/>
              </w:rPr>
              <w:t>United Kingdom and Ireland</w:t>
            </w:r>
          </w:p>
        </w:tc>
        <w:tc>
          <w:tcPr>
            <w:tcW w:w="1361" w:type="dxa"/>
            <w:tcBorders>
              <w:top w:val="nil"/>
              <w:left w:val="nil"/>
              <w:bottom w:val="nil"/>
              <w:right w:val="nil"/>
            </w:tcBorders>
            <w:shd w:val="clear" w:color="000000" w:fill="BBE7FF"/>
            <w:vAlign w:val="center"/>
          </w:tcPr>
          <w:p w14:paraId="179FDA65"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rFonts w:ascii="Verdana" w:hAnsi="Verdana"/>
                <w:sz w:val="14"/>
                <w:szCs w:val="16"/>
              </w:rPr>
              <w:t>849</w:t>
            </w:r>
          </w:p>
        </w:tc>
        <w:tc>
          <w:tcPr>
            <w:tcW w:w="57" w:type="dxa"/>
            <w:tcBorders>
              <w:top w:val="nil"/>
              <w:left w:val="nil"/>
              <w:bottom w:val="nil"/>
              <w:right w:val="nil"/>
            </w:tcBorders>
            <w:shd w:val="clear" w:color="auto" w:fill="auto"/>
            <w:vAlign w:val="center"/>
          </w:tcPr>
          <w:p w14:paraId="6A8A0DEF" w14:textId="77777777" w:rsidR="00615364" w:rsidRPr="00162969" w:rsidRDefault="00615364" w:rsidP="00615364">
            <w:pPr>
              <w:pStyle w:val="TableParagraph"/>
              <w:keepNext/>
              <w:spacing w:before="100" w:beforeAutospacing="1" w:after="100" w:afterAutospacing="1"/>
              <w:ind w:left="1" w:right="537"/>
              <w:jc w:val="right"/>
              <w:rPr>
                <w:sz w:val="14"/>
                <w:szCs w:val="14"/>
              </w:rPr>
            </w:pPr>
          </w:p>
        </w:tc>
        <w:tc>
          <w:tcPr>
            <w:tcW w:w="1417" w:type="dxa"/>
            <w:tcBorders>
              <w:top w:val="nil"/>
              <w:left w:val="nil"/>
              <w:bottom w:val="nil"/>
              <w:right w:val="nil"/>
            </w:tcBorders>
            <w:shd w:val="clear" w:color="auto" w:fill="auto"/>
            <w:vAlign w:val="center"/>
          </w:tcPr>
          <w:p w14:paraId="4D458156"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+8.7%</w:t>
            </w:r>
          </w:p>
        </w:tc>
        <w:tc>
          <w:tcPr>
            <w:tcW w:w="1417" w:type="dxa"/>
            <w:tcBorders>
              <w:top w:val="nil"/>
              <w:left w:val="nil"/>
              <w:bottom w:val="nil"/>
              <w:right w:val="nil"/>
            </w:tcBorders>
            <w:shd w:val="clear" w:color="auto" w:fill="auto"/>
            <w:vAlign w:val="center"/>
          </w:tcPr>
          <w:p w14:paraId="7E7F8F37"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+8.0%</w:t>
            </w:r>
          </w:p>
        </w:tc>
        <w:tc>
          <w:tcPr>
            <w:tcW w:w="57" w:type="dxa"/>
            <w:tcBorders>
              <w:top w:val="nil"/>
              <w:left w:val="nil"/>
              <w:bottom w:val="nil"/>
              <w:right w:val="nil"/>
            </w:tcBorders>
            <w:shd w:val="clear" w:color="auto" w:fill="auto"/>
            <w:vAlign w:val="center"/>
          </w:tcPr>
          <w:p w14:paraId="7EA61C0D" w14:textId="77777777" w:rsidR="00615364" w:rsidRPr="00162969" w:rsidRDefault="00615364" w:rsidP="00615364">
            <w:pPr>
              <w:pStyle w:val="TableParagraph"/>
              <w:keepNext/>
              <w:spacing w:before="100" w:beforeAutospacing="1" w:after="100" w:afterAutospacing="1"/>
              <w:ind w:left="1" w:right="537"/>
              <w:jc w:val="right"/>
              <w:rPr>
                <w:sz w:val="14"/>
                <w:szCs w:val="14"/>
              </w:rPr>
            </w:pPr>
          </w:p>
        </w:tc>
        <w:tc>
          <w:tcPr>
            <w:tcW w:w="1417" w:type="dxa"/>
            <w:tcBorders>
              <w:top w:val="nil"/>
              <w:left w:val="nil"/>
              <w:bottom w:val="nil"/>
              <w:right w:val="nil"/>
            </w:tcBorders>
            <w:shd w:val="clear" w:color="auto" w:fill="auto"/>
            <w:vAlign w:val="center"/>
          </w:tcPr>
          <w:p w14:paraId="458F0E4A" w14:textId="77777777" w:rsidR="00615364" w:rsidRPr="00162969" w:rsidRDefault="00615364" w:rsidP="00615364">
            <w:pPr>
              <w:keepNext/>
              <w:widowControl w:val="0"/>
              <w:spacing w:before="100" w:beforeAutospacing="1" w:after="100" w:afterAutospacing="1"/>
              <w:ind w:right="452"/>
              <w:jc w:val="right"/>
              <w:rPr>
                <w:rFonts w:eastAsia="Arial" w:cs="Arial"/>
                <w:sz w:val="14"/>
                <w:szCs w:val="14"/>
              </w:rPr>
            </w:pPr>
            <w:r w:rsidRPr="00162969">
              <w:rPr>
                <w:sz w:val="14"/>
                <w:szCs w:val="14"/>
              </w:rPr>
              <w:t>12.2%</w:t>
            </w:r>
          </w:p>
        </w:tc>
        <w:tc>
          <w:tcPr>
            <w:tcW w:w="1417" w:type="dxa"/>
            <w:tcBorders>
              <w:top w:val="nil"/>
              <w:left w:val="nil"/>
              <w:bottom w:val="nil"/>
              <w:right w:val="nil"/>
            </w:tcBorders>
            <w:shd w:val="clear" w:color="000000" w:fill="BBE7FF"/>
            <w:vAlign w:val="center"/>
          </w:tcPr>
          <w:p w14:paraId="1C24188F" w14:textId="77777777" w:rsidR="00615364" w:rsidRPr="00162969" w:rsidRDefault="00615364" w:rsidP="00615364">
            <w:pPr>
              <w:keepNext/>
              <w:widowControl w:val="0"/>
              <w:spacing w:before="100" w:beforeAutospacing="1" w:after="100" w:afterAutospacing="1"/>
              <w:ind w:right="596"/>
              <w:jc w:val="right"/>
              <w:rPr>
                <w:rFonts w:eastAsia="Arial" w:cs="Arial"/>
                <w:sz w:val="14"/>
                <w:szCs w:val="14"/>
              </w:rPr>
            </w:pPr>
            <w:r w:rsidRPr="00162969">
              <w:rPr>
                <w:sz w:val="14"/>
                <w:szCs w:val="14"/>
              </w:rPr>
              <w:t>15.9%</w:t>
            </w:r>
          </w:p>
        </w:tc>
      </w:tr>
      <w:tr w:rsidR="00615364" w:rsidRPr="00162969" w14:paraId="4860672D" w14:textId="77777777" w:rsidTr="00B917CA">
        <w:trPr>
          <w:trHeight w:val="227"/>
          <w:jc w:val="center"/>
        </w:trPr>
        <w:tc>
          <w:tcPr>
            <w:tcW w:w="2948" w:type="dxa"/>
            <w:vAlign w:val="center"/>
          </w:tcPr>
          <w:p w14:paraId="2D91DB1B" w14:textId="77777777" w:rsidR="00615364" w:rsidRPr="00162969" w:rsidRDefault="00615364" w:rsidP="00615364">
            <w:pPr>
              <w:pStyle w:val="TableParagraph"/>
              <w:keepNext/>
              <w:spacing w:before="100" w:beforeAutospacing="1" w:after="100" w:afterAutospacing="1"/>
              <w:ind w:left="142"/>
              <w:rPr>
                <w:rFonts w:eastAsia="Arial" w:cs="Arial"/>
                <w:sz w:val="14"/>
                <w:szCs w:val="14"/>
              </w:rPr>
            </w:pPr>
            <w:r w:rsidRPr="00162969">
              <w:rPr>
                <w:sz w:val="14"/>
                <w:szCs w:val="14"/>
              </w:rPr>
              <w:t>France</w:t>
            </w:r>
          </w:p>
        </w:tc>
        <w:tc>
          <w:tcPr>
            <w:tcW w:w="1361" w:type="dxa"/>
            <w:tcBorders>
              <w:top w:val="nil"/>
              <w:left w:val="nil"/>
              <w:bottom w:val="nil"/>
              <w:right w:val="nil"/>
            </w:tcBorders>
            <w:shd w:val="clear" w:color="000000" w:fill="BBE7FF"/>
            <w:vAlign w:val="center"/>
          </w:tcPr>
          <w:p w14:paraId="4F8F7579"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rFonts w:ascii="Verdana" w:hAnsi="Verdana"/>
                <w:sz w:val="14"/>
                <w:szCs w:val="16"/>
              </w:rPr>
              <w:t>1,498</w:t>
            </w:r>
          </w:p>
        </w:tc>
        <w:tc>
          <w:tcPr>
            <w:tcW w:w="57" w:type="dxa"/>
            <w:tcBorders>
              <w:top w:val="nil"/>
              <w:left w:val="nil"/>
              <w:bottom w:val="nil"/>
              <w:right w:val="nil"/>
            </w:tcBorders>
            <w:shd w:val="clear" w:color="auto" w:fill="auto"/>
            <w:vAlign w:val="center"/>
          </w:tcPr>
          <w:p w14:paraId="4D9A748E" w14:textId="77777777" w:rsidR="00615364" w:rsidRPr="00162969" w:rsidRDefault="00615364" w:rsidP="00615364">
            <w:pPr>
              <w:pStyle w:val="TableParagraph"/>
              <w:keepNext/>
              <w:spacing w:before="100" w:beforeAutospacing="1" w:after="100" w:afterAutospacing="1"/>
              <w:ind w:left="1" w:right="537"/>
              <w:jc w:val="right"/>
              <w:rPr>
                <w:sz w:val="14"/>
                <w:szCs w:val="14"/>
              </w:rPr>
            </w:pPr>
          </w:p>
        </w:tc>
        <w:tc>
          <w:tcPr>
            <w:tcW w:w="1417" w:type="dxa"/>
            <w:tcBorders>
              <w:top w:val="nil"/>
              <w:left w:val="nil"/>
              <w:bottom w:val="nil"/>
              <w:right w:val="nil"/>
            </w:tcBorders>
            <w:shd w:val="clear" w:color="auto" w:fill="auto"/>
            <w:vAlign w:val="center"/>
          </w:tcPr>
          <w:p w14:paraId="39763E02"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+6.9%</w:t>
            </w:r>
          </w:p>
        </w:tc>
        <w:tc>
          <w:tcPr>
            <w:tcW w:w="1417" w:type="dxa"/>
            <w:tcBorders>
              <w:top w:val="nil"/>
              <w:left w:val="nil"/>
              <w:bottom w:val="nil"/>
              <w:right w:val="nil"/>
            </w:tcBorders>
            <w:shd w:val="clear" w:color="auto" w:fill="auto"/>
            <w:vAlign w:val="center"/>
          </w:tcPr>
          <w:p w14:paraId="0835A514"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+6.9%</w:t>
            </w:r>
          </w:p>
        </w:tc>
        <w:tc>
          <w:tcPr>
            <w:tcW w:w="57" w:type="dxa"/>
            <w:tcBorders>
              <w:top w:val="nil"/>
              <w:left w:val="nil"/>
              <w:bottom w:val="nil"/>
              <w:right w:val="nil"/>
            </w:tcBorders>
            <w:shd w:val="clear" w:color="auto" w:fill="auto"/>
            <w:vAlign w:val="center"/>
          </w:tcPr>
          <w:p w14:paraId="0D0A9549" w14:textId="77777777" w:rsidR="00615364" w:rsidRPr="00162969" w:rsidRDefault="00615364" w:rsidP="00615364">
            <w:pPr>
              <w:pStyle w:val="TableParagraph"/>
              <w:keepNext/>
              <w:spacing w:before="100" w:beforeAutospacing="1" w:after="100" w:afterAutospacing="1"/>
              <w:ind w:left="1" w:right="537"/>
              <w:jc w:val="right"/>
              <w:rPr>
                <w:sz w:val="14"/>
                <w:szCs w:val="14"/>
              </w:rPr>
            </w:pPr>
          </w:p>
        </w:tc>
        <w:tc>
          <w:tcPr>
            <w:tcW w:w="1417" w:type="dxa"/>
            <w:tcBorders>
              <w:top w:val="nil"/>
              <w:left w:val="nil"/>
              <w:bottom w:val="nil"/>
              <w:right w:val="nil"/>
            </w:tcBorders>
            <w:shd w:val="clear" w:color="auto" w:fill="auto"/>
            <w:vAlign w:val="center"/>
          </w:tcPr>
          <w:p w14:paraId="6A0DBAA7" w14:textId="77777777" w:rsidR="00615364" w:rsidRPr="00162969" w:rsidRDefault="00615364" w:rsidP="00615364">
            <w:pPr>
              <w:keepNext/>
              <w:widowControl w:val="0"/>
              <w:spacing w:before="100" w:beforeAutospacing="1" w:after="100" w:afterAutospacing="1"/>
              <w:ind w:right="452"/>
              <w:jc w:val="right"/>
              <w:rPr>
                <w:rFonts w:eastAsia="Arial" w:cs="Arial"/>
                <w:sz w:val="14"/>
                <w:szCs w:val="14"/>
              </w:rPr>
            </w:pPr>
            <w:r w:rsidRPr="00162969">
              <w:rPr>
                <w:sz w:val="14"/>
                <w:szCs w:val="14"/>
              </w:rPr>
              <w:t>8.4%</w:t>
            </w:r>
          </w:p>
        </w:tc>
        <w:tc>
          <w:tcPr>
            <w:tcW w:w="1417" w:type="dxa"/>
            <w:tcBorders>
              <w:top w:val="nil"/>
              <w:left w:val="nil"/>
              <w:bottom w:val="nil"/>
              <w:right w:val="nil"/>
            </w:tcBorders>
            <w:shd w:val="clear" w:color="000000" w:fill="BBE7FF"/>
            <w:vAlign w:val="center"/>
          </w:tcPr>
          <w:p w14:paraId="2BBE8E28" w14:textId="77777777" w:rsidR="00615364" w:rsidRPr="00162969" w:rsidRDefault="00615364" w:rsidP="00615364">
            <w:pPr>
              <w:keepNext/>
              <w:widowControl w:val="0"/>
              <w:spacing w:before="100" w:beforeAutospacing="1" w:after="100" w:afterAutospacing="1"/>
              <w:ind w:right="596"/>
              <w:jc w:val="right"/>
              <w:rPr>
                <w:rFonts w:eastAsia="Arial" w:cs="Arial"/>
                <w:sz w:val="14"/>
                <w:szCs w:val="14"/>
              </w:rPr>
            </w:pPr>
            <w:r w:rsidRPr="00162969">
              <w:rPr>
                <w:sz w:val="14"/>
                <w:szCs w:val="14"/>
              </w:rPr>
              <w:t>9.6%</w:t>
            </w:r>
          </w:p>
        </w:tc>
      </w:tr>
      <w:tr w:rsidR="00615364" w:rsidRPr="00162969" w14:paraId="00A4F36D" w14:textId="77777777" w:rsidTr="00B917CA">
        <w:trPr>
          <w:trHeight w:val="227"/>
          <w:jc w:val="center"/>
        </w:trPr>
        <w:tc>
          <w:tcPr>
            <w:tcW w:w="2948" w:type="dxa"/>
            <w:vAlign w:val="center"/>
          </w:tcPr>
          <w:p w14:paraId="3563109A" w14:textId="77777777" w:rsidR="00615364" w:rsidRPr="00162969" w:rsidRDefault="00615364" w:rsidP="00615364">
            <w:pPr>
              <w:pStyle w:val="TableParagraph"/>
              <w:keepNext/>
              <w:spacing w:before="100" w:beforeAutospacing="1" w:after="100" w:afterAutospacing="1"/>
              <w:ind w:left="142"/>
              <w:rPr>
                <w:sz w:val="14"/>
                <w:szCs w:val="14"/>
              </w:rPr>
            </w:pPr>
            <w:r w:rsidRPr="00162969">
              <w:rPr>
                <w:sz w:val="14"/>
                <w:szCs w:val="14"/>
              </w:rPr>
              <w:t>Rest of Europe</w:t>
            </w:r>
          </w:p>
        </w:tc>
        <w:tc>
          <w:tcPr>
            <w:tcW w:w="1361" w:type="dxa"/>
            <w:tcBorders>
              <w:top w:val="nil"/>
              <w:left w:val="nil"/>
              <w:bottom w:val="nil"/>
              <w:right w:val="nil"/>
            </w:tcBorders>
            <w:shd w:val="clear" w:color="000000" w:fill="BBE7FF"/>
            <w:vAlign w:val="center"/>
          </w:tcPr>
          <w:p w14:paraId="3480A2F6"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rFonts w:ascii="Verdana" w:hAnsi="Verdana"/>
                <w:sz w:val="14"/>
                <w:szCs w:val="16"/>
              </w:rPr>
              <w:t>1,898</w:t>
            </w:r>
          </w:p>
        </w:tc>
        <w:tc>
          <w:tcPr>
            <w:tcW w:w="57" w:type="dxa"/>
            <w:tcBorders>
              <w:top w:val="nil"/>
              <w:left w:val="nil"/>
              <w:bottom w:val="nil"/>
              <w:right w:val="nil"/>
            </w:tcBorders>
            <w:shd w:val="clear" w:color="auto" w:fill="auto"/>
            <w:vAlign w:val="center"/>
          </w:tcPr>
          <w:p w14:paraId="45F887FD" w14:textId="77777777" w:rsidR="00615364" w:rsidRPr="00162969" w:rsidRDefault="00615364" w:rsidP="00615364">
            <w:pPr>
              <w:pStyle w:val="TableParagraph"/>
              <w:keepNext/>
              <w:spacing w:before="100" w:beforeAutospacing="1" w:after="100" w:afterAutospacing="1"/>
              <w:ind w:left="1" w:right="537"/>
              <w:jc w:val="right"/>
              <w:rPr>
                <w:sz w:val="14"/>
                <w:szCs w:val="14"/>
              </w:rPr>
            </w:pPr>
          </w:p>
        </w:tc>
        <w:tc>
          <w:tcPr>
            <w:tcW w:w="1417" w:type="dxa"/>
            <w:tcBorders>
              <w:top w:val="nil"/>
              <w:left w:val="nil"/>
              <w:bottom w:val="nil"/>
              <w:right w:val="nil"/>
            </w:tcBorders>
            <w:shd w:val="clear" w:color="auto" w:fill="auto"/>
            <w:vAlign w:val="center"/>
          </w:tcPr>
          <w:p w14:paraId="6A85DFD5"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+5.7%</w:t>
            </w:r>
          </w:p>
        </w:tc>
        <w:tc>
          <w:tcPr>
            <w:tcW w:w="1417" w:type="dxa"/>
            <w:tcBorders>
              <w:top w:val="nil"/>
              <w:left w:val="nil"/>
              <w:bottom w:val="nil"/>
              <w:right w:val="nil"/>
            </w:tcBorders>
            <w:shd w:val="clear" w:color="auto" w:fill="auto"/>
            <w:vAlign w:val="center"/>
          </w:tcPr>
          <w:p w14:paraId="2CE8CFF0"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+6.2%</w:t>
            </w:r>
          </w:p>
        </w:tc>
        <w:tc>
          <w:tcPr>
            <w:tcW w:w="57" w:type="dxa"/>
            <w:tcBorders>
              <w:top w:val="nil"/>
              <w:left w:val="nil"/>
              <w:bottom w:val="nil"/>
              <w:right w:val="nil"/>
            </w:tcBorders>
            <w:shd w:val="clear" w:color="auto" w:fill="auto"/>
            <w:vAlign w:val="center"/>
          </w:tcPr>
          <w:p w14:paraId="7A7DF0B1" w14:textId="77777777" w:rsidR="00615364" w:rsidRPr="00162969" w:rsidRDefault="00615364" w:rsidP="00615364">
            <w:pPr>
              <w:pStyle w:val="TableParagraph"/>
              <w:keepNext/>
              <w:spacing w:before="100" w:beforeAutospacing="1" w:after="100" w:afterAutospacing="1"/>
              <w:ind w:left="1" w:right="537"/>
              <w:jc w:val="right"/>
              <w:rPr>
                <w:sz w:val="14"/>
                <w:szCs w:val="14"/>
              </w:rPr>
            </w:pPr>
          </w:p>
        </w:tc>
        <w:tc>
          <w:tcPr>
            <w:tcW w:w="1417" w:type="dxa"/>
            <w:tcBorders>
              <w:top w:val="nil"/>
              <w:left w:val="nil"/>
              <w:bottom w:val="nil"/>
              <w:right w:val="nil"/>
            </w:tcBorders>
            <w:shd w:val="clear" w:color="auto" w:fill="auto"/>
            <w:vAlign w:val="center"/>
          </w:tcPr>
          <w:p w14:paraId="4C87B395" w14:textId="77777777" w:rsidR="00615364" w:rsidRPr="00162969" w:rsidRDefault="00615364" w:rsidP="00615364">
            <w:pPr>
              <w:keepNext/>
              <w:widowControl w:val="0"/>
              <w:spacing w:before="100" w:beforeAutospacing="1" w:after="100" w:afterAutospacing="1"/>
              <w:ind w:right="452"/>
              <w:jc w:val="right"/>
              <w:rPr>
                <w:rFonts w:eastAsia="Arial" w:cs="Arial"/>
                <w:sz w:val="14"/>
                <w:szCs w:val="14"/>
              </w:rPr>
            </w:pPr>
            <w:r w:rsidRPr="00162969">
              <w:rPr>
                <w:sz w:val="14"/>
                <w:szCs w:val="14"/>
              </w:rPr>
              <w:t>12.0%</w:t>
            </w:r>
          </w:p>
        </w:tc>
        <w:tc>
          <w:tcPr>
            <w:tcW w:w="1417" w:type="dxa"/>
            <w:tcBorders>
              <w:top w:val="nil"/>
              <w:left w:val="nil"/>
              <w:bottom w:val="nil"/>
              <w:right w:val="nil"/>
            </w:tcBorders>
            <w:shd w:val="clear" w:color="000000" w:fill="BBE7FF"/>
            <w:vAlign w:val="center"/>
          </w:tcPr>
          <w:p w14:paraId="0D012995" w14:textId="77777777" w:rsidR="00615364" w:rsidRPr="00162969" w:rsidRDefault="00615364" w:rsidP="00615364">
            <w:pPr>
              <w:keepNext/>
              <w:widowControl w:val="0"/>
              <w:spacing w:before="100" w:beforeAutospacing="1" w:after="100" w:afterAutospacing="1"/>
              <w:ind w:right="596"/>
              <w:jc w:val="right"/>
              <w:rPr>
                <w:rFonts w:eastAsia="Arial" w:cs="Arial"/>
                <w:sz w:val="14"/>
                <w:szCs w:val="14"/>
              </w:rPr>
            </w:pPr>
            <w:r w:rsidRPr="00162969">
              <w:rPr>
                <w:sz w:val="14"/>
                <w:szCs w:val="14"/>
              </w:rPr>
              <w:t>11.3%</w:t>
            </w:r>
          </w:p>
        </w:tc>
      </w:tr>
      <w:tr w:rsidR="00615364" w:rsidRPr="00162969" w14:paraId="5B936B41" w14:textId="77777777" w:rsidTr="00B917CA">
        <w:trPr>
          <w:trHeight w:val="227"/>
          <w:jc w:val="center"/>
        </w:trPr>
        <w:tc>
          <w:tcPr>
            <w:tcW w:w="2948" w:type="dxa"/>
            <w:tcBorders>
              <w:bottom w:val="single" w:sz="8" w:space="0" w:color="0070AD" w:themeColor="accent1"/>
            </w:tcBorders>
            <w:vAlign w:val="center"/>
          </w:tcPr>
          <w:p w14:paraId="531B5C36" w14:textId="77777777" w:rsidR="00615364" w:rsidRPr="00162969" w:rsidRDefault="00615364" w:rsidP="00615364">
            <w:pPr>
              <w:pStyle w:val="TableParagraph"/>
              <w:keepNext/>
              <w:spacing w:before="100" w:beforeAutospacing="1" w:after="100" w:afterAutospacing="1"/>
              <w:ind w:left="142"/>
              <w:rPr>
                <w:sz w:val="14"/>
                <w:szCs w:val="14"/>
              </w:rPr>
            </w:pPr>
            <w:r w:rsidRPr="00162969">
              <w:rPr>
                <w:sz w:val="14"/>
                <w:szCs w:val="14"/>
              </w:rPr>
              <w:t>Asia Pacific and Latin America</w:t>
            </w:r>
          </w:p>
        </w:tc>
        <w:tc>
          <w:tcPr>
            <w:tcW w:w="1361" w:type="dxa"/>
            <w:tcBorders>
              <w:top w:val="nil"/>
              <w:left w:val="nil"/>
              <w:bottom w:val="single" w:sz="8" w:space="0" w:color="0070AD"/>
              <w:right w:val="nil"/>
            </w:tcBorders>
            <w:shd w:val="clear" w:color="000000" w:fill="BBE7FF"/>
            <w:vAlign w:val="center"/>
          </w:tcPr>
          <w:p w14:paraId="5BAD65A0"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rFonts w:ascii="Verdana" w:hAnsi="Verdana"/>
                <w:sz w:val="14"/>
                <w:szCs w:val="16"/>
              </w:rPr>
              <w:t>514</w:t>
            </w:r>
          </w:p>
        </w:tc>
        <w:tc>
          <w:tcPr>
            <w:tcW w:w="57" w:type="dxa"/>
            <w:tcBorders>
              <w:top w:val="nil"/>
              <w:left w:val="nil"/>
              <w:bottom w:val="single" w:sz="8" w:space="0" w:color="0070AD"/>
              <w:right w:val="nil"/>
            </w:tcBorders>
            <w:shd w:val="clear" w:color="auto" w:fill="auto"/>
            <w:vAlign w:val="center"/>
          </w:tcPr>
          <w:p w14:paraId="2620808C"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 </w:t>
            </w:r>
          </w:p>
        </w:tc>
        <w:tc>
          <w:tcPr>
            <w:tcW w:w="1417" w:type="dxa"/>
            <w:tcBorders>
              <w:top w:val="nil"/>
              <w:left w:val="nil"/>
              <w:bottom w:val="single" w:sz="8" w:space="0" w:color="0070AD"/>
              <w:right w:val="nil"/>
            </w:tcBorders>
            <w:shd w:val="clear" w:color="auto" w:fill="auto"/>
            <w:vAlign w:val="center"/>
          </w:tcPr>
          <w:p w14:paraId="47F03108"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+12.1%</w:t>
            </w:r>
          </w:p>
        </w:tc>
        <w:tc>
          <w:tcPr>
            <w:tcW w:w="1417" w:type="dxa"/>
            <w:tcBorders>
              <w:top w:val="nil"/>
              <w:left w:val="nil"/>
              <w:bottom w:val="single" w:sz="8" w:space="0" w:color="0070AD"/>
              <w:right w:val="nil"/>
            </w:tcBorders>
            <w:shd w:val="clear" w:color="auto" w:fill="auto"/>
            <w:vAlign w:val="center"/>
          </w:tcPr>
          <w:p w14:paraId="6495E642"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+12.2%</w:t>
            </w:r>
          </w:p>
        </w:tc>
        <w:tc>
          <w:tcPr>
            <w:tcW w:w="57" w:type="dxa"/>
            <w:tcBorders>
              <w:top w:val="nil"/>
              <w:left w:val="nil"/>
              <w:bottom w:val="single" w:sz="8" w:space="0" w:color="0070AD"/>
              <w:right w:val="nil"/>
            </w:tcBorders>
            <w:shd w:val="clear" w:color="auto" w:fill="auto"/>
            <w:vAlign w:val="center"/>
          </w:tcPr>
          <w:p w14:paraId="65AF5076" w14:textId="77777777" w:rsidR="00615364" w:rsidRPr="00162969" w:rsidRDefault="00615364" w:rsidP="00615364">
            <w:pPr>
              <w:pStyle w:val="TableParagraph"/>
              <w:keepNext/>
              <w:spacing w:before="100" w:beforeAutospacing="1" w:after="100" w:afterAutospacing="1"/>
              <w:ind w:left="1" w:right="537"/>
              <w:jc w:val="right"/>
              <w:rPr>
                <w:sz w:val="14"/>
                <w:szCs w:val="14"/>
              </w:rPr>
            </w:pPr>
            <w:r w:rsidRPr="00162969">
              <w:rPr>
                <w:sz w:val="14"/>
                <w:szCs w:val="14"/>
              </w:rPr>
              <w:t> </w:t>
            </w:r>
          </w:p>
        </w:tc>
        <w:tc>
          <w:tcPr>
            <w:tcW w:w="1417" w:type="dxa"/>
            <w:tcBorders>
              <w:top w:val="nil"/>
              <w:left w:val="nil"/>
              <w:bottom w:val="single" w:sz="8" w:space="0" w:color="0070AD"/>
              <w:right w:val="nil"/>
            </w:tcBorders>
            <w:shd w:val="clear" w:color="auto" w:fill="auto"/>
            <w:vAlign w:val="center"/>
          </w:tcPr>
          <w:p w14:paraId="11AE9A95" w14:textId="77777777" w:rsidR="00615364" w:rsidRPr="00162969" w:rsidRDefault="00615364" w:rsidP="00615364">
            <w:pPr>
              <w:keepNext/>
              <w:widowControl w:val="0"/>
              <w:spacing w:before="100" w:beforeAutospacing="1" w:after="100" w:afterAutospacing="1"/>
              <w:ind w:right="452"/>
              <w:jc w:val="right"/>
              <w:rPr>
                <w:rFonts w:eastAsia="Arial" w:cs="Arial"/>
                <w:sz w:val="14"/>
                <w:szCs w:val="14"/>
              </w:rPr>
            </w:pPr>
            <w:r w:rsidRPr="00162969">
              <w:rPr>
                <w:sz w:val="14"/>
                <w:szCs w:val="14"/>
              </w:rPr>
              <w:t>11.7%</w:t>
            </w:r>
          </w:p>
        </w:tc>
        <w:tc>
          <w:tcPr>
            <w:tcW w:w="1417" w:type="dxa"/>
            <w:tcBorders>
              <w:top w:val="nil"/>
              <w:left w:val="nil"/>
              <w:bottom w:val="single" w:sz="8" w:space="0" w:color="0070AD"/>
              <w:right w:val="nil"/>
            </w:tcBorders>
            <w:shd w:val="clear" w:color="000000" w:fill="BBE7FF"/>
            <w:vAlign w:val="center"/>
          </w:tcPr>
          <w:p w14:paraId="726D0631" w14:textId="3EFD396B" w:rsidR="00615364" w:rsidRPr="00162969" w:rsidRDefault="00615364" w:rsidP="00615364">
            <w:pPr>
              <w:keepNext/>
              <w:widowControl w:val="0"/>
              <w:spacing w:before="100" w:beforeAutospacing="1" w:after="100" w:afterAutospacing="1"/>
              <w:ind w:right="596"/>
              <w:jc w:val="right"/>
              <w:rPr>
                <w:rFonts w:eastAsia="Arial" w:cs="Arial"/>
                <w:sz w:val="14"/>
                <w:szCs w:val="14"/>
              </w:rPr>
            </w:pPr>
            <w:r w:rsidRPr="00162969">
              <w:rPr>
                <w:sz w:val="14"/>
                <w:szCs w:val="14"/>
              </w:rPr>
              <w:t>11.</w:t>
            </w:r>
            <w:r w:rsidR="00B75A09" w:rsidRPr="00162969">
              <w:rPr>
                <w:sz w:val="14"/>
                <w:szCs w:val="14"/>
              </w:rPr>
              <w:t>4</w:t>
            </w:r>
            <w:r w:rsidRPr="00162969">
              <w:rPr>
                <w:sz w:val="14"/>
                <w:szCs w:val="14"/>
              </w:rPr>
              <w:t>%</w:t>
            </w:r>
          </w:p>
        </w:tc>
      </w:tr>
      <w:tr w:rsidR="00615364" w:rsidRPr="00162969" w14:paraId="27B8010A" w14:textId="77777777" w:rsidTr="00D159DD">
        <w:trPr>
          <w:trHeight w:val="227"/>
          <w:jc w:val="center"/>
        </w:trPr>
        <w:tc>
          <w:tcPr>
            <w:tcW w:w="2948" w:type="dxa"/>
            <w:tcBorders>
              <w:top w:val="single" w:sz="8" w:space="0" w:color="0070AD" w:themeColor="accent1"/>
              <w:bottom w:val="single" w:sz="8" w:space="0" w:color="0070AD" w:themeColor="accent1"/>
            </w:tcBorders>
            <w:vAlign w:val="center"/>
          </w:tcPr>
          <w:p w14:paraId="4186745B" w14:textId="77777777" w:rsidR="00615364" w:rsidRPr="00162969" w:rsidRDefault="00615364" w:rsidP="00615364">
            <w:pPr>
              <w:pStyle w:val="TableParagraph"/>
              <w:keepNext/>
              <w:spacing w:before="100" w:beforeAutospacing="1" w:after="100" w:afterAutospacing="1"/>
              <w:ind w:left="63"/>
              <w:rPr>
                <w:b/>
                <w:color w:val="0070AD" w:themeColor="accent1"/>
                <w:sz w:val="14"/>
                <w:szCs w:val="14"/>
              </w:rPr>
            </w:pPr>
            <w:r w:rsidRPr="00162969">
              <w:rPr>
                <w:b/>
                <w:color w:val="0070AD" w:themeColor="accent1"/>
                <w:sz w:val="14"/>
                <w:szCs w:val="14"/>
              </w:rPr>
              <w:t>TOTAL</w:t>
            </w:r>
          </w:p>
        </w:tc>
        <w:tc>
          <w:tcPr>
            <w:tcW w:w="1361" w:type="dxa"/>
            <w:tcBorders>
              <w:top w:val="nil"/>
              <w:left w:val="nil"/>
              <w:bottom w:val="single" w:sz="8" w:space="0" w:color="0070AD"/>
              <w:right w:val="nil"/>
            </w:tcBorders>
            <w:shd w:val="clear" w:color="000000" w:fill="BBE7FF"/>
            <w:vAlign w:val="center"/>
          </w:tcPr>
          <w:p w14:paraId="5E2A956F" w14:textId="77777777" w:rsidR="00615364" w:rsidRPr="00162969" w:rsidRDefault="00615364" w:rsidP="00615364">
            <w:pPr>
              <w:pStyle w:val="TableParagraph"/>
              <w:keepNext/>
              <w:spacing w:before="100" w:beforeAutospacing="1" w:after="100" w:afterAutospacing="1"/>
              <w:ind w:left="1" w:right="537"/>
              <w:jc w:val="right"/>
              <w:rPr>
                <w:b/>
                <w:color w:val="0070AD" w:themeColor="accent1"/>
                <w:sz w:val="14"/>
                <w:szCs w:val="14"/>
              </w:rPr>
            </w:pPr>
            <w:r w:rsidRPr="00162969">
              <w:rPr>
                <w:rFonts w:ascii="Verdana" w:hAnsi="Verdana"/>
                <w:b/>
                <w:color w:val="0070AD" w:themeColor="accent1"/>
                <w:sz w:val="14"/>
                <w:szCs w:val="16"/>
              </w:rPr>
              <w:t>7,007</w:t>
            </w:r>
          </w:p>
        </w:tc>
        <w:tc>
          <w:tcPr>
            <w:tcW w:w="57" w:type="dxa"/>
            <w:tcBorders>
              <w:top w:val="nil"/>
              <w:left w:val="nil"/>
              <w:bottom w:val="single" w:sz="8" w:space="0" w:color="0070AD"/>
              <w:right w:val="nil"/>
            </w:tcBorders>
            <w:shd w:val="clear" w:color="auto" w:fill="auto"/>
            <w:vAlign w:val="center"/>
          </w:tcPr>
          <w:p w14:paraId="22B39D04" w14:textId="77777777" w:rsidR="00615364" w:rsidRPr="00162969" w:rsidRDefault="00615364" w:rsidP="00615364">
            <w:pPr>
              <w:pStyle w:val="TableParagraph"/>
              <w:keepNext/>
              <w:spacing w:before="100" w:beforeAutospacing="1" w:after="100" w:afterAutospacing="1"/>
              <w:ind w:left="1" w:right="537"/>
              <w:jc w:val="right"/>
              <w:rPr>
                <w:b/>
                <w:color w:val="0070AD" w:themeColor="accent1"/>
                <w:sz w:val="14"/>
                <w:szCs w:val="14"/>
              </w:rPr>
            </w:pPr>
            <w:r w:rsidRPr="00162969">
              <w:rPr>
                <w:b/>
                <w:color w:val="0070AD" w:themeColor="accent1"/>
                <w:sz w:val="14"/>
                <w:szCs w:val="14"/>
              </w:rPr>
              <w:t> </w:t>
            </w:r>
          </w:p>
        </w:tc>
        <w:tc>
          <w:tcPr>
            <w:tcW w:w="1417" w:type="dxa"/>
            <w:tcBorders>
              <w:top w:val="nil"/>
              <w:left w:val="nil"/>
              <w:bottom w:val="single" w:sz="8" w:space="0" w:color="0070AD"/>
              <w:right w:val="nil"/>
            </w:tcBorders>
            <w:shd w:val="clear" w:color="auto" w:fill="auto"/>
            <w:vAlign w:val="center"/>
          </w:tcPr>
          <w:p w14:paraId="5F9B6630" w14:textId="77777777" w:rsidR="00615364" w:rsidRPr="00162969" w:rsidRDefault="00615364" w:rsidP="00615364">
            <w:pPr>
              <w:pStyle w:val="TableParagraph"/>
              <w:keepNext/>
              <w:spacing w:before="100" w:beforeAutospacing="1" w:after="100" w:afterAutospacing="1"/>
              <w:ind w:left="1" w:right="537"/>
              <w:jc w:val="right"/>
              <w:rPr>
                <w:b/>
                <w:color w:val="0070AD" w:themeColor="accent1"/>
                <w:sz w:val="14"/>
                <w:szCs w:val="14"/>
              </w:rPr>
            </w:pPr>
            <w:r w:rsidRPr="00162969">
              <w:rPr>
                <w:b/>
                <w:color w:val="0070AD" w:themeColor="accent1"/>
                <w:sz w:val="14"/>
                <w:szCs w:val="14"/>
              </w:rPr>
              <w:t>+8.4%</w:t>
            </w:r>
          </w:p>
        </w:tc>
        <w:tc>
          <w:tcPr>
            <w:tcW w:w="1417" w:type="dxa"/>
            <w:tcBorders>
              <w:top w:val="nil"/>
              <w:left w:val="nil"/>
              <w:bottom w:val="single" w:sz="8" w:space="0" w:color="0070AD"/>
              <w:right w:val="nil"/>
            </w:tcBorders>
            <w:shd w:val="clear" w:color="auto" w:fill="auto"/>
            <w:vAlign w:val="center"/>
          </w:tcPr>
          <w:p w14:paraId="67AC2111" w14:textId="77777777" w:rsidR="00615364" w:rsidRPr="00162969" w:rsidRDefault="00615364" w:rsidP="00615364">
            <w:pPr>
              <w:pStyle w:val="TableParagraph"/>
              <w:keepNext/>
              <w:spacing w:before="100" w:beforeAutospacing="1" w:after="100" w:afterAutospacing="1"/>
              <w:ind w:left="1" w:right="537"/>
              <w:jc w:val="right"/>
              <w:rPr>
                <w:b/>
                <w:color w:val="0070AD" w:themeColor="accent1"/>
                <w:sz w:val="14"/>
                <w:szCs w:val="14"/>
              </w:rPr>
            </w:pPr>
            <w:r w:rsidRPr="00162969">
              <w:rPr>
                <w:b/>
                <w:color w:val="0070AD" w:themeColor="accent1"/>
                <w:sz w:val="14"/>
                <w:szCs w:val="14"/>
              </w:rPr>
              <w:t>+6.2%</w:t>
            </w:r>
          </w:p>
        </w:tc>
        <w:tc>
          <w:tcPr>
            <w:tcW w:w="57" w:type="dxa"/>
            <w:tcBorders>
              <w:top w:val="nil"/>
              <w:left w:val="nil"/>
              <w:bottom w:val="single" w:sz="8" w:space="0" w:color="0070AD"/>
              <w:right w:val="nil"/>
            </w:tcBorders>
            <w:shd w:val="clear" w:color="auto" w:fill="auto"/>
            <w:vAlign w:val="center"/>
          </w:tcPr>
          <w:p w14:paraId="517D7D04" w14:textId="77777777" w:rsidR="00615364" w:rsidRPr="00162969" w:rsidRDefault="00615364" w:rsidP="00615364">
            <w:pPr>
              <w:pStyle w:val="TableParagraph"/>
              <w:keepNext/>
              <w:spacing w:before="100" w:beforeAutospacing="1" w:after="100" w:afterAutospacing="1"/>
              <w:ind w:left="1" w:right="537"/>
              <w:jc w:val="right"/>
              <w:rPr>
                <w:b/>
                <w:color w:val="0070AD" w:themeColor="accent1"/>
                <w:sz w:val="14"/>
                <w:szCs w:val="14"/>
              </w:rPr>
            </w:pPr>
            <w:r w:rsidRPr="00162969">
              <w:rPr>
                <w:b/>
                <w:color w:val="0070AD" w:themeColor="accent1"/>
                <w:sz w:val="14"/>
                <w:szCs w:val="14"/>
              </w:rPr>
              <w:t> </w:t>
            </w:r>
          </w:p>
        </w:tc>
        <w:tc>
          <w:tcPr>
            <w:tcW w:w="1417" w:type="dxa"/>
            <w:tcBorders>
              <w:top w:val="nil"/>
              <w:left w:val="nil"/>
              <w:bottom w:val="single" w:sz="8" w:space="0" w:color="0070AD"/>
              <w:right w:val="nil"/>
            </w:tcBorders>
            <w:shd w:val="clear" w:color="auto" w:fill="auto"/>
            <w:vAlign w:val="center"/>
          </w:tcPr>
          <w:p w14:paraId="5631D53F" w14:textId="77777777" w:rsidR="00615364" w:rsidRPr="00162969" w:rsidRDefault="00615364" w:rsidP="00615364">
            <w:pPr>
              <w:pStyle w:val="TableParagraph"/>
              <w:keepNext/>
              <w:spacing w:before="100" w:beforeAutospacing="1" w:after="100" w:afterAutospacing="1"/>
              <w:ind w:left="1" w:right="452"/>
              <w:jc w:val="right"/>
              <w:rPr>
                <w:b/>
                <w:color w:val="0070AD" w:themeColor="accent1"/>
                <w:sz w:val="14"/>
                <w:szCs w:val="14"/>
              </w:rPr>
            </w:pPr>
            <w:r w:rsidRPr="00162969">
              <w:rPr>
                <w:b/>
                <w:color w:val="0070AD" w:themeColor="accent1"/>
                <w:sz w:val="14"/>
                <w:szCs w:val="14"/>
              </w:rPr>
              <w:t>10.9%</w:t>
            </w:r>
          </w:p>
        </w:tc>
        <w:tc>
          <w:tcPr>
            <w:tcW w:w="1417" w:type="dxa"/>
            <w:tcBorders>
              <w:top w:val="nil"/>
              <w:left w:val="nil"/>
              <w:bottom w:val="single" w:sz="8" w:space="0" w:color="0070AD"/>
              <w:right w:val="nil"/>
            </w:tcBorders>
            <w:shd w:val="clear" w:color="000000" w:fill="BBE7FF"/>
            <w:vAlign w:val="center"/>
          </w:tcPr>
          <w:p w14:paraId="50CEC713" w14:textId="77777777" w:rsidR="00615364" w:rsidRPr="00162969" w:rsidRDefault="00615364" w:rsidP="00615364">
            <w:pPr>
              <w:pStyle w:val="TableParagraph"/>
              <w:keepNext/>
              <w:spacing w:before="100" w:beforeAutospacing="1" w:after="100" w:afterAutospacing="1"/>
              <w:ind w:left="1" w:right="596"/>
              <w:jc w:val="right"/>
              <w:rPr>
                <w:b/>
                <w:color w:val="0070AD" w:themeColor="accent1"/>
                <w:sz w:val="14"/>
                <w:szCs w:val="14"/>
              </w:rPr>
            </w:pPr>
            <w:r w:rsidRPr="00162969">
              <w:rPr>
                <w:b/>
                <w:color w:val="0070AD" w:themeColor="accent1"/>
                <w:sz w:val="14"/>
                <w:szCs w:val="14"/>
              </w:rPr>
              <w:t>11.4%</w:t>
            </w:r>
          </w:p>
        </w:tc>
      </w:tr>
      <w:bookmarkEnd w:id="16"/>
    </w:tbl>
    <w:p w14:paraId="590CAE01" w14:textId="77777777" w:rsidR="00D159DD" w:rsidRPr="00162969" w:rsidRDefault="00D159DD" w:rsidP="00D159DD"/>
    <w:p w14:paraId="567C403E" w14:textId="77777777" w:rsidR="00B00202" w:rsidRPr="00162969" w:rsidRDefault="00C96D53" w:rsidP="007D6284">
      <w:pPr>
        <w:pStyle w:val="Heading1"/>
      </w:pPr>
      <w:r w:rsidRPr="00162969">
        <w:t>RESULTS BY BUSINESS</w:t>
      </w:r>
    </w:p>
    <w:tbl>
      <w:tblPr>
        <w:tblW w:w="7230" w:type="dxa"/>
        <w:tblCellMar>
          <w:left w:w="0" w:type="dxa"/>
          <w:right w:w="0" w:type="dxa"/>
        </w:tblCellMar>
        <w:tblLook w:val="01E0" w:firstRow="1" w:lastRow="1" w:firstColumn="1" w:lastColumn="1" w:noHBand="0" w:noVBand="0"/>
      </w:tblPr>
      <w:tblGrid>
        <w:gridCol w:w="2947"/>
        <w:gridCol w:w="1360"/>
        <w:gridCol w:w="57"/>
        <w:gridCol w:w="2866"/>
      </w:tblGrid>
      <w:tr w:rsidR="00CC645F" w:rsidRPr="00162969" w14:paraId="054DC281" w14:textId="77777777" w:rsidTr="00CC645F">
        <w:trPr>
          <w:trHeight w:hRule="exact" w:val="454"/>
        </w:trPr>
        <w:tc>
          <w:tcPr>
            <w:tcW w:w="2947" w:type="dxa"/>
          </w:tcPr>
          <w:p w14:paraId="77B9693B" w14:textId="77777777" w:rsidR="00CC645F" w:rsidRPr="00162969" w:rsidRDefault="00CC645F" w:rsidP="00CC645F">
            <w:pPr>
              <w:keepNext/>
              <w:rPr>
                <w:sz w:val="14"/>
                <w:szCs w:val="14"/>
              </w:rPr>
            </w:pPr>
            <w:bookmarkStart w:id="17" w:name="_Hlk501462743"/>
          </w:p>
        </w:tc>
        <w:tc>
          <w:tcPr>
            <w:tcW w:w="1360" w:type="dxa"/>
            <w:vAlign w:val="center"/>
          </w:tcPr>
          <w:p w14:paraId="1F06ED0E" w14:textId="5E3E3C4A" w:rsidR="00CC645F" w:rsidRPr="00162969" w:rsidRDefault="00CC645F" w:rsidP="00CC645F">
            <w:pPr>
              <w:pStyle w:val="TableParagraph"/>
              <w:keepNext/>
              <w:jc w:val="center"/>
              <w:rPr>
                <w:rFonts w:cs="Arial"/>
                <w:b/>
                <w:bCs/>
                <w:sz w:val="14"/>
                <w:szCs w:val="14"/>
                <w:vertAlign w:val="superscript"/>
              </w:rPr>
            </w:pPr>
            <w:r w:rsidRPr="00162969">
              <w:rPr>
                <w:sz w:val="14"/>
                <w:szCs w:val="14"/>
              </w:rPr>
              <w:t>Total revenues</w:t>
            </w:r>
            <w:r w:rsidR="00565950" w:rsidRPr="00162969">
              <w:rPr>
                <w:rFonts w:cs="Arial"/>
                <w:sz w:val="14"/>
                <w:szCs w:val="14"/>
                <w:vertAlign w:val="superscript"/>
              </w:rPr>
              <w:fldChar w:fldCharType="begin"/>
            </w:r>
            <w:r w:rsidR="00565950" w:rsidRPr="00162969">
              <w:rPr>
                <w:b/>
                <w:sz w:val="14"/>
                <w:szCs w:val="14"/>
                <w:vertAlign w:val="superscript"/>
              </w:rPr>
              <w:instrText xml:space="preserve"> NOTEREF _Ref13738408 \h </w:instrText>
            </w:r>
            <w:r w:rsidR="00565950" w:rsidRPr="00162969">
              <w:rPr>
                <w:rFonts w:cs="Arial"/>
                <w:sz w:val="14"/>
                <w:szCs w:val="14"/>
                <w:vertAlign w:val="superscript"/>
              </w:rPr>
              <w:instrText xml:space="preserve"> \* MERGEFORMAT </w:instrText>
            </w:r>
            <w:r w:rsidR="00565950" w:rsidRPr="00162969">
              <w:rPr>
                <w:rFonts w:cs="Arial"/>
                <w:sz w:val="14"/>
                <w:szCs w:val="14"/>
                <w:vertAlign w:val="superscript"/>
              </w:rPr>
            </w:r>
            <w:r w:rsidR="00565950" w:rsidRPr="00162969">
              <w:rPr>
                <w:rFonts w:cs="Arial"/>
                <w:sz w:val="14"/>
                <w:szCs w:val="14"/>
                <w:vertAlign w:val="superscript"/>
              </w:rPr>
              <w:fldChar w:fldCharType="separate"/>
            </w:r>
            <w:r w:rsidR="00BE4A72" w:rsidRPr="00162969">
              <w:rPr>
                <w:sz w:val="14"/>
                <w:szCs w:val="14"/>
                <w:vertAlign w:val="superscript"/>
              </w:rPr>
              <w:t>*</w:t>
            </w:r>
            <w:r w:rsidR="00565950" w:rsidRPr="00162969">
              <w:rPr>
                <w:rFonts w:cs="Arial"/>
                <w:sz w:val="14"/>
                <w:szCs w:val="14"/>
                <w:vertAlign w:val="superscript"/>
              </w:rPr>
              <w:fldChar w:fldCharType="end"/>
            </w:r>
          </w:p>
        </w:tc>
        <w:tc>
          <w:tcPr>
            <w:tcW w:w="57" w:type="dxa"/>
          </w:tcPr>
          <w:p w14:paraId="67C0E5DC" w14:textId="77777777" w:rsidR="00CC645F" w:rsidRPr="00162969" w:rsidRDefault="00CC645F" w:rsidP="00CC645F">
            <w:pPr>
              <w:pStyle w:val="TableParagraph"/>
              <w:keepNext/>
              <w:ind w:right="105"/>
              <w:jc w:val="center"/>
              <w:rPr>
                <w:b/>
                <w:sz w:val="14"/>
                <w:szCs w:val="14"/>
              </w:rPr>
            </w:pPr>
          </w:p>
        </w:tc>
        <w:tc>
          <w:tcPr>
            <w:tcW w:w="2866" w:type="dxa"/>
            <w:tcBorders>
              <w:bottom w:val="single" w:sz="8" w:space="0" w:color="0070AD" w:themeColor="accent1"/>
            </w:tcBorders>
            <w:vAlign w:val="center"/>
          </w:tcPr>
          <w:p w14:paraId="6E3F1677" w14:textId="77777777" w:rsidR="00CC645F" w:rsidRPr="00162969" w:rsidRDefault="00CC645F" w:rsidP="00CC645F">
            <w:pPr>
              <w:pStyle w:val="TableParagraph"/>
              <w:keepNext/>
              <w:jc w:val="center"/>
              <w:rPr>
                <w:b/>
                <w:sz w:val="14"/>
                <w:szCs w:val="14"/>
              </w:rPr>
            </w:pPr>
            <w:r w:rsidRPr="00162969">
              <w:rPr>
                <w:b/>
                <w:sz w:val="14"/>
                <w:szCs w:val="14"/>
              </w:rPr>
              <w:t>Year-on-year growth</w:t>
            </w:r>
          </w:p>
        </w:tc>
      </w:tr>
      <w:tr w:rsidR="00CC645F" w:rsidRPr="00162969" w14:paraId="184F7D9C" w14:textId="77777777" w:rsidTr="00CC645F">
        <w:trPr>
          <w:trHeight w:hRule="exact" w:val="737"/>
        </w:trPr>
        <w:tc>
          <w:tcPr>
            <w:tcW w:w="2947" w:type="dxa"/>
            <w:tcBorders>
              <w:bottom w:val="single" w:sz="8" w:space="0" w:color="0070AD" w:themeColor="accent1"/>
            </w:tcBorders>
          </w:tcPr>
          <w:p w14:paraId="132B784D" w14:textId="77777777" w:rsidR="00CC645F" w:rsidRPr="00162969" w:rsidRDefault="00CC645F" w:rsidP="00CC645F">
            <w:pPr>
              <w:keepNext/>
              <w:rPr>
                <w:sz w:val="14"/>
                <w:szCs w:val="14"/>
              </w:rPr>
            </w:pPr>
          </w:p>
        </w:tc>
        <w:tc>
          <w:tcPr>
            <w:tcW w:w="1360" w:type="dxa"/>
            <w:tcBorders>
              <w:top w:val="single" w:sz="8" w:space="0" w:color="0070AD" w:themeColor="accent1"/>
              <w:bottom w:val="single" w:sz="8" w:space="0" w:color="0070AD" w:themeColor="accent1"/>
            </w:tcBorders>
            <w:shd w:val="clear" w:color="auto" w:fill="BBE7FF" w:themeFill="accent1" w:themeFillTint="33"/>
            <w:vAlign w:val="center"/>
          </w:tcPr>
          <w:p w14:paraId="05B2E69C" w14:textId="77777777" w:rsidR="00CC645F" w:rsidRPr="00162969" w:rsidRDefault="00CC645F" w:rsidP="00CC645F">
            <w:pPr>
              <w:pStyle w:val="TableParagraph"/>
              <w:keepNext/>
              <w:ind w:left="1"/>
              <w:jc w:val="center"/>
              <w:rPr>
                <w:b/>
                <w:sz w:val="14"/>
                <w:szCs w:val="14"/>
              </w:rPr>
            </w:pPr>
            <w:r w:rsidRPr="00162969">
              <w:rPr>
                <w:b/>
                <w:sz w:val="14"/>
                <w:szCs w:val="14"/>
              </w:rPr>
              <w:t>H1 2019</w:t>
            </w:r>
          </w:p>
          <w:p w14:paraId="3B45B0D6" w14:textId="77777777" w:rsidR="00CC645F" w:rsidRPr="00162969" w:rsidRDefault="00CC645F" w:rsidP="00CC645F">
            <w:pPr>
              <w:keepNext/>
              <w:jc w:val="center"/>
              <w:rPr>
                <w:b/>
                <w:sz w:val="14"/>
                <w:szCs w:val="14"/>
              </w:rPr>
            </w:pPr>
            <w:r w:rsidRPr="00162969">
              <w:rPr>
                <w:i/>
                <w:sz w:val="14"/>
                <w:szCs w:val="14"/>
              </w:rPr>
              <w:t>(% of Group revenues)</w:t>
            </w:r>
          </w:p>
        </w:tc>
        <w:tc>
          <w:tcPr>
            <w:tcW w:w="57" w:type="dxa"/>
            <w:tcBorders>
              <w:bottom w:val="single" w:sz="8" w:space="0" w:color="0070AD" w:themeColor="accent1"/>
            </w:tcBorders>
          </w:tcPr>
          <w:p w14:paraId="7B9DC420" w14:textId="77777777" w:rsidR="00CC645F" w:rsidRPr="00162969" w:rsidRDefault="00CC645F" w:rsidP="00CC645F">
            <w:pPr>
              <w:pStyle w:val="TableParagraph"/>
              <w:keepNext/>
              <w:spacing w:before="27"/>
              <w:ind w:right="162" w:firstLine="26"/>
              <w:jc w:val="center"/>
              <w:rPr>
                <w:b/>
                <w:sz w:val="14"/>
                <w:szCs w:val="14"/>
                <w:lang w:val="fr-FR"/>
              </w:rPr>
            </w:pPr>
          </w:p>
        </w:tc>
        <w:tc>
          <w:tcPr>
            <w:tcW w:w="2866" w:type="dxa"/>
            <w:tcBorders>
              <w:top w:val="single" w:sz="8" w:space="0" w:color="0070AD" w:themeColor="accent1"/>
              <w:bottom w:val="single" w:sz="8" w:space="0" w:color="0070AD" w:themeColor="accent1"/>
            </w:tcBorders>
            <w:vAlign w:val="center"/>
          </w:tcPr>
          <w:p w14:paraId="6E79FD47" w14:textId="77777777" w:rsidR="00CC645F" w:rsidRPr="00162969" w:rsidRDefault="00CC645F" w:rsidP="00CC645F">
            <w:pPr>
              <w:pStyle w:val="TableParagraph"/>
              <w:keepNext/>
              <w:jc w:val="center"/>
              <w:rPr>
                <w:b/>
                <w:sz w:val="14"/>
                <w:szCs w:val="14"/>
              </w:rPr>
            </w:pPr>
            <w:r w:rsidRPr="00162969">
              <w:rPr>
                <w:b/>
                <w:sz w:val="14"/>
                <w:szCs w:val="14"/>
              </w:rPr>
              <w:t>at constant exchange rates</w:t>
            </w:r>
          </w:p>
          <w:p w14:paraId="58F67E29" w14:textId="09C0C1EF" w:rsidR="00CC645F" w:rsidRPr="00162969" w:rsidRDefault="00CC645F" w:rsidP="00CC645F">
            <w:pPr>
              <w:pStyle w:val="TableParagraph"/>
              <w:keepNext/>
              <w:jc w:val="center"/>
              <w:rPr>
                <w:b/>
                <w:sz w:val="14"/>
                <w:szCs w:val="14"/>
              </w:rPr>
            </w:pPr>
            <w:r w:rsidRPr="00162969">
              <w:rPr>
                <w:b/>
                <w:sz w:val="14"/>
                <w:szCs w:val="14"/>
              </w:rPr>
              <w:t>in total revenues</w:t>
            </w:r>
            <w:r w:rsidR="00565950" w:rsidRPr="00162969">
              <w:rPr>
                <w:rFonts w:cs="Arial"/>
                <w:sz w:val="14"/>
                <w:szCs w:val="14"/>
                <w:vertAlign w:val="superscript"/>
              </w:rPr>
              <w:fldChar w:fldCharType="begin"/>
            </w:r>
            <w:r w:rsidR="00565950" w:rsidRPr="00162969">
              <w:rPr>
                <w:b/>
                <w:sz w:val="14"/>
                <w:szCs w:val="14"/>
                <w:vertAlign w:val="superscript"/>
              </w:rPr>
              <w:instrText xml:space="preserve"> NOTEREF _Ref13738408 \h </w:instrText>
            </w:r>
            <w:r w:rsidR="00565950" w:rsidRPr="00162969">
              <w:rPr>
                <w:rFonts w:cs="Arial"/>
                <w:sz w:val="14"/>
                <w:szCs w:val="14"/>
                <w:vertAlign w:val="superscript"/>
              </w:rPr>
              <w:instrText xml:space="preserve"> \* MERGEFORMAT </w:instrText>
            </w:r>
            <w:r w:rsidR="00565950" w:rsidRPr="00162969">
              <w:rPr>
                <w:rFonts w:cs="Arial"/>
                <w:sz w:val="14"/>
                <w:szCs w:val="14"/>
                <w:vertAlign w:val="superscript"/>
              </w:rPr>
            </w:r>
            <w:r w:rsidR="00565950" w:rsidRPr="00162969">
              <w:rPr>
                <w:rFonts w:cs="Arial"/>
                <w:sz w:val="14"/>
                <w:szCs w:val="14"/>
                <w:vertAlign w:val="superscript"/>
              </w:rPr>
              <w:fldChar w:fldCharType="separate"/>
            </w:r>
            <w:r w:rsidR="00BE4A72" w:rsidRPr="00162969">
              <w:rPr>
                <w:sz w:val="14"/>
                <w:szCs w:val="14"/>
                <w:vertAlign w:val="superscript"/>
              </w:rPr>
              <w:t>*</w:t>
            </w:r>
            <w:r w:rsidR="00565950" w:rsidRPr="00162969">
              <w:rPr>
                <w:rFonts w:cs="Arial"/>
                <w:sz w:val="14"/>
                <w:szCs w:val="14"/>
                <w:vertAlign w:val="superscript"/>
              </w:rPr>
              <w:fldChar w:fldCharType="end"/>
            </w:r>
          </w:p>
          <w:p w14:paraId="0352BDFE" w14:textId="77777777" w:rsidR="00CC645F" w:rsidRPr="00162969" w:rsidRDefault="00CC645F" w:rsidP="00CC645F">
            <w:pPr>
              <w:pStyle w:val="TableParagraph"/>
              <w:keepNext/>
              <w:jc w:val="center"/>
              <w:rPr>
                <w:b/>
                <w:sz w:val="14"/>
                <w:szCs w:val="14"/>
              </w:rPr>
            </w:pPr>
            <w:r w:rsidRPr="00162969">
              <w:rPr>
                <w:b/>
                <w:sz w:val="14"/>
                <w:szCs w:val="14"/>
              </w:rPr>
              <w:t>of the business</w:t>
            </w:r>
          </w:p>
        </w:tc>
      </w:tr>
      <w:tr w:rsidR="00CC645F" w:rsidRPr="00162969" w14:paraId="73A59EF3" w14:textId="77777777" w:rsidTr="00CC645F">
        <w:trPr>
          <w:trHeight w:val="227"/>
        </w:trPr>
        <w:tc>
          <w:tcPr>
            <w:tcW w:w="2947" w:type="dxa"/>
            <w:tcBorders>
              <w:top w:val="single" w:sz="8" w:space="0" w:color="0070AD" w:themeColor="accent1"/>
            </w:tcBorders>
            <w:vAlign w:val="center"/>
          </w:tcPr>
          <w:p w14:paraId="3C929654" w14:textId="77777777" w:rsidR="00CC645F" w:rsidRPr="00162969" w:rsidRDefault="00CC645F" w:rsidP="00CC645F">
            <w:pPr>
              <w:pStyle w:val="TableParagraph"/>
              <w:keepNext/>
              <w:spacing w:before="52"/>
              <w:ind w:left="142"/>
              <w:jc w:val="left"/>
              <w:rPr>
                <w:sz w:val="14"/>
                <w:szCs w:val="14"/>
              </w:rPr>
            </w:pPr>
            <w:r w:rsidRPr="00162969">
              <w:rPr>
                <w:sz w:val="14"/>
                <w:szCs w:val="14"/>
              </w:rPr>
              <w:t>Strategy &amp; Transformation</w:t>
            </w:r>
          </w:p>
        </w:tc>
        <w:tc>
          <w:tcPr>
            <w:tcW w:w="1360" w:type="dxa"/>
            <w:tcBorders>
              <w:top w:val="single" w:sz="8" w:space="0" w:color="0070AD"/>
              <w:left w:val="nil"/>
              <w:bottom w:val="nil"/>
              <w:right w:val="nil"/>
            </w:tcBorders>
            <w:shd w:val="clear" w:color="000000" w:fill="BBE7FF"/>
            <w:vAlign w:val="center"/>
          </w:tcPr>
          <w:p w14:paraId="5E9DD806" w14:textId="77777777" w:rsidR="00CC645F" w:rsidRPr="00162969" w:rsidRDefault="00CC645F" w:rsidP="00CC645F">
            <w:pPr>
              <w:pStyle w:val="TableParagraph"/>
              <w:keepNext/>
              <w:spacing w:before="27"/>
              <w:ind w:right="537"/>
              <w:jc w:val="right"/>
              <w:rPr>
                <w:sz w:val="14"/>
                <w:szCs w:val="14"/>
              </w:rPr>
            </w:pPr>
            <w:r w:rsidRPr="00162969">
              <w:rPr>
                <w:sz w:val="14"/>
                <w:szCs w:val="14"/>
              </w:rPr>
              <w:t>7%</w:t>
            </w:r>
          </w:p>
        </w:tc>
        <w:tc>
          <w:tcPr>
            <w:tcW w:w="57" w:type="dxa"/>
            <w:tcBorders>
              <w:top w:val="single" w:sz="8" w:space="0" w:color="0070AD"/>
              <w:left w:val="nil"/>
              <w:bottom w:val="nil"/>
              <w:right w:val="nil"/>
            </w:tcBorders>
            <w:shd w:val="clear" w:color="auto" w:fill="auto"/>
            <w:vAlign w:val="center"/>
          </w:tcPr>
          <w:p w14:paraId="68755144" w14:textId="77777777" w:rsidR="00CC645F" w:rsidRPr="00162969" w:rsidRDefault="00CC645F" w:rsidP="00CC645F">
            <w:pPr>
              <w:jc w:val="center"/>
              <w:rPr>
                <w:rFonts w:ascii="Verdana" w:hAnsi="Verdana"/>
                <w:color w:val="000000"/>
                <w:sz w:val="14"/>
                <w:szCs w:val="14"/>
              </w:rPr>
            </w:pPr>
            <w:r w:rsidRPr="00162969">
              <w:rPr>
                <w:rFonts w:ascii="Verdana" w:hAnsi="Verdana"/>
                <w:color w:val="000000"/>
                <w:sz w:val="14"/>
                <w:szCs w:val="14"/>
              </w:rPr>
              <w:t> </w:t>
            </w:r>
          </w:p>
        </w:tc>
        <w:tc>
          <w:tcPr>
            <w:tcW w:w="2866" w:type="dxa"/>
            <w:tcBorders>
              <w:top w:val="single" w:sz="8" w:space="0" w:color="0070AD"/>
              <w:left w:val="nil"/>
              <w:bottom w:val="nil"/>
              <w:right w:val="nil"/>
            </w:tcBorders>
            <w:shd w:val="clear" w:color="auto" w:fill="auto"/>
            <w:vAlign w:val="center"/>
          </w:tcPr>
          <w:p w14:paraId="77BB9DE7" w14:textId="77777777" w:rsidR="00CC645F" w:rsidRPr="00162969" w:rsidRDefault="00CC645F" w:rsidP="00CC645F">
            <w:pPr>
              <w:jc w:val="center"/>
              <w:rPr>
                <w:rFonts w:ascii="Verdana" w:hAnsi="Verdana"/>
                <w:color w:val="000000"/>
                <w:sz w:val="14"/>
                <w:szCs w:val="14"/>
              </w:rPr>
            </w:pPr>
            <w:r w:rsidRPr="00162969">
              <w:rPr>
                <w:rFonts w:ascii="Verdana" w:hAnsi="Verdana"/>
                <w:color w:val="000000"/>
                <w:sz w:val="14"/>
                <w:szCs w:val="14"/>
              </w:rPr>
              <w:t>+19.4%</w:t>
            </w:r>
          </w:p>
        </w:tc>
      </w:tr>
      <w:tr w:rsidR="00CC645F" w:rsidRPr="00162969" w14:paraId="4787F2D8" w14:textId="77777777" w:rsidTr="00CC645F">
        <w:trPr>
          <w:trHeight w:val="227"/>
        </w:trPr>
        <w:tc>
          <w:tcPr>
            <w:tcW w:w="2947" w:type="dxa"/>
            <w:vAlign w:val="center"/>
          </w:tcPr>
          <w:p w14:paraId="33CFD02E" w14:textId="77777777" w:rsidR="00CC645F" w:rsidRPr="00162969" w:rsidRDefault="00CC645F" w:rsidP="00CC645F">
            <w:pPr>
              <w:pStyle w:val="TableParagraph"/>
              <w:keepNext/>
              <w:spacing w:before="53"/>
              <w:ind w:left="142"/>
              <w:jc w:val="left"/>
              <w:rPr>
                <w:sz w:val="14"/>
                <w:szCs w:val="14"/>
              </w:rPr>
            </w:pPr>
            <w:r w:rsidRPr="00162969">
              <w:rPr>
                <w:sz w:val="14"/>
                <w:szCs w:val="14"/>
              </w:rPr>
              <w:t>Applications &amp; Technology</w:t>
            </w:r>
          </w:p>
        </w:tc>
        <w:tc>
          <w:tcPr>
            <w:tcW w:w="1360" w:type="dxa"/>
            <w:tcBorders>
              <w:top w:val="nil"/>
              <w:left w:val="nil"/>
              <w:right w:val="nil"/>
            </w:tcBorders>
            <w:shd w:val="clear" w:color="000000" w:fill="BBE7FF"/>
            <w:vAlign w:val="center"/>
          </w:tcPr>
          <w:p w14:paraId="467250F3" w14:textId="77777777" w:rsidR="00CC645F" w:rsidRPr="00162969" w:rsidRDefault="00CC645F" w:rsidP="00CC645F">
            <w:pPr>
              <w:pStyle w:val="TableParagraph"/>
              <w:keepNext/>
              <w:spacing w:before="27"/>
              <w:ind w:right="537"/>
              <w:jc w:val="right"/>
              <w:rPr>
                <w:sz w:val="14"/>
                <w:szCs w:val="14"/>
              </w:rPr>
            </w:pPr>
            <w:r w:rsidRPr="00162969">
              <w:rPr>
                <w:sz w:val="14"/>
                <w:szCs w:val="14"/>
              </w:rPr>
              <w:t>71%</w:t>
            </w:r>
          </w:p>
        </w:tc>
        <w:tc>
          <w:tcPr>
            <w:tcW w:w="57" w:type="dxa"/>
            <w:tcBorders>
              <w:top w:val="nil"/>
              <w:left w:val="nil"/>
              <w:right w:val="nil"/>
            </w:tcBorders>
            <w:shd w:val="clear" w:color="auto" w:fill="auto"/>
            <w:vAlign w:val="center"/>
          </w:tcPr>
          <w:p w14:paraId="2A9844C2" w14:textId="77777777" w:rsidR="00CC645F" w:rsidRPr="00162969" w:rsidRDefault="00CC645F" w:rsidP="00CC645F">
            <w:pPr>
              <w:ind w:firstLineChars="200" w:firstLine="280"/>
              <w:jc w:val="right"/>
              <w:rPr>
                <w:rFonts w:ascii="Verdana" w:hAnsi="Verdana"/>
                <w:color w:val="000000"/>
                <w:sz w:val="14"/>
                <w:szCs w:val="14"/>
              </w:rPr>
            </w:pPr>
          </w:p>
        </w:tc>
        <w:tc>
          <w:tcPr>
            <w:tcW w:w="2866" w:type="dxa"/>
            <w:tcBorders>
              <w:top w:val="nil"/>
              <w:left w:val="nil"/>
              <w:right w:val="nil"/>
            </w:tcBorders>
            <w:shd w:val="clear" w:color="auto" w:fill="auto"/>
            <w:vAlign w:val="center"/>
          </w:tcPr>
          <w:p w14:paraId="2E928F15" w14:textId="77777777" w:rsidR="00CC645F" w:rsidRPr="00162969" w:rsidRDefault="00CC645F" w:rsidP="00CC645F">
            <w:pPr>
              <w:jc w:val="center"/>
              <w:rPr>
                <w:rFonts w:ascii="Verdana" w:hAnsi="Verdana"/>
                <w:color w:val="000000"/>
                <w:sz w:val="14"/>
                <w:szCs w:val="14"/>
              </w:rPr>
            </w:pPr>
            <w:r w:rsidRPr="00162969">
              <w:rPr>
                <w:rFonts w:ascii="Verdana" w:hAnsi="Verdana"/>
                <w:color w:val="000000"/>
                <w:sz w:val="14"/>
                <w:szCs w:val="14"/>
              </w:rPr>
              <w:t>+6.6%</w:t>
            </w:r>
          </w:p>
        </w:tc>
      </w:tr>
      <w:tr w:rsidR="00CC645F" w:rsidRPr="00162969" w14:paraId="1BD6DCA2" w14:textId="77777777" w:rsidTr="00CC645F">
        <w:trPr>
          <w:trHeight w:val="227"/>
        </w:trPr>
        <w:tc>
          <w:tcPr>
            <w:tcW w:w="2947" w:type="dxa"/>
            <w:tcBorders>
              <w:bottom w:val="single" w:sz="8" w:space="0" w:color="0070AD" w:themeColor="accent1"/>
            </w:tcBorders>
            <w:vAlign w:val="center"/>
          </w:tcPr>
          <w:p w14:paraId="457C169E" w14:textId="77777777" w:rsidR="00CC645F" w:rsidRPr="00162969" w:rsidRDefault="00CC645F" w:rsidP="00CC645F">
            <w:pPr>
              <w:pStyle w:val="TableParagraph"/>
              <w:keepNext/>
              <w:spacing w:before="53"/>
              <w:ind w:left="142"/>
              <w:jc w:val="left"/>
              <w:rPr>
                <w:sz w:val="14"/>
                <w:szCs w:val="14"/>
              </w:rPr>
            </w:pPr>
            <w:r w:rsidRPr="00162969">
              <w:rPr>
                <w:sz w:val="14"/>
                <w:szCs w:val="14"/>
              </w:rPr>
              <w:t>Operations &amp; Engineering</w:t>
            </w:r>
          </w:p>
        </w:tc>
        <w:tc>
          <w:tcPr>
            <w:tcW w:w="1360" w:type="dxa"/>
            <w:tcBorders>
              <w:top w:val="nil"/>
              <w:left w:val="nil"/>
              <w:bottom w:val="single" w:sz="8" w:space="0" w:color="0070AD" w:themeColor="accent1"/>
              <w:right w:val="nil"/>
            </w:tcBorders>
            <w:shd w:val="clear" w:color="000000" w:fill="BBE7FF"/>
            <w:vAlign w:val="center"/>
          </w:tcPr>
          <w:p w14:paraId="447C968C" w14:textId="77777777" w:rsidR="00CC645F" w:rsidRPr="00162969" w:rsidRDefault="00CC645F" w:rsidP="00CC645F">
            <w:pPr>
              <w:pStyle w:val="TableParagraph"/>
              <w:keepNext/>
              <w:spacing w:before="27"/>
              <w:ind w:right="537"/>
              <w:jc w:val="right"/>
              <w:rPr>
                <w:sz w:val="14"/>
                <w:szCs w:val="14"/>
              </w:rPr>
            </w:pPr>
            <w:r w:rsidRPr="00162969">
              <w:rPr>
                <w:sz w:val="14"/>
                <w:szCs w:val="14"/>
              </w:rPr>
              <w:t>22%</w:t>
            </w:r>
          </w:p>
        </w:tc>
        <w:tc>
          <w:tcPr>
            <w:tcW w:w="57" w:type="dxa"/>
            <w:tcBorders>
              <w:top w:val="nil"/>
              <w:left w:val="nil"/>
              <w:bottom w:val="single" w:sz="8" w:space="0" w:color="0070AD" w:themeColor="accent1"/>
              <w:right w:val="nil"/>
            </w:tcBorders>
            <w:shd w:val="clear" w:color="auto" w:fill="auto"/>
            <w:vAlign w:val="center"/>
          </w:tcPr>
          <w:p w14:paraId="7AA848F4" w14:textId="77777777" w:rsidR="00CC645F" w:rsidRPr="00162969" w:rsidRDefault="00CC645F" w:rsidP="00CC645F">
            <w:pPr>
              <w:ind w:firstLineChars="200" w:firstLine="280"/>
              <w:jc w:val="right"/>
              <w:rPr>
                <w:rFonts w:ascii="Verdana" w:hAnsi="Verdana"/>
                <w:color w:val="000000"/>
                <w:sz w:val="14"/>
                <w:szCs w:val="14"/>
              </w:rPr>
            </w:pPr>
          </w:p>
        </w:tc>
        <w:tc>
          <w:tcPr>
            <w:tcW w:w="2866" w:type="dxa"/>
            <w:tcBorders>
              <w:top w:val="nil"/>
              <w:left w:val="nil"/>
              <w:bottom w:val="single" w:sz="8" w:space="0" w:color="0070AD" w:themeColor="accent1"/>
              <w:right w:val="nil"/>
            </w:tcBorders>
            <w:shd w:val="clear" w:color="auto" w:fill="auto"/>
            <w:vAlign w:val="center"/>
          </w:tcPr>
          <w:p w14:paraId="2503BF83" w14:textId="77777777" w:rsidR="00CC645F" w:rsidRPr="00162969" w:rsidRDefault="00CC645F" w:rsidP="00CC645F">
            <w:pPr>
              <w:jc w:val="center"/>
              <w:rPr>
                <w:rFonts w:ascii="Verdana" w:hAnsi="Verdana"/>
                <w:color w:val="000000"/>
                <w:sz w:val="14"/>
                <w:szCs w:val="14"/>
              </w:rPr>
            </w:pPr>
            <w:r w:rsidRPr="00162969">
              <w:rPr>
                <w:rFonts w:ascii="Verdana" w:hAnsi="Verdana"/>
                <w:color w:val="000000"/>
                <w:sz w:val="14"/>
                <w:szCs w:val="14"/>
              </w:rPr>
              <w:t>+3.5%</w:t>
            </w:r>
          </w:p>
        </w:tc>
      </w:tr>
      <w:bookmarkEnd w:id="17"/>
    </w:tbl>
    <w:p w14:paraId="1CDAF6BD" w14:textId="77777777" w:rsidR="00CC645F" w:rsidRPr="00162969" w:rsidRDefault="00CC645F">
      <w:pPr>
        <w:jc w:val="left"/>
        <w:rPr>
          <w:rFonts w:ascii="Verdana" w:hAnsi="Verdana" w:cs="Arial"/>
          <w:b/>
          <w:caps/>
        </w:rPr>
      </w:pPr>
    </w:p>
    <w:p w14:paraId="173879DE" w14:textId="77777777" w:rsidR="00D159DD" w:rsidRPr="00162969" w:rsidRDefault="00D159DD" w:rsidP="00D159DD">
      <w:pPr>
        <w:pStyle w:val="Heading1"/>
      </w:pPr>
      <w:r w:rsidRPr="00162969">
        <w:t>SUMMARY INCOME STATEMENT AND OPERATING MARGIN</w:t>
      </w:r>
    </w:p>
    <w:tbl>
      <w:tblPr>
        <w:tblW w:w="0" w:type="auto"/>
        <w:jc w:val="center"/>
        <w:tblLook w:val="04A0" w:firstRow="1" w:lastRow="0" w:firstColumn="1" w:lastColumn="0" w:noHBand="0" w:noVBand="1"/>
      </w:tblPr>
      <w:tblGrid>
        <w:gridCol w:w="5998"/>
        <w:gridCol w:w="1474"/>
        <w:gridCol w:w="1474"/>
        <w:gridCol w:w="1134"/>
      </w:tblGrid>
      <w:tr w:rsidR="00EF5205" w:rsidRPr="00162969" w14:paraId="6359EC58" w14:textId="77777777" w:rsidTr="00944C01">
        <w:trPr>
          <w:trHeight w:val="284"/>
          <w:jc w:val="center"/>
        </w:trPr>
        <w:tc>
          <w:tcPr>
            <w:tcW w:w="5998" w:type="dxa"/>
            <w:tcBorders>
              <w:bottom w:val="single" w:sz="8" w:space="0" w:color="0070AD" w:themeColor="accent1"/>
            </w:tcBorders>
            <w:vAlign w:val="center"/>
          </w:tcPr>
          <w:p w14:paraId="6CA7FEE1" w14:textId="77777777" w:rsidR="00EF5205" w:rsidRPr="00162969" w:rsidRDefault="00EF5205" w:rsidP="00EF5205">
            <w:pPr>
              <w:keepNext/>
              <w:jc w:val="center"/>
              <w:rPr>
                <w:i/>
                <w:sz w:val="14"/>
                <w:szCs w:val="14"/>
              </w:rPr>
            </w:pPr>
            <w:r w:rsidRPr="00162969">
              <w:rPr>
                <w:i/>
                <w:sz w:val="14"/>
                <w:szCs w:val="14"/>
              </w:rPr>
              <w:t>(In millions of euros)</w:t>
            </w:r>
          </w:p>
        </w:tc>
        <w:tc>
          <w:tcPr>
            <w:tcW w:w="1474" w:type="dxa"/>
            <w:tcBorders>
              <w:bottom w:val="single" w:sz="8" w:space="0" w:color="0070AD" w:themeColor="accent1"/>
            </w:tcBorders>
            <w:vAlign w:val="center"/>
          </w:tcPr>
          <w:p w14:paraId="03E9F7A7" w14:textId="77777777" w:rsidR="00EF5205" w:rsidRPr="00162969" w:rsidRDefault="00EF5205" w:rsidP="00EF5205">
            <w:pPr>
              <w:keepNext/>
              <w:jc w:val="center"/>
              <w:rPr>
                <w:rFonts w:ascii="Verdana" w:hAnsi="Verdana" w:cs="Arial"/>
                <w:b/>
                <w:sz w:val="14"/>
                <w:szCs w:val="16"/>
              </w:rPr>
            </w:pPr>
            <w:r w:rsidRPr="00162969">
              <w:rPr>
                <w:rFonts w:ascii="Verdana" w:hAnsi="Verdana"/>
                <w:b/>
                <w:sz w:val="14"/>
                <w:szCs w:val="16"/>
              </w:rPr>
              <w:t>H1 2018</w:t>
            </w:r>
          </w:p>
          <w:p w14:paraId="41CE6329" w14:textId="77777777" w:rsidR="00041C5B" w:rsidRPr="00162969" w:rsidRDefault="00041C5B" w:rsidP="00C942DA">
            <w:pPr>
              <w:keepNext/>
              <w:jc w:val="center"/>
              <w:rPr>
                <w:rFonts w:ascii="Verdana" w:hAnsi="Verdana" w:cs="Arial"/>
                <w:b/>
                <w:sz w:val="14"/>
                <w:szCs w:val="16"/>
              </w:rPr>
            </w:pPr>
          </w:p>
        </w:tc>
        <w:tc>
          <w:tcPr>
            <w:tcW w:w="1474" w:type="dxa"/>
            <w:tcBorders>
              <w:bottom w:val="single" w:sz="8" w:space="0" w:color="0070AD" w:themeColor="accent1"/>
            </w:tcBorders>
            <w:shd w:val="clear" w:color="auto" w:fill="BBE7FF" w:themeFill="accent1" w:themeFillTint="33"/>
            <w:vAlign w:val="center"/>
          </w:tcPr>
          <w:p w14:paraId="25BEFD27" w14:textId="77777777" w:rsidR="00F0763C" w:rsidRPr="00162969" w:rsidRDefault="00EF5205" w:rsidP="00E4251B">
            <w:pPr>
              <w:keepNext/>
              <w:jc w:val="center"/>
              <w:rPr>
                <w:rFonts w:ascii="Verdana" w:hAnsi="Verdana" w:cs="Arial"/>
                <w:b/>
                <w:sz w:val="14"/>
                <w:szCs w:val="16"/>
              </w:rPr>
            </w:pPr>
            <w:r w:rsidRPr="00162969">
              <w:rPr>
                <w:rFonts w:ascii="Verdana" w:hAnsi="Verdana"/>
                <w:b/>
                <w:sz w:val="14"/>
                <w:szCs w:val="16"/>
              </w:rPr>
              <w:t xml:space="preserve">H1 </w:t>
            </w:r>
            <w:r w:rsidR="00230C70" w:rsidRPr="00162969">
              <w:rPr>
                <w:rFonts w:ascii="Verdana" w:hAnsi="Verdana"/>
                <w:b/>
                <w:sz w:val="14"/>
                <w:szCs w:val="16"/>
              </w:rPr>
              <w:t>2019</w:t>
            </w:r>
          </w:p>
          <w:p w14:paraId="2B02922B" w14:textId="77777777" w:rsidR="00041C5B" w:rsidRPr="00162969" w:rsidRDefault="00041C5B" w:rsidP="00E4251B">
            <w:pPr>
              <w:keepNext/>
              <w:jc w:val="center"/>
              <w:rPr>
                <w:bCs/>
                <w:sz w:val="14"/>
                <w:szCs w:val="14"/>
              </w:rPr>
            </w:pPr>
            <w:r w:rsidRPr="00162969">
              <w:rPr>
                <w:bCs/>
                <w:sz w:val="14"/>
                <w:szCs w:val="14"/>
              </w:rPr>
              <w:t>(IFRS 16)</w:t>
            </w:r>
          </w:p>
        </w:tc>
        <w:tc>
          <w:tcPr>
            <w:tcW w:w="1134" w:type="dxa"/>
            <w:tcBorders>
              <w:bottom w:val="single" w:sz="8" w:space="0" w:color="0070AD" w:themeColor="accent1"/>
            </w:tcBorders>
            <w:shd w:val="clear" w:color="auto" w:fill="auto"/>
            <w:vAlign w:val="center"/>
          </w:tcPr>
          <w:p w14:paraId="1CAE3CA9" w14:textId="77777777" w:rsidR="00EF5205" w:rsidRPr="00162969" w:rsidRDefault="00EF5205" w:rsidP="00EF5205">
            <w:pPr>
              <w:keepNext/>
              <w:jc w:val="center"/>
              <w:rPr>
                <w:b/>
                <w:i/>
                <w:sz w:val="14"/>
                <w:szCs w:val="14"/>
              </w:rPr>
            </w:pPr>
            <w:r w:rsidRPr="00162969">
              <w:rPr>
                <w:b/>
                <w:i/>
                <w:sz w:val="14"/>
                <w:szCs w:val="14"/>
              </w:rPr>
              <w:t>Change</w:t>
            </w:r>
          </w:p>
        </w:tc>
      </w:tr>
      <w:tr w:rsidR="00032406" w:rsidRPr="00162969" w14:paraId="68C2CDA4" w14:textId="77777777" w:rsidTr="003176D7">
        <w:trPr>
          <w:trHeight w:val="227"/>
          <w:jc w:val="center"/>
        </w:trPr>
        <w:tc>
          <w:tcPr>
            <w:tcW w:w="5998" w:type="dxa"/>
            <w:tcBorders>
              <w:top w:val="single" w:sz="8" w:space="0" w:color="0070AD" w:themeColor="accent1"/>
              <w:bottom w:val="single" w:sz="8" w:space="0" w:color="0070AD" w:themeColor="accent1"/>
            </w:tcBorders>
            <w:shd w:val="clear" w:color="auto" w:fill="auto"/>
            <w:vAlign w:val="center"/>
          </w:tcPr>
          <w:p w14:paraId="0BCCDAB7" w14:textId="77777777" w:rsidR="00032406" w:rsidRPr="00162969" w:rsidRDefault="00032406" w:rsidP="00032406">
            <w:pPr>
              <w:keepNext/>
              <w:rPr>
                <w:b/>
                <w:color w:val="0070AD" w:themeColor="accent1"/>
                <w:sz w:val="14"/>
                <w:szCs w:val="14"/>
              </w:rPr>
            </w:pPr>
            <w:r w:rsidRPr="00162969">
              <w:rPr>
                <w:b/>
                <w:color w:val="0070AD" w:themeColor="accent1"/>
                <w:sz w:val="14"/>
                <w:szCs w:val="14"/>
              </w:rPr>
              <w:t xml:space="preserve">Revenues </w:t>
            </w:r>
          </w:p>
        </w:tc>
        <w:tc>
          <w:tcPr>
            <w:tcW w:w="1474" w:type="dxa"/>
            <w:tcBorders>
              <w:top w:val="single" w:sz="8" w:space="0" w:color="0070AD"/>
              <w:left w:val="nil"/>
              <w:bottom w:val="single" w:sz="8" w:space="0" w:color="0070AD"/>
              <w:right w:val="nil"/>
            </w:tcBorders>
            <w:shd w:val="clear" w:color="000000" w:fill="FFFFFF"/>
            <w:vAlign w:val="center"/>
          </w:tcPr>
          <w:p w14:paraId="4CEF63CA" w14:textId="77777777" w:rsidR="00032406" w:rsidRPr="00162969" w:rsidRDefault="00032406" w:rsidP="00032406">
            <w:pPr>
              <w:keepNext/>
              <w:ind w:left="-170" w:right="397"/>
              <w:jc w:val="right"/>
              <w:rPr>
                <w:b/>
                <w:color w:val="0070AD" w:themeColor="accent1"/>
                <w:sz w:val="14"/>
                <w:szCs w:val="14"/>
              </w:rPr>
            </w:pPr>
            <w:r w:rsidRPr="00162969">
              <w:rPr>
                <w:rFonts w:ascii="Verdana" w:hAnsi="Verdana"/>
                <w:b/>
                <w:bCs/>
                <w:color w:val="0070AD" w:themeColor="accent1"/>
                <w:sz w:val="14"/>
                <w:szCs w:val="12"/>
              </w:rPr>
              <w:t xml:space="preserve">   6,467 </w:t>
            </w:r>
          </w:p>
        </w:tc>
        <w:tc>
          <w:tcPr>
            <w:tcW w:w="1474" w:type="dxa"/>
            <w:tcBorders>
              <w:top w:val="single" w:sz="8" w:space="0" w:color="0070AD"/>
              <w:left w:val="nil"/>
              <w:bottom w:val="single" w:sz="8" w:space="0" w:color="0070AD"/>
              <w:right w:val="nil"/>
            </w:tcBorders>
            <w:shd w:val="clear" w:color="000000" w:fill="BBE7FF"/>
            <w:vAlign w:val="center"/>
          </w:tcPr>
          <w:p w14:paraId="16D416E6" w14:textId="36433604" w:rsidR="00032406" w:rsidRPr="00162969" w:rsidRDefault="00032406" w:rsidP="00032406">
            <w:pPr>
              <w:keepNext/>
              <w:ind w:left="-170" w:right="397"/>
              <w:jc w:val="right"/>
              <w:rPr>
                <w:b/>
                <w:color w:val="0070AD" w:themeColor="accent1"/>
                <w:sz w:val="14"/>
                <w:szCs w:val="14"/>
              </w:rPr>
            </w:pPr>
            <w:r w:rsidRPr="00162969">
              <w:rPr>
                <w:rFonts w:ascii="Verdana" w:hAnsi="Verdana"/>
                <w:b/>
                <w:bCs/>
                <w:color w:val="0070AD"/>
                <w:sz w:val="14"/>
                <w:szCs w:val="14"/>
              </w:rPr>
              <w:t xml:space="preserve">    7</w:t>
            </w:r>
            <w:r w:rsidR="00F76861" w:rsidRPr="00162969">
              <w:rPr>
                <w:rFonts w:ascii="Verdana" w:hAnsi="Verdana"/>
                <w:b/>
                <w:bCs/>
                <w:color w:val="0070AD"/>
                <w:sz w:val="14"/>
                <w:szCs w:val="14"/>
              </w:rPr>
              <w:t>,</w:t>
            </w:r>
            <w:r w:rsidRPr="00162969">
              <w:rPr>
                <w:rFonts w:ascii="Verdana" w:hAnsi="Verdana"/>
                <w:b/>
                <w:bCs/>
                <w:color w:val="0070AD"/>
                <w:sz w:val="14"/>
                <w:szCs w:val="14"/>
              </w:rPr>
              <w:t xml:space="preserve">007 </w:t>
            </w:r>
          </w:p>
        </w:tc>
        <w:tc>
          <w:tcPr>
            <w:tcW w:w="1134" w:type="dxa"/>
            <w:tcBorders>
              <w:top w:val="single" w:sz="8" w:space="0" w:color="0070AD" w:themeColor="accent1"/>
              <w:bottom w:val="single" w:sz="8" w:space="0" w:color="0070AD" w:themeColor="accent1"/>
            </w:tcBorders>
            <w:shd w:val="clear" w:color="auto" w:fill="auto"/>
            <w:vAlign w:val="center"/>
          </w:tcPr>
          <w:p w14:paraId="617F3937" w14:textId="77777777" w:rsidR="00032406" w:rsidRPr="00162969" w:rsidRDefault="00032406" w:rsidP="00032406">
            <w:pPr>
              <w:keepNext/>
              <w:jc w:val="center"/>
              <w:rPr>
                <w:b/>
                <w:color w:val="0070AD" w:themeColor="accent1"/>
                <w:sz w:val="14"/>
                <w:szCs w:val="14"/>
              </w:rPr>
            </w:pPr>
            <w:r w:rsidRPr="00162969">
              <w:rPr>
                <w:b/>
                <w:color w:val="0070AD" w:themeColor="accent1"/>
                <w:sz w:val="14"/>
                <w:szCs w:val="14"/>
              </w:rPr>
              <w:t>+8.4%</w:t>
            </w:r>
          </w:p>
        </w:tc>
      </w:tr>
      <w:tr w:rsidR="00032406" w:rsidRPr="00162969" w14:paraId="0D3EAB65" w14:textId="77777777" w:rsidTr="003176D7">
        <w:trPr>
          <w:trHeight w:val="227"/>
          <w:jc w:val="center"/>
        </w:trPr>
        <w:tc>
          <w:tcPr>
            <w:tcW w:w="5998" w:type="dxa"/>
            <w:tcBorders>
              <w:top w:val="single" w:sz="8" w:space="0" w:color="0070AD" w:themeColor="accent1"/>
              <w:bottom w:val="single" w:sz="8" w:space="0" w:color="0070AD" w:themeColor="accent1"/>
            </w:tcBorders>
            <w:shd w:val="clear" w:color="auto" w:fill="auto"/>
            <w:vAlign w:val="center"/>
          </w:tcPr>
          <w:p w14:paraId="1458048B" w14:textId="77777777" w:rsidR="00032406" w:rsidRPr="00162969" w:rsidRDefault="00032406" w:rsidP="00032406">
            <w:pPr>
              <w:keepNext/>
              <w:ind w:left="149"/>
              <w:rPr>
                <w:sz w:val="14"/>
                <w:szCs w:val="14"/>
              </w:rPr>
            </w:pPr>
            <w:r w:rsidRPr="00162969">
              <w:rPr>
                <w:sz w:val="14"/>
                <w:szCs w:val="14"/>
              </w:rPr>
              <w:t>Operating expenses</w:t>
            </w:r>
          </w:p>
        </w:tc>
        <w:tc>
          <w:tcPr>
            <w:tcW w:w="1474" w:type="dxa"/>
            <w:tcBorders>
              <w:top w:val="nil"/>
              <w:left w:val="nil"/>
              <w:bottom w:val="single" w:sz="8" w:space="0" w:color="0070AD"/>
              <w:right w:val="nil"/>
            </w:tcBorders>
            <w:shd w:val="clear" w:color="000000" w:fill="FFFFFF"/>
            <w:vAlign w:val="center"/>
          </w:tcPr>
          <w:p w14:paraId="0FB2F48F" w14:textId="77777777" w:rsidR="00032406" w:rsidRPr="00162969" w:rsidRDefault="00032406" w:rsidP="00032406">
            <w:pPr>
              <w:keepNext/>
              <w:ind w:left="-170" w:right="397"/>
              <w:jc w:val="right"/>
              <w:rPr>
                <w:sz w:val="14"/>
                <w:szCs w:val="14"/>
              </w:rPr>
            </w:pPr>
            <w:r w:rsidRPr="00162969">
              <w:rPr>
                <w:rFonts w:ascii="Verdana" w:hAnsi="Verdana"/>
                <w:color w:val="000000"/>
                <w:sz w:val="14"/>
                <w:szCs w:val="12"/>
              </w:rPr>
              <w:t xml:space="preserve">       (5,760)</w:t>
            </w:r>
          </w:p>
        </w:tc>
        <w:tc>
          <w:tcPr>
            <w:tcW w:w="1474" w:type="dxa"/>
            <w:tcBorders>
              <w:top w:val="nil"/>
              <w:left w:val="nil"/>
              <w:bottom w:val="single" w:sz="8" w:space="0" w:color="0070AD"/>
              <w:right w:val="nil"/>
            </w:tcBorders>
            <w:shd w:val="clear" w:color="000000" w:fill="BBE7FF"/>
            <w:vAlign w:val="center"/>
          </w:tcPr>
          <w:p w14:paraId="5F5CBDEE" w14:textId="77777777" w:rsidR="00032406" w:rsidRPr="00162969" w:rsidRDefault="00032406" w:rsidP="00032406">
            <w:pPr>
              <w:keepNext/>
              <w:ind w:left="-170" w:right="397"/>
              <w:jc w:val="right"/>
              <w:rPr>
                <w:sz w:val="14"/>
                <w:szCs w:val="14"/>
              </w:rPr>
            </w:pPr>
            <w:r w:rsidRPr="00162969">
              <w:rPr>
                <w:rFonts w:ascii="Verdana" w:hAnsi="Verdana"/>
                <w:color w:val="000000"/>
                <w:sz w:val="14"/>
                <w:szCs w:val="14"/>
              </w:rPr>
              <w:t xml:space="preserve">       (6,210)</w:t>
            </w:r>
          </w:p>
        </w:tc>
        <w:tc>
          <w:tcPr>
            <w:tcW w:w="1134" w:type="dxa"/>
            <w:tcBorders>
              <w:top w:val="single" w:sz="8" w:space="0" w:color="0070AD" w:themeColor="accent1"/>
              <w:bottom w:val="single" w:sz="8" w:space="0" w:color="0070AD" w:themeColor="accent1"/>
            </w:tcBorders>
            <w:shd w:val="clear" w:color="auto" w:fill="auto"/>
            <w:vAlign w:val="center"/>
          </w:tcPr>
          <w:p w14:paraId="03EF4535" w14:textId="77777777" w:rsidR="00032406" w:rsidRPr="00162969" w:rsidRDefault="00032406" w:rsidP="00032406">
            <w:pPr>
              <w:keepNext/>
              <w:jc w:val="center"/>
              <w:rPr>
                <w:sz w:val="14"/>
                <w:szCs w:val="14"/>
              </w:rPr>
            </w:pPr>
          </w:p>
        </w:tc>
      </w:tr>
      <w:tr w:rsidR="00032406" w:rsidRPr="00162969" w14:paraId="26D9760A" w14:textId="77777777" w:rsidTr="003176D7">
        <w:trPr>
          <w:trHeight w:val="227"/>
          <w:jc w:val="center"/>
        </w:trPr>
        <w:tc>
          <w:tcPr>
            <w:tcW w:w="5998" w:type="dxa"/>
            <w:tcBorders>
              <w:top w:val="single" w:sz="8" w:space="0" w:color="0070AD" w:themeColor="accent1"/>
              <w:bottom w:val="single" w:sz="8" w:space="0" w:color="0070AD" w:themeColor="accent1"/>
            </w:tcBorders>
            <w:shd w:val="clear" w:color="auto" w:fill="auto"/>
            <w:vAlign w:val="center"/>
          </w:tcPr>
          <w:p w14:paraId="3841EA74" w14:textId="77777777" w:rsidR="00032406" w:rsidRPr="00162969" w:rsidRDefault="00032406" w:rsidP="00032406">
            <w:pPr>
              <w:keepNext/>
              <w:rPr>
                <w:b/>
                <w:color w:val="0070AD" w:themeColor="accent1"/>
                <w:sz w:val="14"/>
                <w:szCs w:val="14"/>
              </w:rPr>
            </w:pPr>
            <w:r w:rsidRPr="00162969">
              <w:rPr>
                <w:b/>
                <w:color w:val="0070AD" w:themeColor="accent1"/>
                <w:sz w:val="14"/>
                <w:szCs w:val="14"/>
              </w:rPr>
              <w:t xml:space="preserve">Operating margin </w:t>
            </w:r>
          </w:p>
        </w:tc>
        <w:tc>
          <w:tcPr>
            <w:tcW w:w="1474" w:type="dxa"/>
            <w:tcBorders>
              <w:top w:val="nil"/>
              <w:left w:val="nil"/>
              <w:bottom w:val="single" w:sz="8" w:space="0" w:color="0070AD"/>
              <w:right w:val="nil"/>
            </w:tcBorders>
            <w:shd w:val="clear" w:color="000000" w:fill="FFFFFF"/>
            <w:vAlign w:val="center"/>
          </w:tcPr>
          <w:p w14:paraId="53CC36C9" w14:textId="77777777" w:rsidR="00032406" w:rsidRPr="00162969" w:rsidRDefault="00032406" w:rsidP="00032406">
            <w:pPr>
              <w:keepNext/>
              <w:ind w:left="-170" w:right="397"/>
              <w:jc w:val="right"/>
              <w:rPr>
                <w:b/>
                <w:color w:val="0070AD" w:themeColor="accent1"/>
                <w:sz w:val="14"/>
                <w:szCs w:val="14"/>
              </w:rPr>
            </w:pPr>
            <w:r w:rsidRPr="00162969">
              <w:rPr>
                <w:rFonts w:ascii="Verdana" w:hAnsi="Verdana"/>
                <w:b/>
                <w:bCs/>
                <w:color w:val="0070AD" w:themeColor="accent1"/>
                <w:sz w:val="14"/>
                <w:szCs w:val="12"/>
              </w:rPr>
              <w:t xml:space="preserve">       707 </w:t>
            </w:r>
          </w:p>
        </w:tc>
        <w:tc>
          <w:tcPr>
            <w:tcW w:w="1474" w:type="dxa"/>
            <w:tcBorders>
              <w:top w:val="nil"/>
              <w:left w:val="nil"/>
              <w:bottom w:val="single" w:sz="8" w:space="0" w:color="0070AD"/>
              <w:right w:val="nil"/>
            </w:tcBorders>
            <w:shd w:val="clear" w:color="000000" w:fill="BBE7FF"/>
            <w:vAlign w:val="center"/>
          </w:tcPr>
          <w:p w14:paraId="5C5EA445" w14:textId="77777777" w:rsidR="00032406" w:rsidRPr="00162969" w:rsidRDefault="00032406" w:rsidP="00032406">
            <w:pPr>
              <w:keepNext/>
              <w:ind w:left="-170" w:right="397"/>
              <w:jc w:val="right"/>
              <w:rPr>
                <w:b/>
                <w:color w:val="0070AD" w:themeColor="accent1"/>
                <w:sz w:val="14"/>
                <w:szCs w:val="14"/>
              </w:rPr>
            </w:pPr>
            <w:r w:rsidRPr="00162969">
              <w:rPr>
                <w:rFonts w:ascii="Verdana" w:hAnsi="Verdana"/>
                <w:b/>
                <w:bCs/>
                <w:color w:val="0070AD"/>
                <w:sz w:val="14"/>
                <w:szCs w:val="14"/>
              </w:rPr>
              <w:t xml:space="preserve">       797 </w:t>
            </w:r>
          </w:p>
        </w:tc>
        <w:tc>
          <w:tcPr>
            <w:tcW w:w="1134" w:type="dxa"/>
            <w:tcBorders>
              <w:top w:val="single" w:sz="8" w:space="0" w:color="0070AD" w:themeColor="accent1"/>
              <w:bottom w:val="single" w:sz="8" w:space="0" w:color="0070AD" w:themeColor="accent1"/>
            </w:tcBorders>
            <w:shd w:val="clear" w:color="auto" w:fill="auto"/>
            <w:vAlign w:val="center"/>
          </w:tcPr>
          <w:p w14:paraId="35D0D072" w14:textId="77777777" w:rsidR="00032406" w:rsidRPr="00162969" w:rsidRDefault="00032406" w:rsidP="00032406">
            <w:pPr>
              <w:keepNext/>
              <w:jc w:val="center"/>
              <w:rPr>
                <w:b/>
                <w:color w:val="0070AD" w:themeColor="accent1"/>
                <w:sz w:val="14"/>
                <w:szCs w:val="14"/>
              </w:rPr>
            </w:pPr>
            <w:r w:rsidRPr="00162969">
              <w:rPr>
                <w:b/>
                <w:color w:val="0070AD" w:themeColor="accent1"/>
                <w:sz w:val="14"/>
                <w:szCs w:val="14"/>
              </w:rPr>
              <w:t>+13%</w:t>
            </w:r>
          </w:p>
        </w:tc>
      </w:tr>
      <w:tr w:rsidR="00032406" w:rsidRPr="00162969" w14:paraId="20C32E79" w14:textId="77777777" w:rsidTr="003176D7">
        <w:trPr>
          <w:trHeight w:val="227"/>
          <w:jc w:val="center"/>
        </w:trPr>
        <w:tc>
          <w:tcPr>
            <w:tcW w:w="5998" w:type="dxa"/>
            <w:tcBorders>
              <w:top w:val="single" w:sz="8" w:space="0" w:color="0070AD" w:themeColor="accent1"/>
            </w:tcBorders>
            <w:shd w:val="clear" w:color="auto" w:fill="auto"/>
            <w:vAlign w:val="center"/>
          </w:tcPr>
          <w:p w14:paraId="7F922230" w14:textId="77777777" w:rsidR="00032406" w:rsidRPr="00162969" w:rsidRDefault="00032406" w:rsidP="00032406">
            <w:pPr>
              <w:keepNext/>
              <w:rPr>
                <w:rFonts w:cs="Arial"/>
                <w:i/>
                <w:sz w:val="14"/>
                <w:szCs w:val="14"/>
              </w:rPr>
            </w:pPr>
            <w:r w:rsidRPr="00162969">
              <w:rPr>
                <w:i/>
                <w:sz w:val="14"/>
                <w:szCs w:val="14"/>
              </w:rPr>
              <w:t>as a % of revenues</w:t>
            </w:r>
          </w:p>
        </w:tc>
        <w:tc>
          <w:tcPr>
            <w:tcW w:w="1474" w:type="dxa"/>
            <w:tcBorders>
              <w:top w:val="nil"/>
              <w:left w:val="nil"/>
              <w:bottom w:val="nil"/>
              <w:right w:val="nil"/>
            </w:tcBorders>
            <w:shd w:val="clear" w:color="000000" w:fill="FFFFFF"/>
            <w:vAlign w:val="center"/>
          </w:tcPr>
          <w:p w14:paraId="2436935C" w14:textId="77777777" w:rsidR="00032406" w:rsidRPr="00162969" w:rsidRDefault="00032406" w:rsidP="00032406">
            <w:pPr>
              <w:keepNext/>
              <w:ind w:left="-170" w:right="397"/>
              <w:jc w:val="right"/>
              <w:rPr>
                <w:rFonts w:cs="Arial"/>
                <w:i/>
                <w:sz w:val="14"/>
                <w:szCs w:val="14"/>
              </w:rPr>
            </w:pPr>
            <w:r w:rsidRPr="00162969">
              <w:rPr>
                <w:rFonts w:ascii="Verdana" w:hAnsi="Verdana"/>
                <w:color w:val="000000"/>
                <w:sz w:val="14"/>
                <w:szCs w:val="12"/>
              </w:rPr>
              <w:t>10.9%</w:t>
            </w:r>
          </w:p>
        </w:tc>
        <w:tc>
          <w:tcPr>
            <w:tcW w:w="1474" w:type="dxa"/>
            <w:tcBorders>
              <w:top w:val="nil"/>
              <w:left w:val="nil"/>
              <w:bottom w:val="nil"/>
              <w:right w:val="nil"/>
            </w:tcBorders>
            <w:shd w:val="clear" w:color="000000" w:fill="BBE7FF"/>
            <w:vAlign w:val="center"/>
          </w:tcPr>
          <w:p w14:paraId="5CBFF714" w14:textId="77777777" w:rsidR="00032406" w:rsidRPr="00162969" w:rsidRDefault="00032406" w:rsidP="00032406">
            <w:pPr>
              <w:keepNext/>
              <w:ind w:left="-170" w:right="397"/>
              <w:jc w:val="right"/>
              <w:rPr>
                <w:rFonts w:cs="Arial"/>
                <w:i/>
                <w:sz w:val="14"/>
                <w:szCs w:val="14"/>
              </w:rPr>
            </w:pPr>
            <w:r w:rsidRPr="00162969">
              <w:rPr>
                <w:rFonts w:ascii="Verdana" w:hAnsi="Verdana"/>
                <w:color w:val="000000"/>
                <w:sz w:val="14"/>
                <w:szCs w:val="14"/>
              </w:rPr>
              <w:t>11.4%</w:t>
            </w:r>
          </w:p>
        </w:tc>
        <w:tc>
          <w:tcPr>
            <w:tcW w:w="1134" w:type="dxa"/>
            <w:tcBorders>
              <w:top w:val="single" w:sz="8" w:space="0" w:color="0070AD" w:themeColor="accent1"/>
            </w:tcBorders>
            <w:shd w:val="clear" w:color="auto" w:fill="auto"/>
            <w:vAlign w:val="center"/>
          </w:tcPr>
          <w:p w14:paraId="4B769F1E" w14:textId="77777777" w:rsidR="00032406" w:rsidRPr="00162969" w:rsidRDefault="00032406" w:rsidP="00032406">
            <w:pPr>
              <w:keepNext/>
              <w:jc w:val="center"/>
              <w:rPr>
                <w:rFonts w:cs="Arial"/>
                <w:i/>
                <w:sz w:val="14"/>
                <w:szCs w:val="14"/>
              </w:rPr>
            </w:pPr>
            <w:r w:rsidRPr="00162969">
              <w:rPr>
                <w:i/>
                <w:sz w:val="14"/>
                <w:szCs w:val="14"/>
              </w:rPr>
              <w:t>+50bp</w:t>
            </w:r>
          </w:p>
        </w:tc>
      </w:tr>
      <w:tr w:rsidR="00032406" w:rsidRPr="00162969" w14:paraId="73F52F7A" w14:textId="77777777" w:rsidTr="003176D7">
        <w:trPr>
          <w:trHeight w:val="227"/>
          <w:jc w:val="center"/>
        </w:trPr>
        <w:tc>
          <w:tcPr>
            <w:tcW w:w="5998" w:type="dxa"/>
            <w:tcBorders>
              <w:bottom w:val="single" w:sz="8" w:space="0" w:color="0070AD" w:themeColor="accent1"/>
            </w:tcBorders>
            <w:shd w:val="clear" w:color="auto" w:fill="auto"/>
            <w:vAlign w:val="center"/>
          </w:tcPr>
          <w:p w14:paraId="7ADA92FF" w14:textId="77777777" w:rsidR="00032406" w:rsidRPr="00162969" w:rsidRDefault="00032406" w:rsidP="00032406">
            <w:pPr>
              <w:keepNext/>
              <w:ind w:left="149"/>
              <w:rPr>
                <w:rFonts w:cs="Arial"/>
                <w:sz w:val="14"/>
                <w:szCs w:val="14"/>
              </w:rPr>
            </w:pPr>
            <w:r w:rsidRPr="00162969">
              <w:rPr>
                <w:sz w:val="14"/>
                <w:szCs w:val="14"/>
              </w:rPr>
              <w:t>Other operating income and expense</w:t>
            </w:r>
          </w:p>
        </w:tc>
        <w:tc>
          <w:tcPr>
            <w:tcW w:w="1474" w:type="dxa"/>
            <w:tcBorders>
              <w:top w:val="nil"/>
              <w:left w:val="nil"/>
              <w:bottom w:val="single" w:sz="8" w:space="0" w:color="0070AD"/>
              <w:right w:val="nil"/>
            </w:tcBorders>
            <w:shd w:val="clear" w:color="000000" w:fill="FFFFFF"/>
            <w:vAlign w:val="center"/>
          </w:tcPr>
          <w:p w14:paraId="2E4645F0" w14:textId="77777777" w:rsidR="00032406" w:rsidRPr="00162969" w:rsidRDefault="00032406" w:rsidP="00032406">
            <w:pPr>
              <w:keepNext/>
              <w:ind w:left="-170" w:right="397"/>
              <w:jc w:val="right"/>
              <w:rPr>
                <w:rFonts w:cs="Arial"/>
                <w:sz w:val="14"/>
                <w:szCs w:val="14"/>
              </w:rPr>
            </w:pPr>
            <w:r w:rsidRPr="00162969">
              <w:rPr>
                <w:rFonts w:ascii="Verdana" w:hAnsi="Verdana"/>
                <w:sz w:val="14"/>
                <w:szCs w:val="12"/>
              </w:rPr>
              <w:t xml:space="preserve">           (186)</w:t>
            </w:r>
          </w:p>
        </w:tc>
        <w:tc>
          <w:tcPr>
            <w:tcW w:w="1474" w:type="dxa"/>
            <w:tcBorders>
              <w:top w:val="nil"/>
              <w:left w:val="nil"/>
              <w:bottom w:val="single" w:sz="8" w:space="0" w:color="0070AD"/>
              <w:right w:val="nil"/>
            </w:tcBorders>
            <w:shd w:val="clear" w:color="000000" w:fill="BBE7FF"/>
            <w:vAlign w:val="center"/>
          </w:tcPr>
          <w:p w14:paraId="58F5C10F" w14:textId="77777777" w:rsidR="00032406" w:rsidRPr="00162969" w:rsidRDefault="00CA0066" w:rsidP="00032406">
            <w:pPr>
              <w:keepNext/>
              <w:ind w:left="-170" w:right="397"/>
              <w:jc w:val="right"/>
              <w:rPr>
                <w:rFonts w:cs="Arial"/>
                <w:sz w:val="14"/>
                <w:szCs w:val="14"/>
              </w:rPr>
            </w:pPr>
            <w:r w:rsidRPr="00162969">
              <w:rPr>
                <w:rFonts w:ascii="Verdana" w:hAnsi="Verdana"/>
                <w:sz w:val="14"/>
                <w:szCs w:val="14"/>
              </w:rPr>
              <w:t>(139)</w:t>
            </w:r>
          </w:p>
        </w:tc>
        <w:tc>
          <w:tcPr>
            <w:tcW w:w="1134" w:type="dxa"/>
            <w:tcBorders>
              <w:bottom w:val="single" w:sz="8" w:space="0" w:color="0070AD" w:themeColor="accent1"/>
            </w:tcBorders>
            <w:shd w:val="clear" w:color="auto" w:fill="auto"/>
            <w:vAlign w:val="center"/>
          </w:tcPr>
          <w:p w14:paraId="66FC311E" w14:textId="77777777" w:rsidR="00032406" w:rsidRPr="00162969" w:rsidRDefault="00032406" w:rsidP="00032406">
            <w:pPr>
              <w:keepNext/>
              <w:jc w:val="center"/>
              <w:rPr>
                <w:rFonts w:cs="Arial"/>
                <w:sz w:val="14"/>
                <w:szCs w:val="14"/>
              </w:rPr>
            </w:pPr>
          </w:p>
        </w:tc>
      </w:tr>
      <w:tr w:rsidR="00032406" w:rsidRPr="00162969" w14:paraId="266AAAD1" w14:textId="77777777" w:rsidTr="003176D7">
        <w:trPr>
          <w:trHeight w:val="227"/>
          <w:jc w:val="center"/>
        </w:trPr>
        <w:tc>
          <w:tcPr>
            <w:tcW w:w="5998" w:type="dxa"/>
            <w:tcBorders>
              <w:top w:val="single" w:sz="8" w:space="0" w:color="0070AD" w:themeColor="accent1"/>
              <w:bottom w:val="single" w:sz="8" w:space="0" w:color="0070AD" w:themeColor="accent1"/>
            </w:tcBorders>
            <w:shd w:val="clear" w:color="auto" w:fill="auto"/>
            <w:vAlign w:val="center"/>
          </w:tcPr>
          <w:p w14:paraId="202B4486" w14:textId="77777777" w:rsidR="00032406" w:rsidRPr="00162969" w:rsidRDefault="00032406" w:rsidP="00032406">
            <w:pPr>
              <w:keepNext/>
              <w:rPr>
                <w:rFonts w:cs="Arial"/>
                <w:b/>
                <w:color w:val="0070AD" w:themeColor="accent1"/>
                <w:sz w:val="14"/>
                <w:szCs w:val="14"/>
              </w:rPr>
            </w:pPr>
            <w:r w:rsidRPr="00162969">
              <w:rPr>
                <w:b/>
                <w:color w:val="0070AD" w:themeColor="accent1"/>
                <w:sz w:val="14"/>
                <w:szCs w:val="14"/>
              </w:rPr>
              <w:t>Operating profit</w:t>
            </w:r>
          </w:p>
        </w:tc>
        <w:tc>
          <w:tcPr>
            <w:tcW w:w="1474" w:type="dxa"/>
            <w:tcBorders>
              <w:top w:val="nil"/>
              <w:left w:val="nil"/>
              <w:bottom w:val="single" w:sz="8" w:space="0" w:color="0070AD"/>
              <w:right w:val="nil"/>
            </w:tcBorders>
            <w:shd w:val="clear" w:color="000000" w:fill="FFFFFF"/>
            <w:vAlign w:val="center"/>
          </w:tcPr>
          <w:p w14:paraId="36F07D0E" w14:textId="77777777" w:rsidR="00032406" w:rsidRPr="00162969" w:rsidRDefault="00032406" w:rsidP="00032406">
            <w:pPr>
              <w:keepNext/>
              <w:ind w:left="-170" w:right="397"/>
              <w:jc w:val="right"/>
              <w:rPr>
                <w:rFonts w:cs="Arial"/>
                <w:b/>
                <w:color w:val="0070AD" w:themeColor="accent1"/>
                <w:sz w:val="14"/>
                <w:szCs w:val="14"/>
              </w:rPr>
            </w:pPr>
            <w:r w:rsidRPr="00162969">
              <w:rPr>
                <w:rFonts w:ascii="Verdana" w:hAnsi="Verdana"/>
                <w:b/>
                <w:bCs/>
                <w:color w:val="0070AD" w:themeColor="accent1"/>
                <w:sz w:val="14"/>
                <w:szCs w:val="12"/>
              </w:rPr>
              <w:t xml:space="preserve">       521 </w:t>
            </w:r>
          </w:p>
        </w:tc>
        <w:tc>
          <w:tcPr>
            <w:tcW w:w="1474" w:type="dxa"/>
            <w:tcBorders>
              <w:top w:val="nil"/>
              <w:left w:val="nil"/>
              <w:bottom w:val="single" w:sz="8" w:space="0" w:color="0070AD"/>
              <w:right w:val="nil"/>
            </w:tcBorders>
            <w:shd w:val="clear" w:color="000000" w:fill="BBE7FF"/>
            <w:vAlign w:val="center"/>
          </w:tcPr>
          <w:p w14:paraId="42FA5AA7" w14:textId="77777777" w:rsidR="00032406" w:rsidRPr="00162969" w:rsidRDefault="00032406" w:rsidP="00032406">
            <w:pPr>
              <w:keepNext/>
              <w:ind w:left="-170" w:right="397"/>
              <w:jc w:val="right"/>
              <w:rPr>
                <w:rFonts w:cs="Arial"/>
                <w:b/>
                <w:color w:val="0070AD" w:themeColor="accent1"/>
                <w:sz w:val="14"/>
                <w:szCs w:val="14"/>
              </w:rPr>
            </w:pPr>
            <w:r w:rsidRPr="00162969">
              <w:rPr>
                <w:rFonts w:ascii="Verdana" w:hAnsi="Verdana"/>
                <w:b/>
                <w:bCs/>
                <w:color w:val="0070AD"/>
                <w:sz w:val="14"/>
                <w:szCs w:val="14"/>
              </w:rPr>
              <w:t xml:space="preserve">      658 </w:t>
            </w:r>
          </w:p>
        </w:tc>
        <w:tc>
          <w:tcPr>
            <w:tcW w:w="1134" w:type="dxa"/>
            <w:tcBorders>
              <w:top w:val="single" w:sz="8" w:space="0" w:color="0070AD" w:themeColor="accent1"/>
              <w:bottom w:val="single" w:sz="8" w:space="0" w:color="0070AD" w:themeColor="accent1"/>
            </w:tcBorders>
            <w:shd w:val="clear" w:color="auto" w:fill="auto"/>
            <w:vAlign w:val="center"/>
          </w:tcPr>
          <w:p w14:paraId="197486F9" w14:textId="77777777" w:rsidR="00032406" w:rsidRPr="00162969" w:rsidRDefault="00041C5B" w:rsidP="00032406">
            <w:pPr>
              <w:keepNext/>
              <w:jc w:val="center"/>
              <w:rPr>
                <w:rFonts w:cs="Arial"/>
                <w:b/>
                <w:color w:val="0070AD" w:themeColor="accent1"/>
                <w:sz w:val="14"/>
                <w:szCs w:val="14"/>
              </w:rPr>
            </w:pPr>
            <w:r w:rsidRPr="00162969">
              <w:rPr>
                <w:b/>
                <w:color w:val="0070AD" w:themeColor="accent1"/>
                <w:sz w:val="14"/>
                <w:szCs w:val="14"/>
              </w:rPr>
              <w:t>+26%</w:t>
            </w:r>
          </w:p>
        </w:tc>
      </w:tr>
      <w:tr w:rsidR="00032406" w:rsidRPr="00162969" w14:paraId="0A4D5F28" w14:textId="77777777" w:rsidTr="003176D7">
        <w:trPr>
          <w:trHeight w:val="227"/>
          <w:jc w:val="center"/>
        </w:trPr>
        <w:tc>
          <w:tcPr>
            <w:tcW w:w="5998" w:type="dxa"/>
            <w:tcBorders>
              <w:top w:val="single" w:sz="8" w:space="0" w:color="0070AD" w:themeColor="accent1"/>
            </w:tcBorders>
            <w:shd w:val="clear" w:color="auto" w:fill="auto"/>
            <w:vAlign w:val="center"/>
          </w:tcPr>
          <w:p w14:paraId="6527DBC8" w14:textId="77777777" w:rsidR="00032406" w:rsidRPr="00162969" w:rsidRDefault="00032406" w:rsidP="00032406">
            <w:pPr>
              <w:keepNext/>
              <w:rPr>
                <w:rFonts w:cs="Arial"/>
                <w:i/>
                <w:sz w:val="14"/>
                <w:szCs w:val="14"/>
              </w:rPr>
            </w:pPr>
            <w:r w:rsidRPr="00162969">
              <w:rPr>
                <w:i/>
                <w:sz w:val="14"/>
                <w:szCs w:val="14"/>
              </w:rPr>
              <w:t>as a % of revenues</w:t>
            </w:r>
          </w:p>
        </w:tc>
        <w:tc>
          <w:tcPr>
            <w:tcW w:w="1474" w:type="dxa"/>
            <w:tcBorders>
              <w:top w:val="nil"/>
              <w:left w:val="nil"/>
              <w:bottom w:val="nil"/>
              <w:right w:val="nil"/>
            </w:tcBorders>
            <w:shd w:val="clear" w:color="000000" w:fill="FFFFFF"/>
            <w:vAlign w:val="center"/>
          </w:tcPr>
          <w:p w14:paraId="452768EA" w14:textId="77777777" w:rsidR="00032406" w:rsidRPr="00162969" w:rsidRDefault="00032406" w:rsidP="00032406">
            <w:pPr>
              <w:keepNext/>
              <w:ind w:left="-170" w:right="397"/>
              <w:jc w:val="right"/>
              <w:rPr>
                <w:rFonts w:cs="Arial"/>
                <w:i/>
                <w:sz w:val="14"/>
                <w:szCs w:val="14"/>
              </w:rPr>
            </w:pPr>
            <w:r w:rsidRPr="00162969">
              <w:rPr>
                <w:rFonts w:ascii="Verdana" w:hAnsi="Verdana"/>
                <w:color w:val="000000"/>
                <w:sz w:val="14"/>
                <w:szCs w:val="12"/>
              </w:rPr>
              <w:t>8.0%</w:t>
            </w:r>
          </w:p>
        </w:tc>
        <w:tc>
          <w:tcPr>
            <w:tcW w:w="1474" w:type="dxa"/>
            <w:tcBorders>
              <w:top w:val="nil"/>
              <w:left w:val="nil"/>
              <w:bottom w:val="nil"/>
              <w:right w:val="nil"/>
            </w:tcBorders>
            <w:shd w:val="clear" w:color="000000" w:fill="BBE7FF"/>
            <w:vAlign w:val="center"/>
          </w:tcPr>
          <w:p w14:paraId="13F0AA02" w14:textId="77777777" w:rsidR="00032406" w:rsidRPr="00162969" w:rsidRDefault="00032406" w:rsidP="00032406">
            <w:pPr>
              <w:keepNext/>
              <w:ind w:left="-170" w:right="397"/>
              <w:jc w:val="right"/>
              <w:rPr>
                <w:rFonts w:cs="Arial"/>
                <w:i/>
                <w:sz w:val="14"/>
                <w:szCs w:val="14"/>
              </w:rPr>
            </w:pPr>
            <w:r w:rsidRPr="00162969">
              <w:rPr>
                <w:rFonts w:ascii="Verdana" w:hAnsi="Verdana"/>
                <w:color w:val="000000"/>
                <w:sz w:val="14"/>
                <w:szCs w:val="14"/>
              </w:rPr>
              <w:t>9.4%</w:t>
            </w:r>
          </w:p>
        </w:tc>
        <w:tc>
          <w:tcPr>
            <w:tcW w:w="1134" w:type="dxa"/>
            <w:tcBorders>
              <w:top w:val="single" w:sz="8" w:space="0" w:color="0070AD" w:themeColor="accent1"/>
            </w:tcBorders>
            <w:shd w:val="clear" w:color="auto" w:fill="auto"/>
            <w:vAlign w:val="center"/>
          </w:tcPr>
          <w:p w14:paraId="12B6CFC4" w14:textId="77777777" w:rsidR="00032406" w:rsidRPr="00162969" w:rsidRDefault="00032406" w:rsidP="00032406">
            <w:pPr>
              <w:keepNext/>
              <w:jc w:val="center"/>
              <w:rPr>
                <w:rFonts w:cs="Arial"/>
                <w:i/>
                <w:sz w:val="14"/>
                <w:szCs w:val="14"/>
              </w:rPr>
            </w:pPr>
          </w:p>
        </w:tc>
      </w:tr>
      <w:tr w:rsidR="00032406" w:rsidRPr="00162969" w14:paraId="58261B47" w14:textId="77777777" w:rsidTr="003176D7">
        <w:trPr>
          <w:trHeight w:val="227"/>
          <w:jc w:val="center"/>
        </w:trPr>
        <w:tc>
          <w:tcPr>
            <w:tcW w:w="5998" w:type="dxa"/>
            <w:shd w:val="clear" w:color="auto" w:fill="auto"/>
            <w:vAlign w:val="center"/>
          </w:tcPr>
          <w:p w14:paraId="554849E9" w14:textId="77777777" w:rsidR="00032406" w:rsidRPr="00162969" w:rsidRDefault="00032406" w:rsidP="00032406">
            <w:pPr>
              <w:keepNext/>
              <w:ind w:left="149"/>
              <w:rPr>
                <w:rFonts w:cs="Arial"/>
                <w:sz w:val="14"/>
                <w:szCs w:val="14"/>
              </w:rPr>
            </w:pPr>
            <w:r w:rsidRPr="00162969">
              <w:rPr>
                <w:sz w:val="14"/>
                <w:szCs w:val="14"/>
              </w:rPr>
              <w:t>Net financial expense</w:t>
            </w:r>
          </w:p>
        </w:tc>
        <w:tc>
          <w:tcPr>
            <w:tcW w:w="1474" w:type="dxa"/>
            <w:tcBorders>
              <w:top w:val="nil"/>
              <w:left w:val="nil"/>
              <w:bottom w:val="nil"/>
              <w:right w:val="nil"/>
            </w:tcBorders>
            <w:shd w:val="clear" w:color="000000" w:fill="FFFFFF"/>
            <w:vAlign w:val="center"/>
          </w:tcPr>
          <w:p w14:paraId="51485B51" w14:textId="77777777" w:rsidR="00032406" w:rsidRPr="00162969" w:rsidRDefault="00032406" w:rsidP="00032406">
            <w:pPr>
              <w:keepNext/>
              <w:ind w:left="-170" w:right="397"/>
              <w:jc w:val="right"/>
              <w:rPr>
                <w:rFonts w:cs="Arial"/>
                <w:sz w:val="14"/>
                <w:szCs w:val="14"/>
              </w:rPr>
            </w:pPr>
            <w:r w:rsidRPr="00162969">
              <w:rPr>
                <w:rFonts w:ascii="Verdana" w:hAnsi="Verdana"/>
                <w:color w:val="000000"/>
                <w:sz w:val="14"/>
                <w:szCs w:val="12"/>
              </w:rPr>
              <w:t xml:space="preserve">            (39)</w:t>
            </w:r>
          </w:p>
        </w:tc>
        <w:tc>
          <w:tcPr>
            <w:tcW w:w="1474" w:type="dxa"/>
            <w:tcBorders>
              <w:top w:val="nil"/>
              <w:left w:val="nil"/>
              <w:bottom w:val="nil"/>
              <w:right w:val="nil"/>
            </w:tcBorders>
            <w:shd w:val="clear" w:color="000000" w:fill="BBE7FF"/>
            <w:vAlign w:val="center"/>
          </w:tcPr>
          <w:p w14:paraId="5FE40CF0" w14:textId="77777777" w:rsidR="00032406" w:rsidRPr="00162969" w:rsidRDefault="00032406" w:rsidP="00032406">
            <w:pPr>
              <w:keepNext/>
              <w:ind w:left="-170" w:right="397"/>
              <w:jc w:val="right"/>
              <w:rPr>
                <w:rFonts w:cs="Arial"/>
                <w:sz w:val="14"/>
                <w:szCs w:val="14"/>
              </w:rPr>
            </w:pPr>
            <w:r w:rsidRPr="00162969">
              <w:rPr>
                <w:rFonts w:ascii="Verdana" w:hAnsi="Verdana"/>
                <w:color w:val="000000"/>
                <w:sz w:val="14"/>
                <w:szCs w:val="14"/>
              </w:rPr>
              <w:t xml:space="preserve">            (39)</w:t>
            </w:r>
          </w:p>
        </w:tc>
        <w:tc>
          <w:tcPr>
            <w:tcW w:w="1134" w:type="dxa"/>
            <w:shd w:val="clear" w:color="auto" w:fill="auto"/>
            <w:vAlign w:val="center"/>
          </w:tcPr>
          <w:p w14:paraId="4AD13D36" w14:textId="77777777" w:rsidR="00032406" w:rsidRPr="00162969" w:rsidRDefault="00032406" w:rsidP="00032406">
            <w:pPr>
              <w:keepNext/>
              <w:jc w:val="center"/>
              <w:rPr>
                <w:rFonts w:cs="Arial"/>
                <w:sz w:val="14"/>
                <w:szCs w:val="14"/>
              </w:rPr>
            </w:pPr>
          </w:p>
        </w:tc>
      </w:tr>
      <w:tr w:rsidR="00032406" w:rsidRPr="00162969" w14:paraId="40FE1F2A" w14:textId="77777777" w:rsidTr="003176D7">
        <w:trPr>
          <w:trHeight w:val="227"/>
          <w:jc w:val="center"/>
        </w:trPr>
        <w:tc>
          <w:tcPr>
            <w:tcW w:w="5998" w:type="dxa"/>
            <w:shd w:val="clear" w:color="auto" w:fill="auto"/>
            <w:vAlign w:val="center"/>
          </w:tcPr>
          <w:p w14:paraId="48F16AC1" w14:textId="77777777" w:rsidR="00032406" w:rsidRPr="00162969" w:rsidRDefault="00032406" w:rsidP="00032406">
            <w:pPr>
              <w:keepNext/>
              <w:ind w:left="149"/>
              <w:rPr>
                <w:rFonts w:cs="Arial"/>
                <w:sz w:val="14"/>
                <w:szCs w:val="14"/>
              </w:rPr>
            </w:pPr>
            <w:r w:rsidRPr="00162969">
              <w:rPr>
                <w:sz w:val="14"/>
                <w:szCs w:val="14"/>
              </w:rPr>
              <w:t>Income tax income/(expense)</w:t>
            </w:r>
          </w:p>
        </w:tc>
        <w:tc>
          <w:tcPr>
            <w:tcW w:w="1474" w:type="dxa"/>
            <w:tcBorders>
              <w:top w:val="nil"/>
              <w:left w:val="nil"/>
              <w:bottom w:val="nil"/>
              <w:right w:val="nil"/>
            </w:tcBorders>
            <w:shd w:val="clear" w:color="000000" w:fill="FFFFFF"/>
            <w:vAlign w:val="center"/>
          </w:tcPr>
          <w:p w14:paraId="70994088" w14:textId="77777777" w:rsidR="00032406" w:rsidRPr="00162969" w:rsidRDefault="00032406" w:rsidP="00032406">
            <w:pPr>
              <w:keepNext/>
              <w:ind w:left="-170" w:right="397"/>
              <w:jc w:val="right"/>
              <w:rPr>
                <w:rFonts w:cs="Arial"/>
                <w:sz w:val="14"/>
                <w:szCs w:val="14"/>
              </w:rPr>
            </w:pPr>
            <w:r w:rsidRPr="00162969">
              <w:rPr>
                <w:rFonts w:ascii="Verdana" w:hAnsi="Verdana"/>
                <w:color w:val="000000"/>
                <w:sz w:val="14"/>
                <w:szCs w:val="12"/>
              </w:rPr>
              <w:t xml:space="preserve">           (169)</w:t>
            </w:r>
          </w:p>
        </w:tc>
        <w:tc>
          <w:tcPr>
            <w:tcW w:w="1474" w:type="dxa"/>
            <w:tcBorders>
              <w:top w:val="nil"/>
              <w:left w:val="nil"/>
              <w:bottom w:val="nil"/>
              <w:right w:val="nil"/>
            </w:tcBorders>
            <w:shd w:val="clear" w:color="000000" w:fill="BBE7FF"/>
            <w:vAlign w:val="center"/>
          </w:tcPr>
          <w:p w14:paraId="424D9A1E" w14:textId="77777777" w:rsidR="00032406" w:rsidRPr="00162969" w:rsidRDefault="00032406" w:rsidP="00032406">
            <w:pPr>
              <w:keepNext/>
              <w:ind w:left="-170" w:right="397"/>
              <w:jc w:val="right"/>
              <w:rPr>
                <w:rFonts w:cs="Arial"/>
                <w:sz w:val="14"/>
                <w:szCs w:val="14"/>
              </w:rPr>
            </w:pPr>
            <w:r w:rsidRPr="00162969">
              <w:rPr>
                <w:rFonts w:ascii="Verdana" w:hAnsi="Verdana"/>
                <w:color w:val="000000"/>
                <w:sz w:val="14"/>
                <w:szCs w:val="14"/>
              </w:rPr>
              <w:t xml:space="preserve">          (232)</w:t>
            </w:r>
          </w:p>
        </w:tc>
        <w:tc>
          <w:tcPr>
            <w:tcW w:w="1134" w:type="dxa"/>
            <w:shd w:val="clear" w:color="auto" w:fill="auto"/>
            <w:vAlign w:val="center"/>
          </w:tcPr>
          <w:p w14:paraId="361E3C5A" w14:textId="77777777" w:rsidR="00032406" w:rsidRPr="00162969" w:rsidRDefault="00032406" w:rsidP="00032406">
            <w:pPr>
              <w:keepNext/>
              <w:jc w:val="center"/>
              <w:rPr>
                <w:rFonts w:cs="Arial"/>
                <w:sz w:val="14"/>
                <w:szCs w:val="14"/>
              </w:rPr>
            </w:pPr>
          </w:p>
        </w:tc>
      </w:tr>
      <w:tr w:rsidR="00032406" w:rsidRPr="00162969" w14:paraId="3222C733" w14:textId="77777777" w:rsidTr="003176D7">
        <w:trPr>
          <w:trHeight w:val="227"/>
          <w:jc w:val="center"/>
        </w:trPr>
        <w:tc>
          <w:tcPr>
            <w:tcW w:w="5998" w:type="dxa"/>
            <w:tcBorders>
              <w:bottom w:val="single" w:sz="8" w:space="0" w:color="0070AD" w:themeColor="accent1"/>
            </w:tcBorders>
            <w:shd w:val="clear" w:color="auto" w:fill="auto"/>
            <w:vAlign w:val="center"/>
          </w:tcPr>
          <w:p w14:paraId="6FFE5942" w14:textId="77777777" w:rsidR="00032406" w:rsidRPr="00162969" w:rsidRDefault="00032406" w:rsidP="00032406">
            <w:pPr>
              <w:keepNext/>
              <w:ind w:left="149"/>
              <w:rPr>
                <w:rFonts w:cs="Arial"/>
                <w:sz w:val="14"/>
                <w:szCs w:val="14"/>
              </w:rPr>
            </w:pPr>
            <w:r w:rsidRPr="00162969">
              <w:rPr>
                <w:sz w:val="14"/>
                <w:szCs w:val="14"/>
              </w:rPr>
              <w:t>(-) Non-controlling interests</w:t>
            </w:r>
          </w:p>
        </w:tc>
        <w:tc>
          <w:tcPr>
            <w:tcW w:w="1474" w:type="dxa"/>
            <w:tcBorders>
              <w:top w:val="nil"/>
              <w:left w:val="nil"/>
              <w:bottom w:val="single" w:sz="8" w:space="0" w:color="0070AD"/>
              <w:right w:val="nil"/>
            </w:tcBorders>
            <w:shd w:val="clear" w:color="000000" w:fill="FFFFFF"/>
            <w:vAlign w:val="center"/>
          </w:tcPr>
          <w:p w14:paraId="0BB3325D" w14:textId="77777777" w:rsidR="00032406" w:rsidRPr="00162969" w:rsidRDefault="00032406" w:rsidP="00032406">
            <w:pPr>
              <w:keepNext/>
              <w:ind w:left="-170" w:right="397"/>
              <w:jc w:val="right"/>
              <w:rPr>
                <w:rFonts w:cs="Arial"/>
                <w:sz w:val="14"/>
                <w:szCs w:val="14"/>
              </w:rPr>
            </w:pPr>
            <w:r w:rsidRPr="00162969">
              <w:rPr>
                <w:rFonts w:ascii="Verdana" w:hAnsi="Verdana"/>
                <w:color w:val="000000"/>
                <w:sz w:val="14"/>
                <w:szCs w:val="12"/>
              </w:rPr>
              <w:t xml:space="preserve">                  1 </w:t>
            </w:r>
          </w:p>
        </w:tc>
        <w:tc>
          <w:tcPr>
            <w:tcW w:w="1474" w:type="dxa"/>
            <w:tcBorders>
              <w:top w:val="nil"/>
              <w:left w:val="nil"/>
              <w:bottom w:val="single" w:sz="8" w:space="0" w:color="0070AD"/>
              <w:right w:val="nil"/>
            </w:tcBorders>
            <w:shd w:val="clear" w:color="000000" w:fill="BBE7FF"/>
            <w:vAlign w:val="center"/>
          </w:tcPr>
          <w:p w14:paraId="749FD726" w14:textId="77777777" w:rsidR="00032406" w:rsidRPr="00162969" w:rsidRDefault="00032406" w:rsidP="00032406">
            <w:pPr>
              <w:keepNext/>
              <w:ind w:left="-170" w:right="397"/>
              <w:jc w:val="right"/>
              <w:rPr>
                <w:rFonts w:cs="Arial"/>
                <w:sz w:val="14"/>
                <w:szCs w:val="14"/>
              </w:rPr>
            </w:pPr>
            <w:r w:rsidRPr="00162969">
              <w:rPr>
                <w:rFonts w:ascii="Verdana" w:hAnsi="Verdana"/>
                <w:color w:val="000000"/>
                <w:sz w:val="14"/>
                <w:szCs w:val="14"/>
              </w:rPr>
              <w:t xml:space="preserve">                  1 </w:t>
            </w:r>
          </w:p>
        </w:tc>
        <w:tc>
          <w:tcPr>
            <w:tcW w:w="1134" w:type="dxa"/>
            <w:tcBorders>
              <w:bottom w:val="single" w:sz="8" w:space="0" w:color="0070AD" w:themeColor="accent1"/>
            </w:tcBorders>
            <w:shd w:val="clear" w:color="auto" w:fill="auto"/>
            <w:vAlign w:val="center"/>
          </w:tcPr>
          <w:p w14:paraId="330DC3F1" w14:textId="77777777" w:rsidR="00032406" w:rsidRPr="00162969" w:rsidRDefault="00032406" w:rsidP="00032406">
            <w:pPr>
              <w:keepNext/>
              <w:jc w:val="center"/>
              <w:rPr>
                <w:rFonts w:cs="Arial"/>
                <w:sz w:val="14"/>
                <w:szCs w:val="14"/>
              </w:rPr>
            </w:pPr>
          </w:p>
        </w:tc>
      </w:tr>
      <w:tr w:rsidR="00032406" w:rsidRPr="00162969" w14:paraId="4B0EAA53" w14:textId="77777777" w:rsidTr="003176D7">
        <w:trPr>
          <w:trHeight w:val="227"/>
          <w:jc w:val="center"/>
        </w:trPr>
        <w:tc>
          <w:tcPr>
            <w:tcW w:w="5998" w:type="dxa"/>
            <w:tcBorders>
              <w:top w:val="single" w:sz="8" w:space="0" w:color="0070AD" w:themeColor="accent1"/>
              <w:bottom w:val="single" w:sz="8" w:space="0" w:color="0070AD" w:themeColor="accent1"/>
            </w:tcBorders>
            <w:shd w:val="clear" w:color="auto" w:fill="auto"/>
            <w:vAlign w:val="center"/>
          </w:tcPr>
          <w:p w14:paraId="7B40B069" w14:textId="77777777" w:rsidR="00032406" w:rsidRPr="00162969" w:rsidRDefault="00032406" w:rsidP="00801C65">
            <w:pPr>
              <w:keepNext/>
              <w:rPr>
                <w:rFonts w:cs="Arial"/>
                <w:b/>
                <w:color w:val="0070AD" w:themeColor="accent1"/>
                <w:sz w:val="14"/>
                <w:szCs w:val="14"/>
              </w:rPr>
            </w:pPr>
            <w:r w:rsidRPr="00162969">
              <w:rPr>
                <w:b/>
                <w:color w:val="0070AD" w:themeColor="accent1"/>
                <w:sz w:val="14"/>
                <w:szCs w:val="14"/>
              </w:rPr>
              <w:t xml:space="preserve">Profit for the </w:t>
            </w:r>
            <w:r w:rsidR="00801C65" w:rsidRPr="00162969">
              <w:rPr>
                <w:b/>
                <w:color w:val="0070AD" w:themeColor="accent1"/>
                <w:sz w:val="14"/>
                <w:szCs w:val="14"/>
              </w:rPr>
              <w:t>period</w:t>
            </w:r>
            <w:r w:rsidRPr="00162969">
              <w:rPr>
                <w:b/>
                <w:color w:val="0070AD" w:themeColor="accent1"/>
                <w:sz w:val="14"/>
                <w:szCs w:val="14"/>
              </w:rPr>
              <w:t>, Group share</w:t>
            </w:r>
          </w:p>
        </w:tc>
        <w:tc>
          <w:tcPr>
            <w:tcW w:w="1474" w:type="dxa"/>
            <w:tcBorders>
              <w:top w:val="nil"/>
              <w:left w:val="nil"/>
              <w:bottom w:val="single" w:sz="8" w:space="0" w:color="0070AD"/>
              <w:right w:val="nil"/>
            </w:tcBorders>
            <w:shd w:val="clear" w:color="000000" w:fill="FFFFFF"/>
            <w:vAlign w:val="center"/>
          </w:tcPr>
          <w:p w14:paraId="7BBCB7E2" w14:textId="77777777" w:rsidR="00032406" w:rsidRPr="00162969" w:rsidRDefault="00032406" w:rsidP="00032406">
            <w:pPr>
              <w:keepNext/>
              <w:ind w:left="-170" w:right="397"/>
              <w:jc w:val="right"/>
              <w:rPr>
                <w:rFonts w:cs="Arial"/>
                <w:b/>
                <w:color w:val="0070AD" w:themeColor="accent1"/>
                <w:sz w:val="14"/>
                <w:szCs w:val="14"/>
              </w:rPr>
            </w:pPr>
            <w:r w:rsidRPr="00162969">
              <w:rPr>
                <w:rFonts w:ascii="Verdana" w:hAnsi="Verdana"/>
                <w:b/>
                <w:bCs/>
                <w:color w:val="0070AD" w:themeColor="accent1"/>
                <w:sz w:val="14"/>
                <w:szCs w:val="12"/>
              </w:rPr>
              <w:t xml:space="preserve">       314 </w:t>
            </w:r>
          </w:p>
        </w:tc>
        <w:tc>
          <w:tcPr>
            <w:tcW w:w="1474" w:type="dxa"/>
            <w:tcBorders>
              <w:top w:val="nil"/>
              <w:left w:val="nil"/>
              <w:bottom w:val="single" w:sz="8" w:space="0" w:color="0070AD"/>
              <w:right w:val="nil"/>
            </w:tcBorders>
            <w:shd w:val="clear" w:color="000000" w:fill="BBE7FF"/>
            <w:vAlign w:val="center"/>
          </w:tcPr>
          <w:p w14:paraId="11E7502A" w14:textId="77777777" w:rsidR="00032406" w:rsidRPr="00162969" w:rsidRDefault="00032406" w:rsidP="00032406">
            <w:pPr>
              <w:keepNext/>
              <w:ind w:left="-170" w:right="397"/>
              <w:jc w:val="right"/>
              <w:rPr>
                <w:rFonts w:cs="Arial"/>
                <w:b/>
                <w:color w:val="0070AD" w:themeColor="accent1"/>
                <w:sz w:val="14"/>
                <w:szCs w:val="14"/>
              </w:rPr>
            </w:pPr>
            <w:r w:rsidRPr="00162969">
              <w:rPr>
                <w:rFonts w:ascii="Verdana" w:hAnsi="Verdana"/>
                <w:b/>
                <w:bCs/>
                <w:color w:val="0070AD"/>
                <w:sz w:val="14"/>
                <w:szCs w:val="14"/>
              </w:rPr>
              <w:t xml:space="preserve">      388 </w:t>
            </w:r>
          </w:p>
        </w:tc>
        <w:tc>
          <w:tcPr>
            <w:tcW w:w="1134" w:type="dxa"/>
            <w:tcBorders>
              <w:top w:val="single" w:sz="8" w:space="0" w:color="0070AD" w:themeColor="accent1"/>
              <w:bottom w:val="single" w:sz="8" w:space="0" w:color="0070AD" w:themeColor="accent1"/>
            </w:tcBorders>
            <w:shd w:val="clear" w:color="auto" w:fill="auto"/>
            <w:vAlign w:val="center"/>
          </w:tcPr>
          <w:p w14:paraId="71FB26DC" w14:textId="77777777" w:rsidR="00032406" w:rsidRPr="00162969" w:rsidRDefault="00041C5B" w:rsidP="00032406">
            <w:pPr>
              <w:keepNext/>
              <w:jc w:val="center"/>
              <w:rPr>
                <w:rFonts w:cs="Arial"/>
                <w:b/>
                <w:color w:val="0070AD" w:themeColor="accent1"/>
                <w:sz w:val="14"/>
                <w:szCs w:val="14"/>
              </w:rPr>
            </w:pPr>
            <w:r w:rsidRPr="00162969">
              <w:rPr>
                <w:b/>
                <w:color w:val="0070AD" w:themeColor="accent1"/>
                <w:sz w:val="14"/>
                <w:szCs w:val="14"/>
              </w:rPr>
              <w:t>+23%</w:t>
            </w:r>
          </w:p>
        </w:tc>
      </w:tr>
    </w:tbl>
    <w:p w14:paraId="0CA91B48" w14:textId="77777777" w:rsidR="00076691" w:rsidRPr="00162969" w:rsidRDefault="00076691" w:rsidP="000E732E"/>
    <w:p w14:paraId="4E884690" w14:textId="77777777" w:rsidR="00170B33" w:rsidRPr="00162969" w:rsidRDefault="00170B33" w:rsidP="00170B33">
      <w:pPr>
        <w:pStyle w:val="Heading1"/>
      </w:pPr>
      <w:bookmarkStart w:id="18" w:name="_Hlk519774797"/>
      <w:r w:rsidRPr="00162969">
        <w:lastRenderedPageBreak/>
        <w:t xml:space="preserve">NORMALIZED AND DILUTED EARNINGS PER SHARE </w:t>
      </w:r>
    </w:p>
    <w:tbl>
      <w:tblPr>
        <w:tblW w:w="0" w:type="auto"/>
        <w:jc w:val="center"/>
        <w:tblLook w:val="04A0" w:firstRow="1" w:lastRow="0" w:firstColumn="1" w:lastColumn="0" w:noHBand="0" w:noVBand="1"/>
      </w:tblPr>
      <w:tblGrid>
        <w:gridCol w:w="5998"/>
        <w:gridCol w:w="1474"/>
        <w:gridCol w:w="1474"/>
        <w:gridCol w:w="1134"/>
      </w:tblGrid>
      <w:tr w:rsidR="00745FC2" w:rsidRPr="00162969" w14:paraId="0BFF578F" w14:textId="77777777" w:rsidTr="00944C01">
        <w:trPr>
          <w:trHeight w:val="284"/>
          <w:jc w:val="center"/>
        </w:trPr>
        <w:tc>
          <w:tcPr>
            <w:tcW w:w="5998" w:type="dxa"/>
            <w:tcBorders>
              <w:bottom w:val="single" w:sz="8" w:space="0" w:color="0070AD" w:themeColor="accent1"/>
            </w:tcBorders>
            <w:vAlign w:val="center"/>
          </w:tcPr>
          <w:p w14:paraId="5D07DEFF" w14:textId="77777777" w:rsidR="00745FC2" w:rsidRPr="00162969" w:rsidRDefault="00745FC2" w:rsidP="00745FC2">
            <w:pPr>
              <w:keepNext/>
              <w:widowControl w:val="0"/>
              <w:jc w:val="center"/>
              <w:rPr>
                <w:rFonts w:cs="Arial"/>
                <w:i/>
                <w:sz w:val="14"/>
                <w:szCs w:val="14"/>
              </w:rPr>
            </w:pPr>
            <w:r w:rsidRPr="00162969">
              <w:rPr>
                <w:i/>
                <w:sz w:val="14"/>
                <w:szCs w:val="14"/>
              </w:rPr>
              <w:t>(In millions of euros)</w:t>
            </w:r>
          </w:p>
        </w:tc>
        <w:tc>
          <w:tcPr>
            <w:tcW w:w="1474" w:type="dxa"/>
            <w:tcBorders>
              <w:bottom w:val="single" w:sz="8" w:space="0" w:color="0070AD" w:themeColor="accent1"/>
            </w:tcBorders>
            <w:vAlign w:val="center"/>
          </w:tcPr>
          <w:p w14:paraId="1202D0EE" w14:textId="77777777" w:rsidR="00745FC2" w:rsidRPr="00162969" w:rsidRDefault="00745FC2" w:rsidP="002F2D6A">
            <w:pPr>
              <w:keepNext/>
              <w:jc w:val="center"/>
              <w:rPr>
                <w:rFonts w:cs="Arial"/>
                <w:b/>
                <w:sz w:val="14"/>
                <w:szCs w:val="14"/>
              </w:rPr>
            </w:pPr>
            <w:r w:rsidRPr="00162969">
              <w:rPr>
                <w:rFonts w:ascii="Verdana" w:hAnsi="Verdana"/>
                <w:b/>
                <w:sz w:val="14"/>
                <w:szCs w:val="16"/>
              </w:rPr>
              <w:t>H1 2018</w:t>
            </w:r>
          </w:p>
        </w:tc>
        <w:tc>
          <w:tcPr>
            <w:tcW w:w="1474" w:type="dxa"/>
            <w:tcBorders>
              <w:bottom w:val="single" w:sz="8" w:space="0" w:color="0070AD" w:themeColor="accent1"/>
            </w:tcBorders>
            <w:shd w:val="clear" w:color="auto" w:fill="BBE7FF" w:themeFill="accent1" w:themeFillTint="33"/>
            <w:vAlign w:val="center"/>
          </w:tcPr>
          <w:p w14:paraId="1115EA58" w14:textId="77777777" w:rsidR="00745FC2" w:rsidRPr="00162969" w:rsidRDefault="00745FC2" w:rsidP="00745FC2">
            <w:pPr>
              <w:keepNext/>
              <w:jc w:val="center"/>
              <w:rPr>
                <w:rFonts w:ascii="Verdana" w:hAnsi="Verdana" w:cs="Arial"/>
                <w:b/>
                <w:sz w:val="14"/>
                <w:szCs w:val="16"/>
              </w:rPr>
            </w:pPr>
            <w:r w:rsidRPr="00162969">
              <w:rPr>
                <w:rFonts w:ascii="Verdana" w:hAnsi="Verdana"/>
                <w:b/>
                <w:sz w:val="14"/>
                <w:szCs w:val="16"/>
              </w:rPr>
              <w:t>H1 2019</w:t>
            </w:r>
          </w:p>
          <w:p w14:paraId="10CBE812" w14:textId="77777777" w:rsidR="00745FC2" w:rsidRPr="00162969" w:rsidRDefault="00745FC2" w:rsidP="00745FC2">
            <w:pPr>
              <w:keepNext/>
              <w:widowControl w:val="0"/>
              <w:jc w:val="center"/>
              <w:rPr>
                <w:rFonts w:cs="Arial"/>
                <w:b/>
                <w:sz w:val="14"/>
                <w:szCs w:val="14"/>
              </w:rPr>
            </w:pPr>
            <w:r w:rsidRPr="00162969">
              <w:rPr>
                <w:bCs/>
                <w:sz w:val="14"/>
                <w:szCs w:val="14"/>
              </w:rPr>
              <w:t>(IFRS 16)</w:t>
            </w:r>
          </w:p>
        </w:tc>
        <w:tc>
          <w:tcPr>
            <w:tcW w:w="1134" w:type="dxa"/>
            <w:tcBorders>
              <w:bottom w:val="single" w:sz="8" w:space="0" w:color="0070AD" w:themeColor="accent1"/>
            </w:tcBorders>
            <w:shd w:val="clear" w:color="auto" w:fill="auto"/>
            <w:vAlign w:val="center"/>
          </w:tcPr>
          <w:p w14:paraId="7992B38E" w14:textId="77777777" w:rsidR="00745FC2" w:rsidRPr="00162969" w:rsidRDefault="00745FC2" w:rsidP="00745FC2">
            <w:pPr>
              <w:keepNext/>
              <w:widowControl w:val="0"/>
              <w:jc w:val="center"/>
              <w:rPr>
                <w:rFonts w:cs="Arial"/>
                <w:b/>
                <w:i/>
                <w:sz w:val="14"/>
                <w:szCs w:val="14"/>
              </w:rPr>
            </w:pPr>
            <w:r w:rsidRPr="00162969">
              <w:rPr>
                <w:b/>
                <w:i/>
                <w:sz w:val="14"/>
                <w:szCs w:val="14"/>
              </w:rPr>
              <w:t>Change</w:t>
            </w:r>
          </w:p>
        </w:tc>
      </w:tr>
      <w:tr w:rsidR="003176D7" w:rsidRPr="00162969" w14:paraId="649CD210" w14:textId="77777777" w:rsidTr="00944C01">
        <w:trPr>
          <w:trHeight w:val="227"/>
          <w:jc w:val="center"/>
        </w:trPr>
        <w:tc>
          <w:tcPr>
            <w:tcW w:w="5998" w:type="dxa"/>
            <w:tcBorders>
              <w:top w:val="single" w:sz="8" w:space="0" w:color="0070AD" w:themeColor="accent1"/>
              <w:bottom w:val="single" w:sz="8" w:space="0" w:color="0070AD" w:themeColor="accent1"/>
            </w:tcBorders>
            <w:vAlign w:val="center"/>
          </w:tcPr>
          <w:p w14:paraId="5DCEBDEC" w14:textId="77777777" w:rsidR="003176D7" w:rsidRPr="00162969" w:rsidRDefault="003176D7" w:rsidP="003176D7">
            <w:pPr>
              <w:keepNext/>
              <w:widowControl w:val="0"/>
              <w:ind w:left="149"/>
              <w:rPr>
                <w:rFonts w:cs="Arial"/>
                <w:sz w:val="14"/>
                <w:szCs w:val="14"/>
              </w:rPr>
            </w:pPr>
            <w:r w:rsidRPr="00162969">
              <w:rPr>
                <w:sz w:val="14"/>
                <w:szCs w:val="14"/>
              </w:rPr>
              <w:t>Average number of shares outstanding</w:t>
            </w:r>
          </w:p>
        </w:tc>
        <w:tc>
          <w:tcPr>
            <w:tcW w:w="1474" w:type="dxa"/>
            <w:tcBorders>
              <w:top w:val="single" w:sz="8" w:space="0" w:color="0070AD" w:themeColor="accent1"/>
              <w:bottom w:val="single" w:sz="8" w:space="0" w:color="0070AD" w:themeColor="accent1"/>
            </w:tcBorders>
            <w:shd w:val="clear" w:color="auto" w:fill="auto"/>
            <w:vAlign w:val="center"/>
          </w:tcPr>
          <w:p w14:paraId="5F58F0AE" w14:textId="77777777" w:rsidR="003176D7" w:rsidRPr="00162969" w:rsidRDefault="003176D7" w:rsidP="003176D7">
            <w:pPr>
              <w:keepNext/>
              <w:widowControl w:val="0"/>
              <w:jc w:val="center"/>
              <w:rPr>
                <w:rFonts w:cs="Arial"/>
                <w:sz w:val="14"/>
                <w:szCs w:val="14"/>
              </w:rPr>
            </w:pPr>
            <w:r w:rsidRPr="00162969">
              <w:rPr>
                <w:sz w:val="14"/>
                <w:szCs w:val="14"/>
              </w:rPr>
              <w:t>167,323,709</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72163D44" w14:textId="77777777" w:rsidR="003176D7" w:rsidRPr="00162969" w:rsidRDefault="005B6467" w:rsidP="003176D7">
            <w:pPr>
              <w:keepNext/>
              <w:widowControl w:val="0"/>
              <w:jc w:val="center"/>
              <w:rPr>
                <w:rFonts w:cs="Arial"/>
                <w:sz w:val="14"/>
                <w:szCs w:val="14"/>
              </w:rPr>
            </w:pPr>
            <w:r w:rsidRPr="00162969">
              <w:rPr>
                <w:sz w:val="14"/>
                <w:szCs w:val="14"/>
              </w:rPr>
              <w:t>165,843,357</w:t>
            </w:r>
          </w:p>
        </w:tc>
        <w:tc>
          <w:tcPr>
            <w:tcW w:w="1134" w:type="dxa"/>
            <w:tcBorders>
              <w:top w:val="single" w:sz="8" w:space="0" w:color="0070AD" w:themeColor="accent1"/>
              <w:bottom w:val="single" w:sz="8" w:space="0" w:color="0070AD" w:themeColor="accent1"/>
            </w:tcBorders>
            <w:shd w:val="clear" w:color="auto" w:fill="auto"/>
            <w:vAlign w:val="center"/>
          </w:tcPr>
          <w:p w14:paraId="5A3955C8" w14:textId="77777777" w:rsidR="003176D7" w:rsidRPr="00162969" w:rsidRDefault="003176D7" w:rsidP="003176D7">
            <w:pPr>
              <w:keepNext/>
              <w:widowControl w:val="0"/>
              <w:jc w:val="center"/>
              <w:rPr>
                <w:rFonts w:cs="Arial"/>
                <w:sz w:val="14"/>
                <w:szCs w:val="14"/>
              </w:rPr>
            </w:pPr>
          </w:p>
        </w:tc>
      </w:tr>
      <w:tr w:rsidR="003176D7" w:rsidRPr="00162969" w14:paraId="26D2714D" w14:textId="77777777" w:rsidTr="00944C01">
        <w:trPr>
          <w:trHeight w:val="227"/>
          <w:jc w:val="center"/>
        </w:trPr>
        <w:tc>
          <w:tcPr>
            <w:tcW w:w="5998" w:type="dxa"/>
            <w:tcBorders>
              <w:top w:val="single" w:sz="8" w:space="0" w:color="0070AD" w:themeColor="accent1"/>
              <w:bottom w:val="single" w:sz="8" w:space="0" w:color="0070AD" w:themeColor="accent1"/>
            </w:tcBorders>
            <w:vAlign w:val="center"/>
          </w:tcPr>
          <w:p w14:paraId="6F33AC0B" w14:textId="77777777" w:rsidR="003176D7" w:rsidRPr="00162969" w:rsidRDefault="003176D7" w:rsidP="003176D7">
            <w:pPr>
              <w:keepNext/>
              <w:widowControl w:val="0"/>
              <w:rPr>
                <w:rFonts w:cs="Arial"/>
                <w:b/>
                <w:caps/>
                <w:color w:val="0070AD" w:themeColor="accent1"/>
                <w:sz w:val="14"/>
                <w:szCs w:val="14"/>
              </w:rPr>
            </w:pPr>
            <w:r w:rsidRPr="00162969">
              <w:rPr>
                <w:b/>
                <w:color w:val="0070AD" w:themeColor="accent1"/>
                <w:sz w:val="14"/>
                <w:szCs w:val="14"/>
              </w:rPr>
              <w:t>Basic earnings per share (in euros)</w:t>
            </w:r>
          </w:p>
        </w:tc>
        <w:tc>
          <w:tcPr>
            <w:tcW w:w="1474" w:type="dxa"/>
            <w:tcBorders>
              <w:top w:val="single" w:sz="8" w:space="0" w:color="0070AD" w:themeColor="accent1"/>
              <w:bottom w:val="single" w:sz="8" w:space="0" w:color="0070AD" w:themeColor="accent1"/>
            </w:tcBorders>
            <w:shd w:val="clear" w:color="auto" w:fill="auto"/>
            <w:vAlign w:val="center"/>
          </w:tcPr>
          <w:p w14:paraId="2C5C01FB" w14:textId="77777777" w:rsidR="003176D7" w:rsidRPr="00162969" w:rsidRDefault="003176D7" w:rsidP="003176D7">
            <w:pPr>
              <w:keepNext/>
              <w:ind w:left="-170" w:right="397"/>
              <w:jc w:val="right"/>
              <w:rPr>
                <w:rFonts w:cs="Arial"/>
                <w:b/>
                <w:color w:val="0070AD" w:themeColor="accent1"/>
                <w:sz w:val="14"/>
                <w:szCs w:val="14"/>
              </w:rPr>
            </w:pPr>
            <w:r w:rsidRPr="00162969">
              <w:rPr>
                <w:b/>
                <w:color w:val="0070AD" w:themeColor="accent1"/>
                <w:sz w:val="14"/>
                <w:szCs w:val="14"/>
              </w:rPr>
              <w:t>1.88</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60C4C7E2" w14:textId="77777777" w:rsidR="003176D7" w:rsidRPr="00162969" w:rsidRDefault="005B6467" w:rsidP="003176D7">
            <w:pPr>
              <w:keepNext/>
              <w:ind w:left="-170" w:right="397"/>
              <w:jc w:val="right"/>
              <w:rPr>
                <w:rFonts w:cs="Arial"/>
                <w:b/>
                <w:color w:val="0070AD" w:themeColor="accent1"/>
                <w:sz w:val="14"/>
                <w:szCs w:val="14"/>
              </w:rPr>
            </w:pPr>
            <w:r w:rsidRPr="00162969">
              <w:rPr>
                <w:b/>
                <w:color w:val="0070AD" w:themeColor="accent1"/>
                <w:sz w:val="14"/>
                <w:szCs w:val="14"/>
              </w:rPr>
              <w:t>2.34</w:t>
            </w:r>
          </w:p>
        </w:tc>
        <w:tc>
          <w:tcPr>
            <w:tcW w:w="1134" w:type="dxa"/>
            <w:tcBorders>
              <w:top w:val="single" w:sz="8" w:space="0" w:color="0070AD" w:themeColor="accent1"/>
              <w:bottom w:val="single" w:sz="8" w:space="0" w:color="0070AD" w:themeColor="accent1"/>
            </w:tcBorders>
            <w:shd w:val="clear" w:color="auto" w:fill="auto"/>
            <w:vAlign w:val="center"/>
          </w:tcPr>
          <w:p w14:paraId="783510CD" w14:textId="77777777" w:rsidR="003176D7" w:rsidRPr="00162969" w:rsidRDefault="005B6467" w:rsidP="003176D7">
            <w:pPr>
              <w:keepNext/>
              <w:widowControl w:val="0"/>
              <w:jc w:val="center"/>
              <w:rPr>
                <w:rFonts w:cs="Arial"/>
                <w:b/>
                <w:color w:val="0070AD" w:themeColor="accent1"/>
                <w:sz w:val="14"/>
                <w:szCs w:val="14"/>
              </w:rPr>
            </w:pPr>
            <w:r w:rsidRPr="00162969">
              <w:rPr>
                <w:b/>
                <w:color w:val="0070AD" w:themeColor="accent1"/>
                <w:sz w:val="14"/>
                <w:szCs w:val="14"/>
              </w:rPr>
              <w:t>+24%</w:t>
            </w:r>
          </w:p>
        </w:tc>
      </w:tr>
      <w:tr w:rsidR="003176D7" w:rsidRPr="00162969" w14:paraId="63C5A981" w14:textId="77777777" w:rsidTr="00944C01">
        <w:trPr>
          <w:trHeight w:val="227"/>
          <w:jc w:val="center"/>
        </w:trPr>
        <w:tc>
          <w:tcPr>
            <w:tcW w:w="5998" w:type="dxa"/>
            <w:tcBorders>
              <w:top w:val="single" w:sz="8" w:space="0" w:color="0070AD" w:themeColor="accent1"/>
              <w:bottom w:val="single" w:sz="8" w:space="0" w:color="0070AD" w:themeColor="accent1"/>
            </w:tcBorders>
            <w:vAlign w:val="center"/>
          </w:tcPr>
          <w:p w14:paraId="72514EF1" w14:textId="77777777" w:rsidR="003176D7" w:rsidRPr="00162969" w:rsidRDefault="003176D7" w:rsidP="003176D7">
            <w:pPr>
              <w:keepNext/>
              <w:widowControl w:val="0"/>
              <w:ind w:left="149"/>
              <w:rPr>
                <w:rFonts w:cs="Arial"/>
                <w:sz w:val="14"/>
                <w:szCs w:val="14"/>
              </w:rPr>
            </w:pPr>
            <w:r w:rsidRPr="00162969">
              <w:rPr>
                <w:sz w:val="14"/>
                <w:szCs w:val="14"/>
              </w:rPr>
              <w:t>Diluted average number of shares outstanding</w:t>
            </w:r>
          </w:p>
        </w:tc>
        <w:tc>
          <w:tcPr>
            <w:tcW w:w="1474" w:type="dxa"/>
            <w:tcBorders>
              <w:top w:val="single" w:sz="8" w:space="0" w:color="0070AD" w:themeColor="accent1"/>
              <w:bottom w:val="single" w:sz="8" w:space="0" w:color="0070AD" w:themeColor="accent1"/>
            </w:tcBorders>
            <w:shd w:val="clear" w:color="auto" w:fill="auto"/>
            <w:vAlign w:val="center"/>
          </w:tcPr>
          <w:p w14:paraId="344E67B1" w14:textId="77777777" w:rsidR="003176D7" w:rsidRPr="00162969" w:rsidRDefault="003176D7" w:rsidP="003176D7">
            <w:pPr>
              <w:keepNext/>
              <w:widowControl w:val="0"/>
              <w:jc w:val="center"/>
              <w:rPr>
                <w:rFonts w:cs="Arial"/>
                <w:sz w:val="14"/>
                <w:szCs w:val="14"/>
              </w:rPr>
            </w:pPr>
            <w:r w:rsidRPr="00162969">
              <w:rPr>
                <w:rFonts w:ascii="Verdana" w:hAnsi="Verdana"/>
                <w:sz w:val="14"/>
              </w:rPr>
              <w:t>171,986,730</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3EECB9C2" w14:textId="77777777" w:rsidR="003176D7" w:rsidRPr="00162969" w:rsidRDefault="003176D7" w:rsidP="003176D7">
            <w:pPr>
              <w:keepNext/>
              <w:widowControl w:val="0"/>
              <w:jc w:val="center"/>
              <w:rPr>
                <w:rFonts w:cs="Arial"/>
                <w:sz w:val="14"/>
                <w:szCs w:val="14"/>
              </w:rPr>
            </w:pPr>
            <w:r w:rsidRPr="00162969">
              <w:rPr>
                <w:rFonts w:ascii="Verdana" w:hAnsi="Verdana"/>
                <w:sz w:val="14"/>
              </w:rPr>
              <w:t>170,864,789</w:t>
            </w:r>
          </w:p>
        </w:tc>
        <w:tc>
          <w:tcPr>
            <w:tcW w:w="1134" w:type="dxa"/>
            <w:tcBorders>
              <w:top w:val="single" w:sz="8" w:space="0" w:color="0070AD" w:themeColor="accent1"/>
              <w:bottom w:val="single" w:sz="8" w:space="0" w:color="0070AD" w:themeColor="accent1"/>
            </w:tcBorders>
            <w:shd w:val="clear" w:color="auto" w:fill="auto"/>
            <w:vAlign w:val="center"/>
          </w:tcPr>
          <w:p w14:paraId="1A9F13C2" w14:textId="77777777" w:rsidR="003176D7" w:rsidRPr="00162969" w:rsidRDefault="003176D7" w:rsidP="003176D7">
            <w:pPr>
              <w:keepNext/>
              <w:widowControl w:val="0"/>
              <w:jc w:val="center"/>
              <w:rPr>
                <w:rFonts w:cs="Arial"/>
                <w:sz w:val="14"/>
                <w:szCs w:val="14"/>
              </w:rPr>
            </w:pPr>
          </w:p>
        </w:tc>
      </w:tr>
      <w:tr w:rsidR="003176D7" w:rsidRPr="00162969" w14:paraId="65D83D32" w14:textId="77777777" w:rsidTr="00944C01">
        <w:trPr>
          <w:trHeight w:val="227"/>
          <w:jc w:val="center"/>
        </w:trPr>
        <w:tc>
          <w:tcPr>
            <w:tcW w:w="5998" w:type="dxa"/>
            <w:tcBorders>
              <w:top w:val="single" w:sz="8" w:space="0" w:color="0070AD" w:themeColor="accent1"/>
              <w:bottom w:val="single" w:sz="8" w:space="0" w:color="0070AD" w:themeColor="accent1"/>
            </w:tcBorders>
            <w:vAlign w:val="center"/>
          </w:tcPr>
          <w:p w14:paraId="3104A443" w14:textId="77777777" w:rsidR="003176D7" w:rsidRPr="00162969" w:rsidRDefault="003176D7" w:rsidP="003176D7">
            <w:pPr>
              <w:widowControl w:val="0"/>
              <w:rPr>
                <w:rFonts w:cs="Arial"/>
                <w:b/>
                <w:caps/>
                <w:color w:val="0070AD" w:themeColor="accent1"/>
                <w:sz w:val="14"/>
                <w:szCs w:val="14"/>
              </w:rPr>
            </w:pPr>
            <w:r w:rsidRPr="00162969">
              <w:rPr>
                <w:b/>
                <w:color w:val="0070AD" w:themeColor="accent1"/>
                <w:sz w:val="14"/>
                <w:szCs w:val="14"/>
              </w:rPr>
              <w:t>Diluted earnings per share (in euros)</w:t>
            </w:r>
          </w:p>
        </w:tc>
        <w:tc>
          <w:tcPr>
            <w:tcW w:w="1474" w:type="dxa"/>
            <w:tcBorders>
              <w:top w:val="single" w:sz="8" w:space="0" w:color="0070AD" w:themeColor="accent1"/>
              <w:bottom w:val="single" w:sz="8" w:space="0" w:color="0070AD" w:themeColor="accent1"/>
            </w:tcBorders>
            <w:shd w:val="clear" w:color="auto" w:fill="auto"/>
            <w:vAlign w:val="center"/>
          </w:tcPr>
          <w:p w14:paraId="1A1E757C" w14:textId="77777777" w:rsidR="003176D7" w:rsidRPr="00162969" w:rsidRDefault="003176D7" w:rsidP="003176D7">
            <w:pPr>
              <w:keepNext/>
              <w:ind w:left="-170" w:right="397"/>
              <w:jc w:val="right"/>
              <w:rPr>
                <w:rFonts w:cs="Arial"/>
                <w:b/>
                <w:color w:val="0070AD" w:themeColor="accent1"/>
                <w:sz w:val="14"/>
                <w:szCs w:val="14"/>
              </w:rPr>
            </w:pPr>
            <w:r w:rsidRPr="00162969">
              <w:rPr>
                <w:b/>
                <w:color w:val="0070AD" w:themeColor="accent1"/>
                <w:sz w:val="14"/>
                <w:szCs w:val="14"/>
              </w:rPr>
              <w:t>1.83</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1D8DD30A" w14:textId="77777777" w:rsidR="003176D7" w:rsidRPr="00162969" w:rsidRDefault="005B6467" w:rsidP="003176D7">
            <w:pPr>
              <w:keepNext/>
              <w:ind w:left="-170" w:right="397"/>
              <w:jc w:val="right"/>
              <w:rPr>
                <w:rFonts w:cs="Arial"/>
                <w:b/>
                <w:color w:val="0070AD" w:themeColor="accent1"/>
                <w:sz w:val="14"/>
                <w:szCs w:val="14"/>
              </w:rPr>
            </w:pPr>
            <w:r w:rsidRPr="00162969">
              <w:rPr>
                <w:b/>
                <w:color w:val="0070AD" w:themeColor="accent1"/>
                <w:sz w:val="14"/>
                <w:szCs w:val="14"/>
              </w:rPr>
              <w:t>2.27</w:t>
            </w:r>
          </w:p>
        </w:tc>
        <w:tc>
          <w:tcPr>
            <w:tcW w:w="1134" w:type="dxa"/>
            <w:tcBorders>
              <w:top w:val="single" w:sz="8" w:space="0" w:color="0070AD" w:themeColor="accent1"/>
              <w:bottom w:val="single" w:sz="8" w:space="0" w:color="0070AD" w:themeColor="accent1"/>
            </w:tcBorders>
            <w:shd w:val="clear" w:color="auto" w:fill="auto"/>
            <w:vAlign w:val="center"/>
          </w:tcPr>
          <w:p w14:paraId="64E5FAED" w14:textId="77777777" w:rsidR="003176D7" w:rsidRPr="00162969" w:rsidRDefault="005B6467" w:rsidP="003176D7">
            <w:pPr>
              <w:widowControl w:val="0"/>
              <w:jc w:val="center"/>
              <w:rPr>
                <w:rFonts w:cs="Arial"/>
                <w:b/>
                <w:color w:val="0070AD" w:themeColor="accent1"/>
                <w:sz w:val="14"/>
                <w:szCs w:val="14"/>
              </w:rPr>
            </w:pPr>
            <w:r w:rsidRPr="00162969">
              <w:rPr>
                <w:b/>
                <w:color w:val="0070AD" w:themeColor="accent1"/>
                <w:sz w:val="14"/>
                <w:szCs w:val="14"/>
              </w:rPr>
              <w:t>+24%</w:t>
            </w:r>
          </w:p>
        </w:tc>
      </w:tr>
      <w:tr w:rsidR="00170B33" w:rsidRPr="00162969" w14:paraId="7D88D8A1" w14:textId="77777777" w:rsidTr="00944C01">
        <w:trPr>
          <w:trHeight w:val="227"/>
          <w:jc w:val="center"/>
        </w:trPr>
        <w:tc>
          <w:tcPr>
            <w:tcW w:w="5998" w:type="dxa"/>
            <w:tcBorders>
              <w:top w:val="single" w:sz="8" w:space="0" w:color="0070AD" w:themeColor="accent1"/>
            </w:tcBorders>
            <w:shd w:val="clear" w:color="auto" w:fill="auto"/>
            <w:vAlign w:val="center"/>
          </w:tcPr>
          <w:p w14:paraId="33B0A4F8" w14:textId="77777777" w:rsidR="00170B33" w:rsidRPr="00162969" w:rsidRDefault="00170B33" w:rsidP="00E178EA">
            <w:pPr>
              <w:widowControl w:val="0"/>
              <w:rPr>
                <w:rFonts w:cs="Arial"/>
                <w:b/>
                <w:color w:val="0070AD" w:themeColor="accent1"/>
                <w:sz w:val="14"/>
                <w:szCs w:val="14"/>
              </w:rPr>
            </w:pPr>
          </w:p>
        </w:tc>
        <w:tc>
          <w:tcPr>
            <w:tcW w:w="1474" w:type="dxa"/>
            <w:tcBorders>
              <w:top w:val="single" w:sz="8" w:space="0" w:color="0070AD" w:themeColor="accent1"/>
            </w:tcBorders>
            <w:shd w:val="clear" w:color="auto" w:fill="auto"/>
            <w:vAlign w:val="center"/>
          </w:tcPr>
          <w:p w14:paraId="1AB596F6" w14:textId="77777777" w:rsidR="00170B33" w:rsidRPr="00162969" w:rsidRDefault="00170B33" w:rsidP="00E178EA">
            <w:pPr>
              <w:widowControl w:val="0"/>
              <w:ind w:left="-170" w:right="567"/>
              <w:jc w:val="right"/>
              <w:rPr>
                <w:rFonts w:cs="Arial"/>
                <w:b/>
                <w:color w:val="0070AD" w:themeColor="accent1"/>
                <w:sz w:val="14"/>
                <w:szCs w:val="14"/>
              </w:rPr>
            </w:pPr>
          </w:p>
        </w:tc>
        <w:tc>
          <w:tcPr>
            <w:tcW w:w="1474" w:type="dxa"/>
            <w:tcBorders>
              <w:top w:val="single" w:sz="8" w:space="0" w:color="0070AD" w:themeColor="accent1"/>
            </w:tcBorders>
            <w:shd w:val="clear" w:color="auto" w:fill="auto"/>
            <w:vAlign w:val="center"/>
          </w:tcPr>
          <w:p w14:paraId="436D1F2D" w14:textId="77777777" w:rsidR="00170B33" w:rsidRPr="00162969" w:rsidRDefault="00170B33" w:rsidP="00E178EA">
            <w:pPr>
              <w:widowControl w:val="0"/>
              <w:ind w:left="-170" w:right="567"/>
              <w:jc w:val="right"/>
              <w:rPr>
                <w:rFonts w:cs="Arial"/>
                <w:b/>
                <w:color w:val="0070AD" w:themeColor="accent1"/>
                <w:sz w:val="14"/>
                <w:szCs w:val="14"/>
              </w:rPr>
            </w:pPr>
          </w:p>
        </w:tc>
        <w:tc>
          <w:tcPr>
            <w:tcW w:w="1134" w:type="dxa"/>
            <w:tcBorders>
              <w:top w:val="single" w:sz="8" w:space="0" w:color="0070AD" w:themeColor="accent1"/>
            </w:tcBorders>
            <w:shd w:val="clear" w:color="auto" w:fill="auto"/>
            <w:vAlign w:val="center"/>
          </w:tcPr>
          <w:p w14:paraId="4C51E9F2" w14:textId="77777777" w:rsidR="00170B33" w:rsidRPr="00162969" w:rsidRDefault="00170B33" w:rsidP="00E178EA">
            <w:pPr>
              <w:widowControl w:val="0"/>
              <w:jc w:val="center"/>
              <w:rPr>
                <w:rFonts w:cs="Arial"/>
                <w:b/>
                <w:color w:val="0070AD" w:themeColor="accent1"/>
                <w:sz w:val="14"/>
                <w:szCs w:val="14"/>
              </w:rPr>
            </w:pPr>
          </w:p>
        </w:tc>
      </w:tr>
      <w:tr w:rsidR="00745FC2" w:rsidRPr="00162969" w14:paraId="779F98CD" w14:textId="77777777" w:rsidTr="00944C01">
        <w:trPr>
          <w:trHeight w:val="284"/>
          <w:jc w:val="center"/>
        </w:trPr>
        <w:tc>
          <w:tcPr>
            <w:tcW w:w="5998" w:type="dxa"/>
            <w:tcBorders>
              <w:bottom w:val="single" w:sz="8" w:space="0" w:color="0070AD" w:themeColor="accent1"/>
            </w:tcBorders>
            <w:vAlign w:val="center"/>
          </w:tcPr>
          <w:p w14:paraId="05EB9207" w14:textId="77777777" w:rsidR="00745FC2" w:rsidRPr="00162969" w:rsidRDefault="00745FC2" w:rsidP="00745FC2">
            <w:pPr>
              <w:keepNext/>
              <w:widowControl w:val="0"/>
              <w:jc w:val="center"/>
              <w:rPr>
                <w:rFonts w:cs="Arial"/>
                <w:i/>
                <w:sz w:val="14"/>
                <w:szCs w:val="14"/>
              </w:rPr>
            </w:pPr>
            <w:r w:rsidRPr="00162969">
              <w:rPr>
                <w:i/>
                <w:sz w:val="14"/>
                <w:szCs w:val="14"/>
              </w:rPr>
              <w:t>(In millions of euros)</w:t>
            </w:r>
          </w:p>
        </w:tc>
        <w:tc>
          <w:tcPr>
            <w:tcW w:w="1474" w:type="dxa"/>
            <w:tcBorders>
              <w:bottom w:val="single" w:sz="8" w:space="0" w:color="0070AD" w:themeColor="accent1"/>
            </w:tcBorders>
            <w:vAlign w:val="center"/>
          </w:tcPr>
          <w:p w14:paraId="394DBBA2" w14:textId="77777777" w:rsidR="00745FC2" w:rsidRPr="00162969" w:rsidRDefault="00745FC2" w:rsidP="002F2D6A">
            <w:pPr>
              <w:keepNext/>
              <w:jc w:val="center"/>
              <w:rPr>
                <w:rFonts w:cs="Arial"/>
                <w:b/>
                <w:sz w:val="14"/>
                <w:szCs w:val="14"/>
              </w:rPr>
            </w:pPr>
            <w:r w:rsidRPr="00162969">
              <w:rPr>
                <w:rFonts w:ascii="Verdana" w:hAnsi="Verdana"/>
                <w:b/>
                <w:sz w:val="14"/>
                <w:szCs w:val="16"/>
              </w:rPr>
              <w:t>H1 2018</w:t>
            </w:r>
          </w:p>
        </w:tc>
        <w:tc>
          <w:tcPr>
            <w:tcW w:w="1474" w:type="dxa"/>
            <w:tcBorders>
              <w:bottom w:val="single" w:sz="8" w:space="0" w:color="0070AD" w:themeColor="accent1"/>
            </w:tcBorders>
            <w:shd w:val="clear" w:color="auto" w:fill="BBE7FF" w:themeFill="accent1" w:themeFillTint="33"/>
            <w:vAlign w:val="center"/>
          </w:tcPr>
          <w:p w14:paraId="76240C51" w14:textId="77777777" w:rsidR="00745FC2" w:rsidRPr="00162969" w:rsidRDefault="00745FC2" w:rsidP="00745FC2">
            <w:pPr>
              <w:keepNext/>
              <w:jc w:val="center"/>
              <w:rPr>
                <w:rFonts w:ascii="Verdana" w:hAnsi="Verdana" w:cs="Arial"/>
                <w:b/>
                <w:sz w:val="14"/>
                <w:szCs w:val="16"/>
              </w:rPr>
            </w:pPr>
            <w:r w:rsidRPr="00162969">
              <w:rPr>
                <w:rFonts w:ascii="Verdana" w:hAnsi="Verdana"/>
                <w:b/>
                <w:sz w:val="14"/>
                <w:szCs w:val="16"/>
              </w:rPr>
              <w:t>H1 2019</w:t>
            </w:r>
          </w:p>
          <w:p w14:paraId="5FF970CA" w14:textId="77777777" w:rsidR="00745FC2" w:rsidRPr="00162969" w:rsidRDefault="00745FC2" w:rsidP="00745FC2">
            <w:pPr>
              <w:keepNext/>
              <w:widowControl w:val="0"/>
              <w:jc w:val="center"/>
              <w:rPr>
                <w:rFonts w:cs="Arial"/>
                <w:b/>
                <w:sz w:val="14"/>
                <w:szCs w:val="14"/>
              </w:rPr>
            </w:pPr>
            <w:r w:rsidRPr="00162969">
              <w:rPr>
                <w:bCs/>
                <w:sz w:val="14"/>
                <w:szCs w:val="14"/>
              </w:rPr>
              <w:t>(IFRS 16)</w:t>
            </w:r>
          </w:p>
        </w:tc>
        <w:tc>
          <w:tcPr>
            <w:tcW w:w="1134" w:type="dxa"/>
            <w:tcBorders>
              <w:bottom w:val="single" w:sz="8" w:space="0" w:color="0070AD" w:themeColor="accent1"/>
            </w:tcBorders>
            <w:shd w:val="clear" w:color="auto" w:fill="auto"/>
            <w:vAlign w:val="center"/>
          </w:tcPr>
          <w:p w14:paraId="7F68EED7" w14:textId="77777777" w:rsidR="00745FC2" w:rsidRPr="00162969" w:rsidRDefault="00745FC2" w:rsidP="00745FC2">
            <w:pPr>
              <w:keepNext/>
              <w:widowControl w:val="0"/>
              <w:jc w:val="center"/>
              <w:rPr>
                <w:rFonts w:cs="Arial"/>
                <w:b/>
                <w:i/>
                <w:sz w:val="14"/>
                <w:szCs w:val="14"/>
              </w:rPr>
            </w:pPr>
            <w:r w:rsidRPr="00162969">
              <w:rPr>
                <w:b/>
                <w:i/>
                <w:sz w:val="14"/>
                <w:szCs w:val="14"/>
              </w:rPr>
              <w:t>Change</w:t>
            </w:r>
          </w:p>
        </w:tc>
      </w:tr>
      <w:tr w:rsidR="003176D7" w:rsidRPr="00162969" w14:paraId="418BA632" w14:textId="77777777" w:rsidTr="00944C01">
        <w:trPr>
          <w:trHeight w:val="227"/>
          <w:jc w:val="center"/>
        </w:trPr>
        <w:tc>
          <w:tcPr>
            <w:tcW w:w="5998" w:type="dxa"/>
            <w:tcBorders>
              <w:top w:val="single" w:sz="8" w:space="0" w:color="0070AD" w:themeColor="accent1"/>
              <w:bottom w:val="single" w:sz="8" w:space="0" w:color="0070AD" w:themeColor="accent1"/>
            </w:tcBorders>
            <w:vAlign w:val="center"/>
          </w:tcPr>
          <w:p w14:paraId="40B5E37D" w14:textId="77777777" w:rsidR="003176D7" w:rsidRPr="00162969" w:rsidRDefault="003176D7" w:rsidP="00801C65">
            <w:pPr>
              <w:keepNext/>
              <w:widowControl w:val="0"/>
              <w:rPr>
                <w:rFonts w:cs="Arial"/>
                <w:b/>
                <w:color w:val="0070AD" w:themeColor="accent1"/>
                <w:sz w:val="14"/>
                <w:szCs w:val="14"/>
              </w:rPr>
            </w:pPr>
            <w:r w:rsidRPr="00162969">
              <w:rPr>
                <w:b/>
                <w:color w:val="0070AD" w:themeColor="accent1"/>
                <w:sz w:val="14"/>
                <w:szCs w:val="14"/>
              </w:rPr>
              <w:t xml:space="preserve">Profit for the </w:t>
            </w:r>
            <w:r w:rsidR="00801C65" w:rsidRPr="00162969">
              <w:rPr>
                <w:b/>
                <w:color w:val="0070AD" w:themeColor="accent1"/>
                <w:sz w:val="14"/>
                <w:szCs w:val="14"/>
              </w:rPr>
              <w:t>period</w:t>
            </w:r>
            <w:r w:rsidRPr="00162969">
              <w:rPr>
                <w:b/>
                <w:color w:val="0070AD" w:themeColor="accent1"/>
                <w:sz w:val="14"/>
                <w:szCs w:val="14"/>
              </w:rPr>
              <w:t>, Group share</w:t>
            </w:r>
          </w:p>
        </w:tc>
        <w:tc>
          <w:tcPr>
            <w:tcW w:w="1474" w:type="dxa"/>
            <w:tcBorders>
              <w:top w:val="single" w:sz="8" w:space="0" w:color="0070AD" w:themeColor="accent1"/>
              <w:bottom w:val="single" w:sz="8" w:space="0" w:color="0070AD" w:themeColor="accent1"/>
            </w:tcBorders>
            <w:shd w:val="clear" w:color="auto" w:fill="auto"/>
            <w:vAlign w:val="center"/>
          </w:tcPr>
          <w:p w14:paraId="1CE5055C" w14:textId="77777777" w:rsidR="003176D7" w:rsidRPr="00162969" w:rsidRDefault="003176D7" w:rsidP="003176D7">
            <w:pPr>
              <w:keepNext/>
              <w:ind w:left="-170" w:right="397"/>
              <w:jc w:val="right"/>
              <w:rPr>
                <w:rFonts w:cs="Arial"/>
                <w:b/>
                <w:color w:val="0070AD" w:themeColor="accent1"/>
                <w:sz w:val="14"/>
                <w:szCs w:val="14"/>
              </w:rPr>
            </w:pPr>
            <w:r w:rsidRPr="00162969">
              <w:rPr>
                <w:rFonts w:ascii="Verdana" w:hAnsi="Verdana"/>
                <w:b/>
                <w:color w:val="0070AD" w:themeColor="accent1"/>
                <w:sz w:val="14"/>
              </w:rPr>
              <w:t>314</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190B50D3" w14:textId="77777777" w:rsidR="003176D7" w:rsidRPr="00162969" w:rsidRDefault="000163CF" w:rsidP="003176D7">
            <w:pPr>
              <w:keepNext/>
              <w:ind w:left="-170" w:right="397"/>
              <w:jc w:val="right"/>
              <w:rPr>
                <w:rFonts w:cs="Arial"/>
                <w:b/>
                <w:color w:val="0070AD" w:themeColor="accent1"/>
                <w:sz w:val="14"/>
                <w:szCs w:val="14"/>
              </w:rPr>
            </w:pPr>
            <w:r w:rsidRPr="00162969">
              <w:rPr>
                <w:rFonts w:ascii="Verdana" w:hAnsi="Verdana"/>
                <w:b/>
                <w:color w:val="0070AD" w:themeColor="accent1"/>
                <w:sz w:val="14"/>
              </w:rPr>
              <w:t>388</w:t>
            </w:r>
          </w:p>
        </w:tc>
        <w:tc>
          <w:tcPr>
            <w:tcW w:w="1134" w:type="dxa"/>
            <w:tcBorders>
              <w:top w:val="single" w:sz="8" w:space="0" w:color="0070AD" w:themeColor="accent1"/>
              <w:bottom w:val="single" w:sz="8" w:space="0" w:color="0070AD" w:themeColor="accent1"/>
            </w:tcBorders>
            <w:shd w:val="clear" w:color="auto" w:fill="auto"/>
            <w:vAlign w:val="center"/>
          </w:tcPr>
          <w:p w14:paraId="62285D2E" w14:textId="77777777" w:rsidR="003176D7" w:rsidRPr="00162969" w:rsidRDefault="000163CF" w:rsidP="003176D7">
            <w:pPr>
              <w:keepNext/>
              <w:widowControl w:val="0"/>
              <w:jc w:val="center"/>
              <w:rPr>
                <w:rFonts w:cs="Arial"/>
                <w:b/>
                <w:color w:val="0070AD" w:themeColor="accent1"/>
                <w:sz w:val="14"/>
                <w:szCs w:val="14"/>
              </w:rPr>
            </w:pPr>
            <w:r w:rsidRPr="00162969">
              <w:rPr>
                <w:b/>
                <w:color w:val="0070AD" w:themeColor="accent1"/>
                <w:sz w:val="14"/>
                <w:szCs w:val="14"/>
              </w:rPr>
              <w:t>+23%</w:t>
            </w:r>
          </w:p>
        </w:tc>
      </w:tr>
      <w:tr w:rsidR="003176D7" w:rsidRPr="00162969" w14:paraId="1D4AE347" w14:textId="77777777" w:rsidTr="00944C01">
        <w:trPr>
          <w:trHeight w:val="227"/>
          <w:jc w:val="center"/>
        </w:trPr>
        <w:tc>
          <w:tcPr>
            <w:tcW w:w="5998" w:type="dxa"/>
            <w:tcBorders>
              <w:top w:val="single" w:sz="8" w:space="0" w:color="0070AD" w:themeColor="accent1"/>
            </w:tcBorders>
            <w:vAlign w:val="center"/>
          </w:tcPr>
          <w:p w14:paraId="2573A901" w14:textId="77777777" w:rsidR="003176D7" w:rsidRPr="00162969" w:rsidRDefault="003176D7" w:rsidP="003176D7">
            <w:pPr>
              <w:keepNext/>
              <w:widowControl w:val="0"/>
              <w:ind w:left="149"/>
              <w:rPr>
                <w:rFonts w:cs="Arial"/>
                <w:sz w:val="14"/>
                <w:szCs w:val="14"/>
              </w:rPr>
            </w:pPr>
            <w:r w:rsidRPr="00162969">
              <w:rPr>
                <w:sz w:val="14"/>
                <w:szCs w:val="14"/>
              </w:rPr>
              <w:t>Effective tax rate, excluding transitional tax expense</w:t>
            </w:r>
          </w:p>
        </w:tc>
        <w:tc>
          <w:tcPr>
            <w:tcW w:w="1474" w:type="dxa"/>
            <w:tcBorders>
              <w:top w:val="single" w:sz="8" w:space="0" w:color="0070AD" w:themeColor="accent1"/>
            </w:tcBorders>
            <w:shd w:val="clear" w:color="auto" w:fill="auto"/>
            <w:vAlign w:val="center"/>
          </w:tcPr>
          <w:p w14:paraId="612740DC" w14:textId="77777777" w:rsidR="003176D7" w:rsidRPr="00162969" w:rsidRDefault="003176D7" w:rsidP="003176D7">
            <w:pPr>
              <w:keepNext/>
              <w:ind w:left="-170" w:right="397"/>
              <w:jc w:val="right"/>
              <w:rPr>
                <w:rFonts w:cs="Arial"/>
                <w:sz w:val="14"/>
                <w:szCs w:val="14"/>
              </w:rPr>
            </w:pPr>
            <w:r w:rsidRPr="00162969">
              <w:rPr>
                <w:rFonts w:ascii="Verdana" w:hAnsi="Verdana"/>
                <w:sz w:val="14"/>
              </w:rPr>
              <w:t>31.4%</w:t>
            </w:r>
          </w:p>
        </w:tc>
        <w:tc>
          <w:tcPr>
            <w:tcW w:w="1474" w:type="dxa"/>
            <w:tcBorders>
              <w:top w:val="single" w:sz="8" w:space="0" w:color="0070AD" w:themeColor="accent1"/>
            </w:tcBorders>
            <w:shd w:val="clear" w:color="auto" w:fill="BBE7FF" w:themeFill="accent1" w:themeFillTint="33"/>
            <w:vAlign w:val="center"/>
          </w:tcPr>
          <w:p w14:paraId="39F02C49" w14:textId="77777777" w:rsidR="003176D7" w:rsidRPr="00162969" w:rsidRDefault="003176D7" w:rsidP="003176D7">
            <w:pPr>
              <w:keepNext/>
              <w:ind w:left="-170" w:right="397"/>
              <w:jc w:val="right"/>
              <w:rPr>
                <w:rFonts w:cs="Arial"/>
                <w:sz w:val="14"/>
                <w:szCs w:val="14"/>
              </w:rPr>
            </w:pPr>
            <w:r w:rsidRPr="00162969">
              <w:rPr>
                <w:rFonts w:ascii="Verdana" w:hAnsi="Verdana"/>
                <w:sz w:val="14"/>
              </w:rPr>
              <w:t>32.6%</w:t>
            </w:r>
          </w:p>
        </w:tc>
        <w:tc>
          <w:tcPr>
            <w:tcW w:w="1134" w:type="dxa"/>
            <w:tcBorders>
              <w:top w:val="single" w:sz="8" w:space="0" w:color="0070AD" w:themeColor="accent1"/>
            </w:tcBorders>
            <w:shd w:val="clear" w:color="auto" w:fill="auto"/>
            <w:vAlign w:val="center"/>
          </w:tcPr>
          <w:p w14:paraId="4DDFC9BB" w14:textId="77777777" w:rsidR="003176D7" w:rsidRPr="00162969" w:rsidRDefault="003176D7" w:rsidP="003176D7">
            <w:pPr>
              <w:keepNext/>
              <w:widowControl w:val="0"/>
              <w:jc w:val="center"/>
              <w:rPr>
                <w:rFonts w:cs="Arial"/>
                <w:sz w:val="14"/>
                <w:szCs w:val="14"/>
              </w:rPr>
            </w:pPr>
          </w:p>
        </w:tc>
      </w:tr>
      <w:tr w:rsidR="003176D7" w:rsidRPr="00162969" w14:paraId="1849EE2F" w14:textId="77777777" w:rsidTr="00944C01">
        <w:trPr>
          <w:trHeight w:val="227"/>
          <w:jc w:val="center"/>
        </w:trPr>
        <w:tc>
          <w:tcPr>
            <w:tcW w:w="5998" w:type="dxa"/>
            <w:tcBorders>
              <w:bottom w:val="single" w:sz="8" w:space="0" w:color="0070AD" w:themeColor="accent1"/>
            </w:tcBorders>
            <w:vAlign w:val="center"/>
          </w:tcPr>
          <w:p w14:paraId="5CFDD430" w14:textId="77777777" w:rsidR="003176D7" w:rsidRPr="00162969" w:rsidRDefault="003176D7" w:rsidP="003176D7">
            <w:pPr>
              <w:keepNext/>
              <w:widowControl w:val="0"/>
              <w:ind w:left="149"/>
              <w:rPr>
                <w:rFonts w:cs="Arial"/>
                <w:sz w:val="14"/>
                <w:szCs w:val="14"/>
              </w:rPr>
            </w:pPr>
            <w:r w:rsidRPr="00162969">
              <w:rPr>
                <w:sz w:val="14"/>
                <w:szCs w:val="14"/>
              </w:rPr>
              <w:t>(-) Other operating income and expenses, net of tax</w:t>
            </w:r>
          </w:p>
        </w:tc>
        <w:tc>
          <w:tcPr>
            <w:tcW w:w="1474" w:type="dxa"/>
            <w:tcBorders>
              <w:bottom w:val="single" w:sz="8" w:space="0" w:color="0070AD" w:themeColor="accent1"/>
            </w:tcBorders>
            <w:shd w:val="clear" w:color="auto" w:fill="auto"/>
            <w:vAlign w:val="center"/>
          </w:tcPr>
          <w:p w14:paraId="10C21486" w14:textId="77777777" w:rsidR="003176D7" w:rsidRPr="00162969" w:rsidRDefault="003176D7" w:rsidP="003176D7">
            <w:pPr>
              <w:keepNext/>
              <w:ind w:left="-170" w:right="397"/>
              <w:jc w:val="right"/>
              <w:rPr>
                <w:rFonts w:cs="Arial"/>
                <w:sz w:val="14"/>
                <w:szCs w:val="14"/>
              </w:rPr>
            </w:pPr>
            <w:r w:rsidRPr="00162969">
              <w:rPr>
                <w:rFonts w:ascii="Verdana" w:hAnsi="Verdana"/>
                <w:sz w:val="14"/>
              </w:rPr>
              <w:t>128</w:t>
            </w:r>
          </w:p>
        </w:tc>
        <w:tc>
          <w:tcPr>
            <w:tcW w:w="1474" w:type="dxa"/>
            <w:tcBorders>
              <w:bottom w:val="single" w:sz="8" w:space="0" w:color="0070AD" w:themeColor="accent1"/>
            </w:tcBorders>
            <w:shd w:val="clear" w:color="auto" w:fill="BBE7FF" w:themeFill="accent1" w:themeFillTint="33"/>
            <w:vAlign w:val="center"/>
          </w:tcPr>
          <w:p w14:paraId="009A1F6B" w14:textId="77777777" w:rsidR="003176D7" w:rsidRPr="00162969" w:rsidRDefault="000163CF" w:rsidP="003176D7">
            <w:pPr>
              <w:keepNext/>
              <w:ind w:left="-170" w:right="397"/>
              <w:jc w:val="right"/>
              <w:rPr>
                <w:rFonts w:cs="Arial"/>
                <w:sz w:val="14"/>
                <w:szCs w:val="14"/>
              </w:rPr>
            </w:pPr>
            <w:r w:rsidRPr="00162969">
              <w:rPr>
                <w:rFonts w:ascii="Verdana" w:hAnsi="Verdana"/>
                <w:sz w:val="14"/>
              </w:rPr>
              <w:t>93</w:t>
            </w:r>
          </w:p>
        </w:tc>
        <w:tc>
          <w:tcPr>
            <w:tcW w:w="1134" w:type="dxa"/>
            <w:tcBorders>
              <w:bottom w:val="single" w:sz="8" w:space="0" w:color="0070AD" w:themeColor="accent1"/>
            </w:tcBorders>
            <w:shd w:val="clear" w:color="auto" w:fill="auto"/>
            <w:vAlign w:val="center"/>
          </w:tcPr>
          <w:p w14:paraId="33B3EAF8" w14:textId="77777777" w:rsidR="003176D7" w:rsidRPr="00162969" w:rsidRDefault="003176D7" w:rsidP="003176D7">
            <w:pPr>
              <w:keepNext/>
              <w:widowControl w:val="0"/>
              <w:jc w:val="center"/>
              <w:rPr>
                <w:rFonts w:cs="Arial"/>
                <w:sz w:val="14"/>
                <w:szCs w:val="14"/>
              </w:rPr>
            </w:pPr>
          </w:p>
        </w:tc>
      </w:tr>
      <w:tr w:rsidR="003176D7" w:rsidRPr="00162969" w14:paraId="095E0C20" w14:textId="77777777" w:rsidTr="00944C01">
        <w:trPr>
          <w:trHeight w:val="227"/>
          <w:jc w:val="center"/>
        </w:trPr>
        <w:tc>
          <w:tcPr>
            <w:tcW w:w="5998" w:type="dxa"/>
            <w:tcBorders>
              <w:top w:val="single" w:sz="8" w:space="0" w:color="0070AD" w:themeColor="accent1"/>
              <w:bottom w:val="single" w:sz="8" w:space="0" w:color="0070AD" w:themeColor="accent1"/>
            </w:tcBorders>
            <w:vAlign w:val="center"/>
          </w:tcPr>
          <w:p w14:paraId="674347FE" w14:textId="77777777" w:rsidR="003176D7" w:rsidRPr="00162969" w:rsidRDefault="003176D7" w:rsidP="00801C65">
            <w:pPr>
              <w:keepNext/>
              <w:widowControl w:val="0"/>
              <w:rPr>
                <w:rFonts w:cs="Arial"/>
                <w:b/>
                <w:color w:val="0070AD" w:themeColor="accent1"/>
                <w:sz w:val="14"/>
                <w:szCs w:val="14"/>
              </w:rPr>
            </w:pPr>
            <w:r w:rsidRPr="00162969">
              <w:rPr>
                <w:b/>
                <w:color w:val="0070AD" w:themeColor="accent1"/>
                <w:sz w:val="14"/>
                <w:szCs w:val="14"/>
              </w:rPr>
              <w:t xml:space="preserve">Normalized profit for the </w:t>
            </w:r>
            <w:r w:rsidR="00801C65" w:rsidRPr="00162969">
              <w:rPr>
                <w:b/>
                <w:color w:val="0070AD" w:themeColor="accent1"/>
                <w:sz w:val="14"/>
                <w:szCs w:val="14"/>
              </w:rPr>
              <w:t>period</w:t>
            </w:r>
          </w:p>
        </w:tc>
        <w:tc>
          <w:tcPr>
            <w:tcW w:w="1474" w:type="dxa"/>
            <w:tcBorders>
              <w:top w:val="single" w:sz="8" w:space="0" w:color="0070AD" w:themeColor="accent1"/>
              <w:bottom w:val="single" w:sz="8" w:space="0" w:color="0070AD" w:themeColor="accent1"/>
            </w:tcBorders>
            <w:shd w:val="clear" w:color="auto" w:fill="auto"/>
            <w:vAlign w:val="center"/>
          </w:tcPr>
          <w:p w14:paraId="1B2DC556" w14:textId="77777777" w:rsidR="003176D7" w:rsidRPr="00162969" w:rsidRDefault="003176D7" w:rsidP="003176D7">
            <w:pPr>
              <w:keepNext/>
              <w:ind w:left="-170" w:right="397"/>
              <w:jc w:val="right"/>
              <w:rPr>
                <w:rFonts w:cs="Arial"/>
                <w:b/>
                <w:color w:val="0070AD" w:themeColor="accent1"/>
                <w:sz w:val="14"/>
                <w:szCs w:val="14"/>
              </w:rPr>
            </w:pPr>
            <w:r w:rsidRPr="00162969">
              <w:rPr>
                <w:rFonts w:ascii="Verdana" w:hAnsi="Verdana"/>
                <w:b/>
                <w:color w:val="0070AD" w:themeColor="accent1"/>
                <w:sz w:val="14"/>
              </w:rPr>
              <w:t>442</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45F83F2C" w14:textId="77777777" w:rsidR="003176D7" w:rsidRPr="00162969" w:rsidRDefault="003176D7" w:rsidP="003176D7">
            <w:pPr>
              <w:keepNext/>
              <w:ind w:left="-170" w:right="397"/>
              <w:jc w:val="right"/>
              <w:rPr>
                <w:rFonts w:cs="Arial"/>
                <w:b/>
                <w:color w:val="0070AD" w:themeColor="accent1"/>
                <w:sz w:val="14"/>
                <w:szCs w:val="14"/>
              </w:rPr>
            </w:pPr>
            <w:r w:rsidRPr="00162969">
              <w:rPr>
                <w:rFonts w:ascii="Verdana" w:hAnsi="Verdana"/>
                <w:b/>
                <w:color w:val="0070AD" w:themeColor="accent1"/>
                <w:sz w:val="14"/>
              </w:rPr>
              <w:t>481</w:t>
            </w:r>
          </w:p>
        </w:tc>
        <w:tc>
          <w:tcPr>
            <w:tcW w:w="1134" w:type="dxa"/>
            <w:tcBorders>
              <w:top w:val="single" w:sz="8" w:space="0" w:color="0070AD" w:themeColor="accent1"/>
              <w:bottom w:val="single" w:sz="8" w:space="0" w:color="0070AD" w:themeColor="accent1"/>
            </w:tcBorders>
            <w:shd w:val="clear" w:color="auto" w:fill="auto"/>
            <w:vAlign w:val="center"/>
          </w:tcPr>
          <w:p w14:paraId="5F9C4709" w14:textId="77777777" w:rsidR="003176D7" w:rsidRPr="00162969" w:rsidRDefault="003176D7" w:rsidP="003176D7">
            <w:pPr>
              <w:keepNext/>
              <w:widowControl w:val="0"/>
              <w:jc w:val="center"/>
              <w:rPr>
                <w:rFonts w:cs="Arial"/>
                <w:b/>
                <w:color w:val="0070AD" w:themeColor="accent1"/>
                <w:sz w:val="14"/>
                <w:szCs w:val="14"/>
              </w:rPr>
            </w:pPr>
          </w:p>
        </w:tc>
      </w:tr>
      <w:tr w:rsidR="000163CF" w:rsidRPr="00162969" w14:paraId="45B7A46E" w14:textId="77777777" w:rsidTr="00944C01">
        <w:trPr>
          <w:trHeight w:val="227"/>
          <w:jc w:val="center"/>
        </w:trPr>
        <w:tc>
          <w:tcPr>
            <w:tcW w:w="5998" w:type="dxa"/>
            <w:tcBorders>
              <w:top w:val="single" w:sz="8" w:space="0" w:color="0070AD" w:themeColor="accent1"/>
              <w:bottom w:val="single" w:sz="8" w:space="0" w:color="0070AD" w:themeColor="accent1"/>
            </w:tcBorders>
            <w:vAlign w:val="center"/>
          </w:tcPr>
          <w:p w14:paraId="7803D1A8" w14:textId="77777777" w:rsidR="000163CF" w:rsidRPr="00162969" w:rsidRDefault="000163CF" w:rsidP="000163CF">
            <w:pPr>
              <w:keepNext/>
              <w:widowControl w:val="0"/>
              <w:ind w:left="149"/>
              <w:rPr>
                <w:rFonts w:cs="Arial"/>
                <w:sz w:val="14"/>
                <w:szCs w:val="14"/>
              </w:rPr>
            </w:pPr>
            <w:r w:rsidRPr="00162969">
              <w:rPr>
                <w:sz w:val="14"/>
                <w:szCs w:val="14"/>
              </w:rPr>
              <w:t>Average number of shares outstanding</w:t>
            </w:r>
          </w:p>
        </w:tc>
        <w:tc>
          <w:tcPr>
            <w:tcW w:w="1474" w:type="dxa"/>
            <w:tcBorders>
              <w:top w:val="single" w:sz="8" w:space="0" w:color="0070AD" w:themeColor="accent1"/>
              <w:bottom w:val="single" w:sz="8" w:space="0" w:color="0070AD" w:themeColor="accent1"/>
            </w:tcBorders>
            <w:shd w:val="clear" w:color="auto" w:fill="auto"/>
            <w:vAlign w:val="center"/>
          </w:tcPr>
          <w:p w14:paraId="458F166A" w14:textId="77777777" w:rsidR="000163CF" w:rsidRPr="00162969" w:rsidRDefault="000163CF" w:rsidP="000163CF">
            <w:pPr>
              <w:keepNext/>
              <w:widowControl w:val="0"/>
              <w:jc w:val="center"/>
              <w:rPr>
                <w:rFonts w:cs="Arial"/>
                <w:sz w:val="14"/>
                <w:szCs w:val="14"/>
              </w:rPr>
            </w:pPr>
            <w:r w:rsidRPr="00162969">
              <w:rPr>
                <w:sz w:val="14"/>
                <w:szCs w:val="14"/>
              </w:rPr>
              <w:t>167,323,709</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1D5BA811" w14:textId="77777777" w:rsidR="000163CF" w:rsidRPr="00162969" w:rsidRDefault="000163CF" w:rsidP="000163CF">
            <w:pPr>
              <w:keepNext/>
              <w:widowControl w:val="0"/>
              <w:jc w:val="center"/>
              <w:rPr>
                <w:rFonts w:cs="Arial"/>
                <w:sz w:val="14"/>
                <w:szCs w:val="14"/>
              </w:rPr>
            </w:pPr>
            <w:r w:rsidRPr="00162969">
              <w:rPr>
                <w:sz w:val="14"/>
                <w:szCs w:val="14"/>
              </w:rPr>
              <w:t>165,843,357</w:t>
            </w:r>
          </w:p>
        </w:tc>
        <w:tc>
          <w:tcPr>
            <w:tcW w:w="1134" w:type="dxa"/>
            <w:tcBorders>
              <w:top w:val="single" w:sz="8" w:space="0" w:color="0070AD" w:themeColor="accent1"/>
              <w:bottom w:val="single" w:sz="8" w:space="0" w:color="0070AD" w:themeColor="accent1"/>
            </w:tcBorders>
            <w:shd w:val="clear" w:color="auto" w:fill="auto"/>
            <w:vAlign w:val="center"/>
          </w:tcPr>
          <w:p w14:paraId="604B598F" w14:textId="77777777" w:rsidR="000163CF" w:rsidRPr="00162969" w:rsidRDefault="000163CF" w:rsidP="000163CF">
            <w:pPr>
              <w:keepNext/>
              <w:widowControl w:val="0"/>
              <w:jc w:val="center"/>
              <w:rPr>
                <w:rFonts w:cs="Arial"/>
                <w:sz w:val="14"/>
                <w:szCs w:val="14"/>
              </w:rPr>
            </w:pPr>
          </w:p>
        </w:tc>
      </w:tr>
      <w:tr w:rsidR="003176D7" w:rsidRPr="00162969" w14:paraId="738CDC35" w14:textId="77777777" w:rsidTr="00944C01">
        <w:trPr>
          <w:trHeight w:val="227"/>
          <w:jc w:val="center"/>
        </w:trPr>
        <w:tc>
          <w:tcPr>
            <w:tcW w:w="5998" w:type="dxa"/>
            <w:tcBorders>
              <w:top w:val="single" w:sz="8" w:space="0" w:color="0070AD" w:themeColor="accent1"/>
              <w:bottom w:val="single" w:sz="8" w:space="0" w:color="0070AD" w:themeColor="accent1"/>
            </w:tcBorders>
            <w:vAlign w:val="center"/>
          </w:tcPr>
          <w:p w14:paraId="312BF5DD" w14:textId="77777777" w:rsidR="003176D7" w:rsidRPr="00162969" w:rsidRDefault="003176D7" w:rsidP="003176D7">
            <w:pPr>
              <w:widowControl w:val="0"/>
              <w:rPr>
                <w:rFonts w:cs="Arial"/>
                <w:b/>
                <w:caps/>
                <w:color w:val="0070AD" w:themeColor="accent1"/>
                <w:sz w:val="14"/>
                <w:szCs w:val="14"/>
              </w:rPr>
            </w:pPr>
            <w:r w:rsidRPr="00162969">
              <w:rPr>
                <w:b/>
                <w:color w:val="0070AD" w:themeColor="accent1"/>
                <w:sz w:val="14"/>
                <w:szCs w:val="14"/>
              </w:rPr>
              <w:t>Normalized earnings per share</w:t>
            </w:r>
            <w:r w:rsidRPr="00162969">
              <w:rPr>
                <w:color w:val="0070AD" w:themeColor="accent1"/>
                <w:sz w:val="14"/>
                <w:szCs w:val="14"/>
              </w:rPr>
              <w:t xml:space="preserve"> </w:t>
            </w:r>
            <w:r w:rsidRPr="00162969">
              <w:rPr>
                <w:i/>
                <w:color w:val="0070AD" w:themeColor="accent1"/>
                <w:sz w:val="14"/>
                <w:szCs w:val="14"/>
              </w:rPr>
              <w:t>(in euros)</w:t>
            </w:r>
          </w:p>
        </w:tc>
        <w:tc>
          <w:tcPr>
            <w:tcW w:w="1474" w:type="dxa"/>
            <w:tcBorders>
              <w:top w:val="single" w:sz="8" w:space="0" w:color="0070AD" w:themeColor="accent1"/>
              <w:bottom w:val="single" w:sz="8" w:space="0" w:color="0070AD" w:themeColor="accent1"/>
            </w:tcBorders>
            <w:shd w:val="clear" w:color="auto" w:fill="auto"/>
            <w:vAlign w:val="center"/>
          </w:tcPr>
          <w:p w14:paraId="7E83FA52" w14:textId="77777777" w:rsidR="003176D7" w:rsidRPr="00162969" w:rsidRDefault="003176D7" w:rsidP="003176D7">
            <w:pPr>
              <w:keepNext/>
              <w:ind w:left="-170" w:right="397"/>
              <w:jc w:val="right"/>
              <w:rPr>
                <w:rFonts w:cs="Arial"/>
                <w:b/>
                <w:color w:val="0070AD" w:themeColor="accent1"/>
                <w:sz w:val="14"/>
                <w:szCs w:val="14"/>
              </w:rPr>
            </w:pPr>
            <w:r w:rsidRPr="00162969">
              <w:rPr>
                <w:rFonts w:ascii="Verdana" w:hAnsi="Verdana"/>
                <w:b/>
                <w:color w:val="0070AD" w:themeColor="accent1"/>
                <w:sz w:val="14"/>
              </w:rPr>
              <w:t>2.64</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2827103B" w14:textId="77777777" w:rsidR="003176D7" w:rsidRPr="00162969" w:rsidRDefault="003176D7" w:rsidP="003176D7">
            <w:pPr>
              <w:keepNext/>
              <w:ind w:left="-170" w:right="397"/>
              <w:jc w:val="right"/>
              <w:rPr>
                <w:rFonts w:cs="Arial"/>
                <w:b/>
                <w:color w:val="0070AD" w:themeColor="accent1"/>
                <w:sz w:val="14"/>
                <w:szCs w:val="14"/>
              </w:rPr>
            </w:pPr>
            <w:r w:rsidRPr="00162969">
              <w:rPr>
                <w:rFonts w:ascii="Verdana" w:hAnsi="Verdana"/>
                <w:b/>
                <w:color w:val="0070AD" w:themeColor="accent1"/>
                <w:sz w:val="14"/>
              </w:rPr>
              <w:t>2.90</w:t>
            </w:r>
          </w:p>
        </w:tc>
        <w:tc>
          <w:tcPr>
            <w:tcW w:w="1134" w:type="dxa"/>
            <w:tcBorders>
              <w:top w:val="single" w:sz="8" w:space="0" w:color="0070AD" w:themeColor="accent1"/>
              <w:bottom w:val="single" w:sz="8" w:space="0" w:color="0070AD" w:themeColor="accent1"/>
            </w:tcBorders>
            <w:shd w:val="clear" w:color="auto" w:fill="auto"/>
            <w:vAlign w:val="center"/>
          </w:tcPr>
          <w:p w14:paraId="7DA66565" w14:textId="77777777" w:rsidR="003176D7" w:rsidRPr="00162969" w:rsidRDefault="000163CF" w:rsidP="003176D7">
            <w:pPr>
              <w:widowControl w:val="0"/>
              <w:jc w:val="center"/>
              <w:rPr>
                <w:rFonts w:cs="Arial"/>
                <w:b/>
                <w:color w:val="0070AD" w:themeColor="accent1"/>
                <w:sz w:val="14"/>
                <w:szCs w:val="14"/>
              </w:rPr>
            </w:pPr>
            <w:r w:rsidRPr="00162969">
              <w:rPr>
                <w:b/>
                <w:color w:val="0070AD" w:themeColor="accent1"/>
                <w:sz w:val="14"/>
                <w:szCs w:val="14"/>
              </w:rPr>
              <w:t>+10%</w:t>
            </w:r>
          </w:p>
        </w:tc>
      </w:tr>
    </w:tbl>
    <w:p w14:paraId="7DE8DBA8" w14:textId="6995D416" w:rsidR="00170B33" w:rsidRPr="00162969" w:rsidRDefault="00170B33" w:rsidP="004D0F0D">
      <w:pPr>
        <w:spacing w:before="120" w:after="120"/>
        <w:rPr>
          <w:rFonts w:ascii="Verdana" w:hAnsi="Verdana" w:cs="Arial"/>
        </w:rPr>
      </w:pPr>
      <w:r w:rsidRPr="00162969">
        <w:t>The Group recognized an income tax expense in respect of the transitional impact of the tax reform in the U.S. of €18 million in H1 2018 and €30 million in H1 2019. This reduced basic</w:t>
      </w:r>
      <w:r w:rsidR="00D86ADD" w:rsidRPr="00162969">
        <w:t>,</w:t>
      </w:r>
      <w:r w:rsidRPr="00162969">
        <w:t xml:space="preserve"> diluted </w:t>
      </w:r>
      <w:r w:rsidR="00D86ADD" w:rsidRPr="00162969">
        <w:t xml:space="preserve">and normalized </w:t>
      </w:r>
      <w:r w:rsidRPr="00162969">
        <w:t xml:space="preserve">earnings per share by €0.18 in H1 </w:t>
      </w:r>
      <w:r w:rsidR="00D86ADD" w:rsidRPr="00162969">
        <w:t>2019</w:t>
      </w:r>
      <w:r w:rsidRPr="00162969">
        <w:t xml:space="preserve">. </w:t>
      </w:r>
    </w:p>
    <w:p w14:paraId="693FA65A" w14:textId="77777777" w:rsidR="00170B33" w:rsidRPr="00162969" w:rsidRDefault="00170B33" w:rsidP="00170B33">
      <w:pPr>
        <w:pStyle w:val="BodyText"/>
        <w:keepLines/>
        <w:spacing w:line="240" w:lineRule="auto"/>
        <w:rPr>
          <w:b/>
          <w:caps/>
        </w:rPr>
      </w:pPr>
      <w:r w:rsidRPr="00162969">
        <w:rPr>
          <w:rFonts w:ascii="Verdana" w:hAnsi="Verdana"/>
        </w:rPr>
        <w:t>Adjusted for this tax expense, normalized earnings per share is €3.08 in H1 2019:</w:t>
      </w:r>
    </w:p>
    <w:tbl>
      <w:tblPr>
        <w:tblW w:w="0" w:type="auto"/>
        <w:jc w:val="center"/>
        <w:tblLook w:val="04A0" w:firstRow="1" w:lastRow="0" w:firstColumn="1" w:lastColumn="0" w:noHBand="0" w:noVBand="1"/>
      </w:tblPr>
      <w:tblGrid>
        <w:gridCol w:w="5998"/>
        <w:gridCol w:w="1474"/>
        <w:gridCol w:w="1474"/>
        <w:gridCol w:w="1134"/>
      </w:tblGrid>
      <w:tr w:rsidR="00745FC2" w:rsidRPr="00162969" w14:paraId="3E7784CF" w14:textId="77777777" w:rsidTr="005F1452">
        <w:trPr>
          <w:trHeight w:val="284"/>
          <w:jc w:val="center"/>
        </w:trPr>
        <w:tc>
          <w:tcPr>
            <w:tcW w:w="5998" w:type="dxa"/>
            <w:tcBorders>
              <w:bottom w:val="single" w:sz="8" w:space="0" w:color="0070AD" w:themeColor="accent1"/>
            </w:tcBorders>
            <w:vAlign w:val="center"/>
          </w:tcPr>
          <w:p w14:paraId="49DDC14E" w14:textId="77777777" w:rsidR="00745FC2" w:rsidRPr="00162969" w:rsidRDefault="00745FC2" w:rsidP="00745FC2">
            <w:pPr>
              <w:keepNext/>
              <w:jc w:val="center"/>
              <w:rPr>
                <w:rFonts w:cs="Arial"/>
                <w:i/>
                <w:sz w:val="14"/>
                <w:szCs w:val="14"/>
              </w:rPr>
            </w:pPr>
            <w:r w:rsidRPr="00162969">
              <w:rPr>
                <w:i/>
                <w:sz w:val="14"/>
                <w:szCs w:val="14"/>
              </w:rPr>
              <w:t>(In millions of euros)</w:t>
            </w:r>
          </w:p>
        </w:tc>
        <w:tc>
          <w:tcPr>
            <w:tcW w:w="1474" w:type="dxa"/>
            <w:tcBorders>
              <w:bottom w:val="single" w:sz="8" w:space="0" w:color="0070AD" w:themeColor="accent1"/>
            </w:tcBorders>
            <w:vAlign w:val="center"/>
          </w:tcPr>
          <w:p w14:paraId="5B4DBBC7" w14:textId="77777777" w:rsidR="00745FC2" w:rsidRPr="00162969" w:rsidRDefault="00745FC2" w:rsidP="00745FC2">
            <w:pPr>
              <w:keepNext/>
              <w:jc w:val="center"/>
              <w:rPr>
                <w:rFonts w:ascii="Verdana" w:hAnsi="Verdana" w:cs="Arial"/>
                <w:b/>
                <w:sz w:val="14"/>
                <w:szCs w:val="16"/>
              </w:rPr>
            </w:pPr>
            <w:r w:rsidRPr="00162969">
              <w:rPr>
                <w:rFonts w:ascii="Verdana" w:hAnsi="Verdana"/>
                <w:b/>
                <w:sz w:val="14"/>
                <w:szCs w:val="16"/>
              </w:rPr>
              <w:t>H1</w:t>
            </w:r>
            <w:r w:rsidR="002F2D6A" w:rsidRPr="00162969">
              <w:rPr>
                <w:rFonts w:ascii="Verdana" w:hAnsi="Verdana"/>
                <w:b/>
                <w:sz w:val="14"/>
                <w:szCs w:val="16"/>
              </w:rPr>
              <w:t xml:space="preserve"> </w:t>
            </w:r>
            <w:r w:rsidRPr="00162969">
              <w:rPr>
                <w:rFonts w:ascii="Verdana" w:hAnsi="Verdana"/>
                <w:b/>
                <w:sz w:val="14"/>
                <w:szCs w:val="16"/>
              </w:rPr>
              <w:t>2018</w:t>
            </w:r>
          </w:p>
          <w:p w14:paraId="5029B774" w14:textId="77777777" w:rsidR="00745FC2" w:rsidRPr="00162969" w:rsidRDefault="00745FC2" w:rsidP="00745FC2">
            <w:pPr>
              <w:keepNext/>
              <w:jc w:val="center"/>
              <w:rPr>
                <w:rFonts w:cs="Arial"/>
                <w:b/>
                <w:sz w:val="14"/>
                <w:szCs w:val="14"/>
              </w:rPr>
            </w:pPr>
          </w:p>
        </w:tc>
        <w:tc>
          <w:tcPr>
            <w:tcW w:w="1474" w:type="dxa"/>
            <w:tcBorders>
              <w:bottom w:val="single" w:sz="8" w:space="0" w:color="0070AD" w:themeColor="accent1"/>
            </w:tcBorders>
            <w:shd w:val="clear" w:color="auto" w:fill="BBE7FF" w:themeFill="accent1" w:themeFillTint="33"/>
            <w:vAlign w:val="center"/>
          </w:tcPr>
          <w:p w14:paraId="6B6FC823" w14:textId="77777777" w:rsidR="00745FC2" w:rsidRPr="00162969" w:rsidRDefault="00745FC2" w:rsidP="00745FC2">
            <w:pPr>
              <w:keepNext/>
              <w:jc w:val="center"/>
              <w:rPr>
                <w:rFonts w:ascii="Verdana" w:hAnsi="Verdana" w:cs="Arial"/>
                <w:b/>
                <w:sz w:val="14"/>
                <w:szCs w:val="16"/>
              </w:rPr>
            </w:pPr>
            <w:r w:rsidRPr="00162969">
              <w:rPr>
                <w:rFonts w:ascii="Verdana" w:hAnsi="Verdana"/>
                <w:b/>
                <w:sz w:val="14"/>
                <w:szCs w:val="16"/>
              </w:rPr>
              <w:t>H1</w:t>
            </w:r>
            <w:r w:rsidR="002F2D6A" w:rsidRPr="00162969">
              <w:rPr>
                <w:rFonts w:ascii="Verdana" w:hAnsi="Verdana"/>
                <w:b/>
                <w:sz w:val="14"/>
                <w:szCs w:val="16"/>
              </w:rPr>
              <w:t xml:space="preserve"> </w:t>
            </w:r>
            <w:r w:rsidRPr="00162969">
              <w:rPr>
                <w:rFonts w:ascii="Verdana" w:hAnsi="Verdana"/>
                <w:b/>
                <w:sz w:val="14"/>
                <w:szCs w:val="16"/>
              </w:rPr>
              <w:t>2019</w:t>
            </w:r>
          </w:p>
          <w:p w14:paraId="3A5DCF3E" w14:textId="77777777" w:rsidR="00745FC2" w:rsidRPr="00162969" w:rsidRDefault="00745FC2" w:rsidP="00745FC2">
            <w:pPr>
              <w:keepNext/>
              <w:jc w:val="center"/>
              <w:rPr>
                <w:rFonts w:cs="Arial"/>
                <w:b/>
                <w:sz w:val="14"/>
                <w:szCs w:val="14"/>
              </w:rPr>
            </w:pPr>
            <w:r w:rsidRPr="00162969">
              <w:rPr>
                <w:bCs/>
                <w:sz w:val="14"/>
                <w:szCs w:val="14"/>
              </w:rPr>
              <w:t>(IFRS 16)</w:t>
            </w:r>
          </w:p>
        </w:tc>
        <w:tc>
          <w:tcPr>
            <w:tcW w:w="1134" w:type="dxa"/>
            <w:tcBorders>
              <w:bottom w:val="single" w:sz="8" w:space="0" w:color="0070AD" w:themeColor="accent1"/>
            </w:tcBorders>
            <w:shd w:val="clear" w:color="auto" w:fill="auto"/>
            <w:vAlign w:val="center"/>
          </w:tcPr>
          <w:p w14:paraId="3BE43FFC" w14:textId="77777777" w:rsidR="00745FC2" w:rsidRPr="00162969" w:rsidRDefault="00745FC2" w:rsidP="00745FC2">
            <w:pPr>
              <w:keepNext/>
              <w:jc w:val="center"/>
              <w:rPr>
                <w:rFonts w:cs="Arial"/>
                <w:b/>
                <w:i/>
                <w:sz w:val="14"/>
                <w:szCs w:val="14"/>
              </w:rPr>
            </w:pPr>
            <w:r w:rsidRPr="00162969">
              <w:rPr>
                <w:b/>
                <w:i/>
                <w:sz w:val="14"/>
                <w:szCs w:val="14"/>
              </w:rPr>
              <w:t>Change</w:t>
            </w:r>
          </w:p>
        </w:tc>
      </w:tr>
      <w:tr w:rsidR="003176D7" w:rsidRPr="00162969" w14:paraId="0A21F024" w14:textId="77777777" w:rsidTr="005F1452">
        <w:trPr>
          <w:trHeight w:val="227"/>
          <w:jc w:val="center"/>
        </w:trPr>
        <w:tc>
          <w:tcPr>
            <w:tcW w:w="5998" w:type="dxa"/>
            <w:tcBorders>
              <w:top w:val="single" w:sz="8" w:space="0" w:color="0070AD" w:themeColor="accent1"/>
              <w:bottom w:val="single" w:sz="8" w:space="0" w:color="0070AD" w:themeColor="accent1"/>
            </w:tcBorders>
            <w:vAlign w:val="center"/>
          </w:tcPr>
          <w:p w14:paraId="0A2EC003" w14:textId="77777777" w:rsidR="003176D7" w:rsidRPr="00162969" w:rsidRDefault="003176D7" w:rsidP="003176D7">
            <w:pPr>
              <w:keepNext/>
              <w:rPr>
                <w:rFonts w:cs="Arial"/>
                <w:b/>
                <w:color w:val="0070AD" w:themeColor="accent1"/>
                <w:sz w:val="14"/>
                <w:szCs w:val="14"/>
              </w:rPr>
            </w:pPr>
            <w:r w:rsidRPr="00162969">
              <w:rPr>
                <w:b/>
                <w:color w:val="0070AD" w:themeColor="accent1"/>
                <w:sz w:val="14"/>
                <w:szCs w:val="14"/>
              </w:rPr>
              <w:t>Normalized earnings per share</w:t>
            </w:r>
            <w:r w:rsidRPr="00162969">
              <w:rPr>
                <w:color w:val="0070AD" w:themeColor="accent1"/>
                <w:sz w:val="14"/>
                <w:szCs w:val="14"/>
              </w:rPr>
              <w:t xml:space="preserve"> </w:t>
            </w:r>
            <w:r w:rsidRPr="00162969">
              <w:rPr>
                <w:i/>
                <w:color w:val="0070AD" w:themeColor="accent1"/>
                <w:sz w:val="14"/>
                <w:szCs w:val="14"/>
              </w:rPr>
              <w:t>(in euros)</w:t>
            </w:r>
          </w:p>
        </w:tc>
        <w:tc>
          <w:tcPr>
            <w:tcW w:w="1474" w:type="dxa"/>
            <w:tcBorders>
              <w:top w:val="single" w:sz="8" w:space="0" w:color="0070AD" w:themeColor="accent1"/>
              <w:bottom w:val="single" w:sz="8" w:space="0" w:color="0070AD" w:themeColor="accent1"/>
            </w:tcBorders>
            <w:shd w:val="clear" w:color="auto" w:fill="auto"/>
            <w:vAlign w:val="center"/>
          </w:tcPr>
          <w:p w14:paraId="3E88D927" w14:textId="77777777" w:rsidR="003176D7" w:rsidRPr="00162969" w:rsidRDefault="003176D7" w:rsidP="003176D7">
            <w:pPr>
              <w:keepNext/>
              <w:ind w:left="-170" w:right="397"/>
              <w:jc w:val="right"/>
              <w:rPr>
                <w:rFonts w:cs="Arial"/>
                <w:b/>
                <w:color w:val="0070AD" w:themeColor="accent1"/>
                <w:sz w:val="14"/>
                <w:szCs w:val="14"/>
              </w:rPr>
            </w:pPr>
            <w:r w:rsidRPr="00162969">
              <w:rPr>
                <w:b/>
                <w:color w:val="0070AD" w:themeColor="accent1"/>
                <w:sz w:val="14"/>
                <w:szCs w:val="14"/>
              </w:rPr>
              <w:t>2.64</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22FF9180" w14:textId="77777777" w:rsidR="003176D7" w:rsidRPr="00162969" w:rsidRDefault="00CA0066" w:rsidP="003176D7">
            <w:pPr>
              <w:keepNext/>
              <w:ind w:left="-170" w:right="397"/>
              <w:jc w:val="right"/>
              <w:rPr>
                <w:rFonts w:cs="Arial"/>
                <w:b/>
                <w:color w:val="0070AD" w:themeColor="accent1"/>
                <w:sz w:val="14"/>
                <w:szCs w:val="14"/>
              </w:rPr>
            </w:pPr>
            <w:r w:rsidRPr="00162969">
              <w:rPr>
                <w:b/>
                <w:color w:val="0070AD" w:themeColor="accent1"/>
                <w:sz w:val="14"/>
                <w:szCs w:val="14"/>
              </w:rPr>
              <w:t>2.90</w:t>
            </w:r>
          </w:p>
        </w:tc>
        <w:tc>
          <w:tcPr>
            <w:tcW w:w="1134" w:type="dxa"/>
            <w:tcBorders>
              <w:top w:val="single" w:sz="8" w:space="0" w:color="0070AD" w:themeColor="accent1"/>
              <w:bottom w:val="single" w:sz="8" w:space="0" w:color="0070AD" w:themeColor="accent1"/>
            </w:tcBorders>
            <w:shd w:val="clear" w:color="auto" w:fill="auto"/>
            <w:vAlign w:val="center"/>
          </w:tcPr>
          <w:p w14:paraId="417D974B" w14:textId="77777777" w:rsidR="003176D7" w:rsidRPr="00162969" w:rsidRDefault="003176D7" w:rsidP="003176D7">
            <w:pPr>
              <w:keepNext/>
              <w:jc w:val="center"/>
              <w:rPr>
                <w:rFonts w:cs="Arial"/>
                <w:b/>
                <w:color w:val="0070AD" w:themeColor="accent1"/>
                <w:sz w:val="14"/>
                <w:szCs w:val="14"/>
              </w:rPr>
            </w:pPr>
          </w:p>
        </w:tc>
      </w:tr>
      <w:tr w:rsidR="003176D7" w:rsidRPr="00162969" w14:paraId="73226FCD" w14:textId="77777777" w:rsidTr="005F1452">
        <w:trPr>
          <w:trHeight w:val="227"/>
          <w:jc w:val="center"/>
        </w:trPr>
        <w:tc>
          <w:tcPr>
            <w:tcW w:w="5998" w:type="dxa"/>
            <w:tcBorders>
              <w:top w:val="single" w:sz="8" w:space="0" w:color="0070AD" w:themeColor="accent1"/>
              <w:bottom w:val="single" w:sz="8" w:space="0" w:color="0070AD" w:themeColor="accent1"/>
            </w:tcBorders>
            <w:vAlign w:val="center"/>
          </w:tcPr>
          <w:p w14:paraId="53064B07" w14:textId="77777777" w:rsidR="003176D7" w:rsidRPr="00162969" w:rsidRDefault="003176D7" w:rsidP="003176D7">
            <w:pPr>
              <w:keepNext/>
              <w:ind w:left="149"/>
              <w:rPr>
                <w:rFonts w:cs="Arial"/>
                <w:sz w:val="14"/>
                <w:szCs w:val="14"/>
              </w:rPr>
            </w:pPr>
            <w:r w:rsidRPr="00162969">
              <w:rPr>
                <w:sz w:val="14"/>
                <w:szCs w:val="14"/>
              </w:rPr>
              <w:t xml:space="preserve">Transitional tax expense </w:t>
            </w:r>
          </w:p>
        </w:tc>
        <w:tc>
          <w:tcPr>
            <w:tcW w:w="1474" w:type="dxa"/>
            <w:tcBorders>
              <w:top w:val="single" w:sz="8" w:space="0" w:color="0070AD" w:themeColor="accent1"/>
              <w:bottom w:val="single" w:sz="8" w:space="0" w:color="0070AD" w:themeColor="accent1"/>
            </w:tcBorders>
            <w:shd w:val="clear" w:color="auto" w:fill="auto"/>
            <w:vAlign w:val="center"/>
          </w:tcPr>
          <w:p w14:paraId="33791CFE" w14:textId="77777777" w:rsidR="003176D7" w:rsidRPr="00162969" w:rsidRDefault="003176D7" w:rsidP="003176D7">
            <w:pPr>
              <w:keepNext/>
              <w:ind w:left="-170" w:right="397"/>
              <w:jc w:val="right"/>
              <w:rPr>
                <w:rFonts w:cs="Arial"/>
                <w:sz w:val="14"/>
                <w:szCs w:val="14"/>
              </w:rPr>
            </w:pPr>
            <w:r w:rsidRPr="00162969">
              <w:rPr>
                <w:sz w:val="14"/>
                <w:szCs w:val="14"/>
              </w:rPr>
              <w:t>18</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485A00C2" w14:textId="77777777" w:rsidR="003176D7" w:rsidRPr="00162969" w:rsidRDefault="000163CF" w:rsidP="003176D7">
            <w:pPr>
              <w:keepNext/>
              <w:ind w:left="-170" w:right="397"/>
              <w:jc w:val="right"/>
              <w:rPr>
                <w:rFonts w:cs="Arial"/>
                <w:sz w:val="14"/>
                <w:szCs w:val="14"/>
              </w:rPr>
            </w:pPr>
            <w:r w:rsidRPr="00162969">
              <w:rPr>
                <w:sz w:val="14"/>
                <w:szCs w:val="14"/>
              </w:rPr>
              <w:t>30</w:t>
            </w:r>
          </w:p>
        </w:tc>
        <w:tc>
          <w:tcPr>
            <w:tcW w:w="1134" w:type="dxa"/>
            <w:tcBorders>
              <w:top w:val="single" w:sz="8" w:space="0" w:color="0070AD" w:themeColor="accent1"/>
              <w:bottom w:val="single" w:sz="8" w:space="0" w:color="0070AD" w:themeColor="accent1"/>
            </w:tcBorders>
            <w:shd w:val="clear" w:color="auto" w:fill="auto"/>
            <w:vAlign w:val="center"/>
          </w:tcPr>
          <w:p w14:paraId="3FDBED11" w14:textId="77777777" w:rsidR="003176D7" w:rsidRPr="00162969" w:rsidRDefault="003176D7" w:rsidP="003176D7">
            <w:pPr>
              <w:keepNext/>
              <w:jc w:val="center"/>
              <w:rPr>
                <w:rFonts w:cs="Arial"/>
                <w:sz w:val="14"/>
                <w:szCs w:val="14"/>
              </w:rPr>
            </w:pPr>
          </w:p>
        </w:tc>
      </w:tr>
      <w:tr w:rsidR="000163CF" w:rsidRPr="00162969" w14:paraId="3C7FBDE7" w14:textId="77777777" w:rsidTr="005F1452">
        <w:trPr>
          <w:trHeight w:val="227"/>
          <w:jc w:val="center"/>
        </w:trPr>
        <w:tc>
          <w:tcPr>
            <w:tcW w:w="5998" w:type="dxa"/>
            <w:tcBorders>
              <w:top w:val="single" w:sz="8" w:space="0" w:color="0070AD" w:themeColor="accent1"/>
              <w:bottom w:val="single" w:sz="8" w:space="0" w:color="0070AD" w:themeColor="accent1"/>
            </w:tcBorders>
            <w:vAlign w:val="center"/>
          </w:tcPr>
          <w:p w14:paraId="0B280862" w14:textId="77777777" w:rsidR="000163CF" w:rsidRPr="00162969" w:rsidRDefault="000163CF" w:rsidP="000163CF">
            <w:pPr>
              <w:keepNext/>
              <w:ind w:left="149"/>
              <w:rPr>
                <w:rFonts w:cs="Arial"/>
                <w:sz w:val="14"/>
                <w:szCs w:val="14"/>
              </w:rPr>
            </w:pPr>
            <w:r w:rsidRPr="00162969">
              <w:rPr>
                <w:sz w:val="14"/>
                <w:szCs w:val="14"/>
              </w:rPr>
              <w:t>Average number of shares outstanding</w:t>
            </w:r>
          </w:p>
        </w:tc>
        <w:tc>
          <w:tcPr>
            <w:tcW w:w="1474" w:type="dxa"/>
            <w:tcBorders>
              <w:top w:val="single" w:sz="8" w:space="0" w:color="0070AD" w:themeColor="accent1"/>
              <w:bottom w:val="single" w:sz="8" w:space="0" w:color="0070AD" w:themeColor="accent1"/>
            </w:tcBorders>
            <w:shd w:val="clear" w:color="auto" w:fill="auto"/>
            <w:vAlign w:val="center"/>
          </w:tcPr>
          <w:p w14:paraId="19D6434A" w14:textId="77777777" w:rsidR="000163CF" w:rsidRPr="00162969" w:rsidRDefault="000163CF" w:rsidP="000163CF">
            <w:pPr>
              <w:keepNext/>
              <w:jc w:val="center"/>
              <w:rPr>
                <w:rFonts w:cs="Arial"/>
                <w:sz w:val="14"/>
                <w:szCs w:val="14"/>
              </w:rPr>
            </w:pPr>
            <w:r w:rsidRPr="00162969">
              <w:rPr>
                <w:sz w:val="14"/>
                <w:szCs w:val="14"/>
              </w:rPr>
              <w:t>167,323,709</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4BE01D63" w14:textId="77777777" w:rsidR="000163CF" w:rsidRPr="00162969" w:rsidRDefault="000163CF" w:rsidP="000163CF">
            <w:pPr>
              <w:keepNext/>
              <w:jc w:val="center"/>
              <w:rPr>
                <w:rFonts w:cs="Arial"/>
                <w:sz w:val="14"/>
                <w:szCs w:val="14"/>
              </w:rPr>
            </w:pPr>
            <w:r w:rsidRPr="00162969">
              <w:rPr>
                <w:sz w:val="14"/>
                <w:szCs w:val="14"/>
              </w:rPr>
              <w:t>165,843,357</w:t>
            </w:r>
          </w:p>
        </w:tc>
        <w:tc>
          <w:tcPr>
            <w:tcW w:w="1134" w:type="dxa"/>
            <w:tcBorders>
              <w:top w:val="single" w:sz="8" w:space="0" w:color="0070AD" w:themeColor="accent1"/>
              <w:bottom w:val="single" w:sz="8" w:space="0" w:color="0070AD" w:themeColor="accent1"/>
            </w:tcBorders>
            <w:shd w:val="clear" w:color="auto" w:fill="auto"/>
            <w:vAlign w:val="center"/>
          </w:tcPr>
          <w:p w14:paraId="6FD43EF2" w14:textId="77777777" w:rsidR="000163CF" w:rsidRPr="00162969" w:rsidRDefault="000163CF" w:rsidP="000163CF">
            <w:pPr>
              <w:keepNext/>
              <w:jc w:val="center"/>
              <w:rPr>
                <w:rFonts w:cs="Arial"/>
                <w:sz w:val="14"/>
                <w:szCs w:val="14"/>
              </w:rPr>
            </w:pPr>
          </w:p>
        </w:tc>
      </w:tr>
      <w:tr w:rsidR="003176D7" w:rsidRPr="00162969" w14:paraId="1D5F8108" w14:textId="77777777" w:rsidTr="005F1452">
        <w:trPr>
          <w:trHeight w:val="227"/>
          <w:jc w:val="center"/>
        </w:trPr>
        <w:tc>
          <w:tcPr>
            <w:tcW w:w="5998" w:type="dxa"/>
            <w:tcBorders>
              <w:top w:val="single" w:sz="8" w:space="0" w:color="0070AD" w:themeColor="accent1"/>
              <w:bottom w:val="single" w:sz="8" w:space="0" w:color="0070AD" w:themeColor="accent1"/>
            </w:tcBorders>
            <w:vAlign w:val="center"/>
          </w:tcPr>
          <w:p w14:paraId="0BA527A7" w14:textId="77777777" w:rsidR="003176D7" w:rsidRPr="00162969" w:rsidRDefault="003176D7" w:rsidP="003176D7">
            <w:pPr>
              <w:keepNext/>
              <w:ind w:left="175"/>
              <w:rPr>
                <w:rFonts w:cs="Arial"/>
                <w:b/>
                <w:color w:val="0070AD" w:themeColor="accent1"/>
                <w:sz w:val="14"/>
                <w:szCs w:val="14"/>
              </w:rPr>
            </w:pPr>
            <w:r w:rsidRPr="00162969">
              <w:rPr>
                <w:b/>
                <w:color w:val="0070AD" w:themeColor="accent1"/>
                <w:sz w:val="14"/>
                <w:szCs w:val="14"/>
              </w:rPr>
              <w:t xml:space="preserve">Impact of the transitional tax expense </w:t>
            </w:r>
            <w:r w:rsidRPr="00162969">
              <w:rPr>
                <w:i/>
                <w:color w:val="0070AD" w:themeColor="accent1"/>
                <w:sz w:val="14"/>
                <w:szCs w:val="14"/>
              </w:rPr>
              <w:t>(in euros)</w:t>
            </w:r>
          </w:p>
        </w:tc>
        <w:tc>
          <w:tcPr>
            <w:tcW w:w="1474" w:type="dxa"/>
            <w:tcBorders>
              <w:top w:val="single" w:sz="8" w:space="0" w:color="0070AD" w:themeColor="accent1"/>
              <w:bottom w:val="single" w:sz="8" w:space="0" w:color="0070AD" w:themeColor="accent1"/>
            </w:tcBorders>
            <w:shd w:val="clear" w:color="auto" w:fill="auto"/>
            <w:vAlign w:val="center"/>
          </w:tcPr>
          <w:p w14:paraId="59EEF840" w14:textId="77777777" w:rsidR="003176D7" w:rsidRPr="00162969" w:rsidRDefault="003176D7" w:rsidP="003176D7">
            <w:pPr>
              <w:keepNext/>
              <w:ind w:left="-170" w:right="397"/>
              <w:jc w:val="right"/>
              <w:rPr>
                <w:rFonts w:cs="Arial"/>
                <w:b/>
                <w:color w:val="0070AD" w:themeColor="accent1"/>
                <w:sz w:val="14"/>
                <w:szCs w:val="14"/>
              </w:rPr>
            </w:pPr>
            <w:r w:rsidRPr="00162969">
              <w:rPr>
                <w:b/>
                <w:color w:val="0070AD" w:themeColor="accent1"/>
                <w:sz w:val="14"/>
                <w:szCs w:val="14"/>
              </w:rPr>
              <w:t>0.11</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3FB68D23" w14:textId="77777777" w:rsidR="003176D7" w:rsidRPr="00162969" w:rsidRDefault="003176D7" w:rsidP="003176D7">
            <w:pPr>
              <w:keepNext/>
              <w:ind w:left="-170" w:right="397"/>
              <w:jc w:val="right"/>
              <w:rPr>
                <w:rFonts w:cs="Arial"/>
                <w:b/>
                <w:color w:val="0070AD" w:themeColor="accent1"/>
                <w:sz w:val="14"/>
                <w:szCs w:val="14"/>
              </w:rPr>
            </w:pPr>
            <w:r w:rsidRPr="00162969">
              <w:rPr>
                <w:b/>
                <w:color w:val="0070AD" w:themeColor="accent1"/>
                <w:sz w:val="14"/>
                <w:szCs w:val="14"/>
              </w:rPr>
              <w:t>0.18</w:t>
            </w:r>
          </w:p>
        </w:tc>
        <w:tc>
          <w:tcPr>
            <w:tcW w:w="1134" w:type="dxa"/>
            <w:tcBorders>
              <w:top w:val="single" w:sz="8" w:space="0" w:color="0070AD" w:themeColor="accent1"/>
              <w:bottom w:val="single" w:sz="8" w:space="0" w:color="0070AD" w:themeColor="accent1"/>
            </w:tcBorders>
            <w:shd w:val="clear" w:color="auto" w:fill="auto"/>
            <w:vAlign w:val="center"/>
          </w:tcPr>
          <w:p w14:paraId="5951420B" w14:textId="77777777" w:rsidR="003176D7" w:rsidRPr="00162969" w:rsidRDefault="003176D7" w:rsidP="003176D7">
            <w:pPr>
              <w:keepNext/>
              <w:jc w:val="center"/>
              <w:rPr>
                <w:rFonts w:cs="Arial"/>
                <w:b/>
                <w:color w:val="0070AD" w:themeColor="accent1"/>
                <w:sz w:val="14"/>
                <w:szCs w:val="14"/>
              </w:rPr>
            </w:pPr>
          </w:p>
        </w:tc>
      </w:tr>
      <w:tr w:rsidR="003176D7" w:rsidRPr="00162969" w14:paraId="664C6907" w14:textId="77777777" w:rsidTr="005F1452">
        <w:trPr>
          <w:trHeight w:val="227"/>
          <w:jc w:val="center"/>
        </w:trPr>
        <w:tc>
          <w:tcPr>
            <w:tcW w:w="5998" w:type="dxa"/>
            <w:tcBorders>
              <w:top w:val="single" w:sz="8" w:space="0" w:color="0070AD" w:themeColor="accent1"/>
              <w:bottom w:val="single" w:sz="8" w:space="0" w:color="0070AD" w:themeColor="accent1"/>
            </w:tcBorders>
            <w:vAlign w:val="center"/>
          </w:tcPr>
          <w:p w14:paraId="73E5CBFF" w14:textId="77777777" w:rsidR="003176D7" w:rsidRPr="00162969" w:rsidRDefault="003176D7" w:rsidP="003176D7">
            <w:pPr>
              <w:keepNext/>
              <w:jc w:val="left"/>
              <w:rPr>
                <w:rFonts w:cs="Arial"/>
                <w:b/>
                <w:color w:val="0070AD" w:themeColor="accent1"/>
                <w:sz w:val="14"/>
                <w:szCs w:val="14"/>
              </w:rPr>
            </w:pPr>
            <w:r w:rsidRPr="00162969">
              <w:rPr>
                <w:b/>
                <w:color w:val="0070AD" w:themeColor="accent1"/>
                <w:sz w:val="14"/>
                <w:szCs w:val="14"/>
              </w:rPr>
              <w:t xml:space="preserve">Normalized earnings per share – excluding the transitional tax expense </w:t>
            </w:r>
            <w:r w:rsidRPr="00162969">
              <w:rPr>
                <w:i/>
                <w:color w:val="0070AD" w:themeColor="accent1"/>
                <w:sz w:val="14"/>
                <w:szCs w:val="14"/>
              </w:rPr>
              <w:t>(in euros)</w:t>
            </w:r>
          </w:p>
        </w:tc>
        <w:tc>
          <w:tcPr>
            <w:tcW w:w="1474" w:type="dxa"/>
            <w:tcBorders>
              <w:top w:val="single" w:sz="8" w:space="0" w:color="0070AD" w:themeColor="accent1"/>
              <w:bottom w:val="single" w:sz="8" w:space="0" w:color="0070AD" w:themeColor="accent1"/>
            </w:tcBorders>
            <w:shd w:val="clear" w:color="auto" w:fill="auto"/>
            <w:vAlign w:val="center"/>
          </w:tcPr>
          <w:p w14:paraId="51CFE966" w14:textId="77777777" w:rsidR="003176D7" w:rsidRPr="00162969" w:rsidRDefault="003176D7" w:rsidP="003176D7">
            <w:pPr>
              <w:keepNext/>
              <w:ind w:left="-170" w:right="397"/>
              <w:jc w:val="right"/>
              <w:rPr>
                <w:rFonts w:cs="Arial"/>
                <w:b/>
                <w:color w:val="0070AD" w:themeColor="accent1"/>
                <w:sz w:val="14"/>
                <w:szCs w:val="14"/>
              </w:rPr>
            </w:pPr>
            <w:r w:rsidRPr="00162969">
              <w:rPr>
                <w:b/>
                <w:color w:val="0070AD" w:themeColor="accent1"/>
                <w:sz w:val="14"/>
                <w:szCs w:val="14"/>
              </w:rPr>
              <w:t>2.75</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3039E052" w14:textId="77777777" w:rsidR="003176D7" w:rsidRPr="00162969" w:rsidRDefault="000163CF" w:rsidP="003176D7">
            <w:pPr>
              <w:keepNext/>
              <w:ind w:left="-170" w:right="397"/>
              <w:jc w:val="right"/>
              <w:rPr>
                <w:rFonts w:cs="Arial"/>
                <w:b/>
                <w:color w:val="0070AD" w:themeColor="accent1"/>
                <w:sz w:val="14"/>
                <w:szCs w:val="14"/>
              </w:rPr>
            </w:pPr>
            <w:r w:rsidRPr="00162969">
              <w:rPr>
                <w:b/>
                <w:color w:val="0070AD" w:themeColor="accent1"/>
                <w:sz w:val="14"/>
                <w:szCs w:val="14"/>
              </w:rPr>
              <w:t>3.08</w:t>
            </w:r>
          </w:p>
        </w:tc>
        <w:tc>
          <w:tcPr>
            <w:tcW w:w="1134" w:type="dxa"/>
            <w:tcBorders>
              <w:top w:val="single" w:sz="8" w:space="0" w:color="0070AD" w:themeColor="accent1"/>
              <w:bottom w:val="single" w:sz="8" w:space="0" w:color="0070AD" w:themeColor="accent1"/>
            </w:tcBorders>
            <w:shd w:val="clear" w:color="auto" w:fill="auto"/>
            <w:vAlign w:val="center"/>
          </w:tcPr>
          <w:p w14:paraId="375F83B4" w14:textId="77777777" w:rsidR="003176D7" w:rsidRPr="00162969" w:rsidRDefault="000163CF" w:rsidP="003176D7">
            <w:pPr>
              <w:keepNext/>
              <w:jc w:val="center"/>
              <w:rPr>
                <w:rFonts w:cs="Arial"/>
                <w:b/>
                <w:color w:val="0070AD" w:themeColor="accent1"/>
                <w:sz w:val="14"/>
                <w:szCs w:val="14"/>
              </w:rPr>
            </w:pPr>
            <w:r w:rsidRPr="00162969">
              <w:rPr>
                <w:b/>
                <w:color w:val="0070AD" w:themeColor="accent1"/>
                <w:sz w:val="14"/>
                <w:szCs w:val="14"/>
              </w:rPr>
              <w:t>+12%</w:t>
            </w:r>
          </w:p>
        </w:tc>
      </w:tr>
    </w:tbl>
    <w:p w14:paraId="1C662D2D" w14:textId="77777777" w:rsidR="00170B33" w:rsidRPr="00162969" w:rsidRDefault="00170B33" w:rsidP="00B00202">
      <w:pPr>
        <w:spacing w:before="120" w:after="120"/>
        <w:rPr>
          <w:rFonts w:ascii="Verdana" w:hAnsi="Verdana" w:cs="Arial"/>
        </w:rPr>
      </w:pPr>
    </w:p>
    <w:bookmarkEnd w:id="18"/>
    <w:p w14:paraId="16DFE5F3" w14:textId="77777777" w:rsidR="006866C7" w:rsidRPr="00162969" w:rsidRDefault="006866C7" w:rsidP="006866C7">
      <w:pPr>
        <w:pStyle w:val="Heading1"/>
      </w:pPr>
      <w:r w:rsidRPr="00162969">
        <w:t xml:space="preserve">CHANGE IN CASH AND CASH EQUIVALENTS AND ORGANIC FREE CASH FLOW </w:t>
      </w:r>
    </w:p>
    <w:tbl>
      <w:tblPr>
        <w:tblW w:w="4948" w:type="pct"/>
        <w:jc w:val="center"/>
        <w:tblCellMar>
          <w:left w:w="0" w:type="dxa"/>
          <w:right w:w="0" w:type="dxa"/>
        </w:tblCellMar>
        <w:tblLook w:val="04A0" w:firstRow="1" w:lastRow="0" w:firstColumn="1" w:lastColumn="0" w:noHBand="0" w:noVBand="1"/>
      </w:tblPr>
      <w:tblGrid>
        <w:gridCol w:w="6338"/>
        <w:gridCol w:w="1870"/>
        <w:gridCol w:w="1868"/>
      </w:tblGrid>
      <w:tr w:rsidR="006866C7" w:rsidRPr="00162969" w14:paraId="32824A7A" w14:textId="77777777" w:rsidTr="00944C01">
        <w:trPr>
          <w:trHeight w:val="227"/>
          <w:jc w:val="center"/>
        </w:trPr>
        <w:tc>
          <w:tcPr>
            <w:tcW w:w="3145"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26856383" w14:textId="77777777" w:rsidR="006866C7" w:rsidRPr="00162969" w:rsidRDefault="006866C7" w:rsidP="00E178EA">
            <w:pPr>
              <w:keepNext/>
              <w:jc w:val="center"/>
              <w:rPr>
                <w:rFonts w:cs="Arial"/>
                <w:sz w:val="14"/>
                <w:szCs w:val="12"/>
              </w:rPr>
            </w:pPr>
            <w:r w:rsidRPr="00162969">
              <w:rPr>
                <w:i/>
                <w:iCs/>
                <w:sz w:val="14"/>
                <w:szCs w:val="12"/>
              </w:rPr>
              <w:t>(In millions of euros)</w:t>
            </w:r>
          </w:p>
        </w:tc>
        <w:tc>
          <w:tcPr>
            <w:tcW w:w="928"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6032BEB2" w14:textId="77777777" w:rsidR="00041C5B" w:rsidRPr="00162969" w:rsidRDefault="006866C7" w:rsidP="002F2D6A">
            <w:pPr>
              <w:keepNext/>
              <w:jc w:val="center"/>
              <w:rPr>
                <w:rFonts w:ascii="Verdana" w:hAnsi="Verdana"/>
                <w:b/>
                <w:sz w:val="14"/>
                <w:szCs w:val="16"/>
              </w:rPr>
            </w:pPr>
            <w:r w:rsidRPr="00162969">
              <w:rPr>
                <w:rFonts w:ascii="Verdana" w:hAnsi="Verdana"/>
                <w:b/>
                <w:sz w:val="14"/>
                <w:szCs w:val="16"/>
              </w:rPr>
              <w:t>H1</w:t>
            </w:r>
            <w:r w:rsidR="002F2D6A" w:rsidRPr="00162969">
              <w:rPr>
                <w:rFonts w:ascii="Verdana" w:hAnsi="Verdana"/>
                <w:b/>
                <w:sz w:val="14"/>
                <w:szCs w:val="16"/>
              </w:rPr>
              <w:t xml:space="preserve"> </w:t>
            </w:r>
            <w:r w:rsidR="00230C70" w:rsidRPr="00162969">
              <w:rPr>
                <w:rFonts w:ascii="Verdana" w:hAnsi="Verdana"/>
                <w:b/>
                <w:sz w:val="14"/>
                <w:szCs w:val="16"/>
              </w:rPr>
              <w:t>2018</w:t>
            </w:r>
          </w:p>
          <w:p w14:paraId="66474FF6" w14:textId="4FDCAF02" w:rsidR="004E1C69" w:rsidRPr="00162969" w:rsidRDefault="004E1C69" w:rsidP="002F2D6A">
            <w:pPr>
              <w:keepNext/>
              <w:jc w:val="center"/>
              <w:rPr>
                <w:rFonts w:cs="Arial"/>
                <w:b/>
                <w:bCs/>
                <w:sz w:val="14"/>
                <w:szCs w:val="12"/>
              </w:rPr>
            </w:pPr>
          </w:p>
        </w:tc>
        <w:tc>
          <w:tcPr>
            <w:tcW w:w="927" w:type="pct"/>
            <w:tcBorders>
              <w:top w:val="nil"/>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58D3731F" w14:textId="77777777" w:rsidR="006866C7" w:rsidRPr="00162969" w:rsidRDefault="006866C7" w:rsidP="00E178EA">
            <w:pPr>
              <w:keepNext/>
              <w:jc w:val="center"/>
              <w:rPr>
                <w:rFonts w:ascii="Verdana" w:hAnsi="Verdana" w:cs="Arial"/>
                <w:b/>
                <w:sz w:val="14"/>
                <w:szCs w:val="16"/>
              </w:rPr>
            </w:pPr>
            <w:r w:rsidRPr="00162969">
              <w:rPr>
                <w:rFonts w:ascii="Verdana" w:hAnsi="Verdana"/>
                <w:b/>
                <w:sz w:val="14"/>
                <w:szCs w:val="16"/>
              </w:rPr>
              <w:t>H1</w:t>
            </w:r>
            <w:r w:rsidR="002F2D6A" w:rsidRPr="00162969">
              <w:rPr>
                <w:rFonts w:ascii="Verdana" w:hAnsi="Verdana"/>
                <w:b/>
                <w:sz w:val="14"/>
                <w:szCs w:val="16"/>
              </w:rPr>
              <w:t xml:space="preserve"> </w:t>
            </w:r>
            <w:r w:rsidR="00230C70" w:rsidRPr="00162969">
              <w:rPr>
                <w:rFonts w:ascii="Verdana" w:hAnsi="Verdana"/>
                <w:b/>
                <w:sz w:val="14"/>
                <w:szCs w:val="16"/>
              </w:rPr>
              <w:t>2019</w:t>
            </w:r>
          </w:p>
          <w:p w14:paraId="42F45589" w14:textId="08078381" w:rsidR="00041C5B" w:rsidRPr="00162969" w:rsidRDefault="00041C5B" w:rsidP="00E178EA">
            <w:pPr>
              <w:keepNext/>
              <w:jc w:val="center"/>
              <w:rPr>
                <w:rFonts w:cs="Arial"/>
                <w:bCs/>
                <w:sz w:val="14"/>
                <w:szCs w:val="12"/>
              </w:rPr>
            </w:pPr>
            <w:r w:rsidRPr="00162969">
              <w:rPr>
                <w:bCs/>
                <w:sz w:val="14"/>
                <w:szCs w:val="16"/>
              </w:rPr>
              <w:t>(IFRS</w:t>
            </w:r>
            <w:r w:rsidR="004E1C69" w:rsidRPr="00162969">
              <w:rPr>
                <w:bCs/>
                <w:sz w:val="14"/>
                <w:szCs w:val="16"/>
              </w:rPr>
              <w:t xml:space="preserve"> </w:t>
            </w:r>
            <w:r w:rsidRPr="00162969">
              <w:rPr>
                <w:bCs/>
                <w:sz w:val="14"/>
                <w:szCs w:val="16"/>
              </w:rPr>
              <w:t>16)</w:t>
            </w:r>
          </w:p>
        </w:tc>
      </w:tr>
      <w:tr w:rsidR="003176D7" w:rsidRPr="00162969" w14:paraId="3EF1C9CD" w14:textId="77777777" w:rsidTr="00944C01">
        <w:trPr>
          <w:trHeight w:val="170"/>
          <w:jc w:val="center"/>
        </w:trPr>
        <w:tc>
          <w:tcPr>
            <w:tcW w:w="3145" w:type="pct"/>
            <w:tcBorders>
              <w:top w:val="single" w:sz="8" w:space="0" w:color="0070AD" w:themeColor="accent1"/>
              <w:left w:val="nil"/>
              <w:bottom w:val="single" w:sz="8" w:space="0" w:color="0070AD" w:themeColor="accent1"/>
              <w:right w:val="nil"/>
            </w:tcBorders>
            <w:tcMar>
              <w:top w:w="28" w:type="dxa"/>
              <w:left w:w="28" w:type="dxa"/>
              <w:bottom w:w="28" w:type="dxa"/>
              <w:right w:w="28" w:type="dxa"/>
            </w:tcMar>
            <w:vAlign w:val="center"/>
            <w:hideMark/>
          </w:tcPr>
          <w:p w14:paraId="4B6FFEC4" w14:textId="77777777" w:rsidR="003176D7" w:rsidRPr="00162969" w:rsidRDefault="003176D7" w:rsidP="003176D7">
            <w:pPr>
              <w:keepNext/>
              <w:ind w:left="114"/>
              <w:rPr>
                <w:rFonts w:cs="Arial"/>
                <w:b/>
                <w:bCs/>
                <w:iCs/>
                <w:color w:val="0070AD" w:themeColor="accent1"/>
                <w:sz w:val="14"/>
                <w:szCs w:val="12"/>
              </w:rPr>
            </w:pPr>
            <w:r w:rsidRPr="00162969">
              <w:rPr>
                <w:b/>
                <w:bCs/>
                <w:iCs/>
                <w:color w:val="0070AD" w:themeColor="accent1"/>
                <w:sz w:val="14"/>
                <w:szCs w:val="12"/>
              </w:rPr>
              <w:t>Cash flow from operations</w:t>
            </w:r>
          </w:p>
        </w:tc>
        <w:tc>
          <w:tcPr>
            <w:tcW w:w="92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228D73E1" w14:textId="77777777" w:rsidR="003176D7" w:rsidRPr="00162969" w:rsidRDefault="003176D7" w:rsidP="003176D7">
            <w:pPr>
              <w:keepNext/>
              <w:ind w:right="538"/>
              <w:jc w:val="right"/>
              <w:rPr>
                <w:rFonts w:cs="Arial"/>
                <w:b/>
                <w:bCs/>
                <w:color w:val="0070AD" w:themeColor="accent1"/>
                <w:sz w:val="14"/>
                <w:szCs w:val="12"/>
              </w:rPr>
            </w:pPr>
            <w:r w:rsidRPr="00162969">
              <w:rPr>
                <w:rFonts w:ascii="Verdana" w:hAnsi="Verdana"/>
                <w:b/>
                <w:bCs/>
                <w:color w:val="0070AD" w:themeColor="accent1"/>
                <w:sz w:val="14"/>
                <w:szCs w:val="18"/>
              </w:rPr>
              <w:t>110</w:t>
            </w:r>
          </w:p>
        </w:tc>
        <w:tc>
          <w:tcPr>
            <w:tcW w:w="927"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27A34DF0" w14:textId="77777777" w:rsidR="003176D7" w:rsidRPr="00162969" w:rsidRDefault="00E11780" w:rsidP="003176D7">
            <w:pPr>
              <w:keepNext/>
              <w:ind w:right="538"/>
              <w:jc w:val="right"/>
              <w:rPr>
                <w:rFonts w:cs="Arial"/>
                <w:b/>
                <w:bCs/>
                <w:color w:val="0070AD" w:themeColor="accent1"/>
                <w:sz w:val="14"/>
                <w:szCs w:val="12"/>
              </w:rPr>
            </w:pPr>
            <w:r w:rsidRPr="00162969">
              <w:rPr>
                <w:rFonts w:ascii="Verdana" w:hAnsi="Verdana"/>
                <w:b/>
                <w:bCs/>
                <w:color w:val="0070AD" w:themeColor="accent1"/>
                <w:sz w:val="14"/>
                <w:szCs w:val="18"/>
              </w:rPr>
              <w:t>337</w:t>
            </w:r>
          </w:p>
        </w:tc>
      </w:tr>
      <w:tr w:rsidR="003176D7" w:rsidRPr="00162969" w14:paraId="2480894F" w14:textId="77777777" w:rsidTr="00947745">
        <w:trPr>
          <w:trHeight w:val="170"/>
          <w:jc w:val="center"/>
        </w:trPr>
        <w:tc>
          <w:tcPr>
            <w:tcW w:w="3145" w:type="pct"/>
            <w:tcBorders>
              <w:top w:val="single" w:sz="8" w:space="0" w:color="0070AD" w:themeColor="accent1"/>
              <w:left w:val="nil"/>
              <w:right w:val="nil"/>
            </w:tcBorders>
            <w:tcMar>
              <w:top w:w="28" w:type="dxa"/>
              <w:left w:w="28" w:type="dxa"/>
              <w:bottom w:w="28" w:type="dxa"/>
              <w:right w:w="28" w:type="dxa"/>
            </w:tcMar>
            <w:vAlign w:val="center"/>
            <w:hideMark/>
          </w:tcPr>
          <w:p w14:paraId="5CD7A09A" w14:textId="77777777" w:rsidR="003176D7" w:rsidRPr="00162969" w:rsidRDefault="003176D7" w:rsidP="003176D7">
            <w:pPr>
              <w:keepNext/>
              <w:ind w:left="256"/>
              <w:rPr>
                <w:rFonts w:cs="Arial"/>
                <w:bCs/>
                <w:sz w:val="14"/>
                <w:szCs w:val="12"/>
              </w:rPr>
            </w:pPr>
            <w:r w:rsidRPr="00162969">
              <w:rPr>
                <w:bCs/>
                <w:sz w:val="14"/>
                <w:szCs w:val="12"/>
              </w:rPr>
              <w:t>Acquisitions of property, plant and equipment and intangible assets, net of disposals</w:t>
            </w:r>
          </w:p>
        </w:tc>
        <w:tc>
          <w:tcPr>
            <w:tcW w:w="928" w:type="pct"/>
            <w:tcBorders>
              <w:top w:val="single" w:sz="8" w:space="0" w:color="0070AD" w:themeColor="accent1"/>
              <w:left w:val="nil"/>
              <w:right w:val="nil"/>
            </w:tcBorders>
            <w:shd w:val="clear" w:color="auto" w:fill="auto"/>
            <w:tcMar>
              <w:top w:w="28" w:type="dxa"/>
              <w:left w:w="28" w:type="dxa"/>
              <w:bottom w:w="28" w:type="dxa"/>
              <w:right w:w="28" w:type="dxa"/>
            </w:tcMar>
            <w:vAlign w:val="center"/>
            <w:hideMark/>
          </w:tcPr>
          <w:p w14:paraId="573919B2" w14:textId="77777777" w:rsidR="003176D7" w:rsidRPr="00162969" w:rsidRDefault="003176D7" w:rsidP="003176D7">
            <w:pPr>
              <w:keepNext/>
              <w:ind w:right="538"/>
              <w:jc w:val="right"/>
              <w:rPr>
                <w:rFonts w:cs="Arial"/>
                <w:sz w:val="14"/>
                <w:szCs w:val="12"/>
              </w:rPr>
            </w:pPr>
            <w:r w:rsidRPr="00162969">
              <w:rPr>
                <w:rFonts w:ascii="Verdana" w:hAnsi="Verdana"/>
                <w:bCs/>
                <w:sz w:val="14"/>
                <w:szCs w:val="18"/>
              </w:rPr>
              <w:t>(109)</w:t>
            </w:r>
          </w:p>
        </w:tc>
        <w:tc>
          <w:tcPr>
            <w:tcW w:w="927" w:type="pct"/>
            <w:tcBorders>
              <w:top w:val="single" w:sz="8" w:space="0" w:color="0070AD" w:themeColor="accent1"/>
              <w:left w:val="nil"/>
              <w:right w:val="nil"/>
            </w:tcBorders>
            <w:shd w:val="clear" w:color="auto" w:fill="BBE7FF" w:themeFill="accent1" w:themeFillTint="33"/>
            <w:tcMar>
              <w:top w:w="28" w:type="dxa"/>
              <w:left w:w="28" w:type="dxa"/>
              <w:bottom w:w="28" w:type="dxa"/>
              <w:right w:w="28" w:type="dxa"/>
            </w:tcMar>
            <w:vAlign w:val="center"/>
            <w:hideMark/>
          </w:tcPr>
          <w:p w14:paraId="449BB521" w14:textId="77777777" w:rsidR="003176D7" w:rsidRPr="00162969" w:rsidRDefault="003176D7" w:rsidP="003176D7">
            <w:pPr>
              <w:keepNext/>
              <w:ind w:right="538"/>
              <w:jc w:val="right"/>
              <w:rPr>
                <w:rFonts w:cs="Arial"/>
                <w:sz w:val="14"/>
                <w:szCs w:val="12"/>
              </w:rPr>
            </w:pPr>
            <w:r w:rsidRPr="00162969">
              <w:rPr>
                <w:rFonts w:ascii="Verdana" w:hAnsi="Verdana"/>
                <w:bCs/>
                <w:sz w:val="14"/>
                <w:szCs w:val="18"/>
              </w:rPr>
              <w:t>(118)</w:t>
            </w:r>
          </w:p>
        </w:tc>
      </w:tr>
      <w:tr w:rsidR="003176D7" w:rsidRPr="00162969" w14:paraId="52EEC92C" w14:textId="77777777" w:rsidTr="00947745">
        <w:trPr>
          <w:trHeight w:val="170"/>
          <w:jc w:val="center"/>
        </w:trPr>
        <w:tc>
          <w:tcPr>
            <w:tcW w:w="3145" w:type="pct"/>
            <w:tcBorders>
              <w:top w:val="nil"/>
              <w:left w:val="nil"/>
              <w:right w:val="nil"/>
            </w:tcBorders>
            <w:tcMar>
              <w:top w:w="28" w:type="dxa"/>
              <w:left w:w="28" w:type="dxa"/>
              <w:bottom w:w="28" w:type="dxa"/>
              <w:right w:w="28" w:type="dxa"/>
            </w:tcMar>
            <w:vAlign w:val="center"/>
            <w:hideMark/>
          </w:tcPr>
          <w:p w14:paraId="722058C3" w14:textId="77777777" w:rsidR="003176D7" w:rsidRPr="00162969" w:rsidRDefault="003176D7" w:rsidP="003176D7">
            <w:pPr>
              <w:keepNext/>
              <w:ind w:left="256"/>
              <w:rPr>
                <w:rFonts w:cs="Arial"/>
                <w:sz w:val="14"/>
                <w:szCs w:val="12"/>
              </w:rPr>
            </w:pPr>
            <w:r w:rsidRPr="00162969">
              <w:rPr>
                <w:bCs/>
                <w:sz w:val="14"/>
                <w:szCs w:val="12"/>
              </w:rPr>
              <w:t>Net interest cost</w:t>
            </w:r>
          </w:p>
        </w:tc>
        <w:tc>
          <w:tcPr>
            <w:tcW w:w="928" w:type="pct"/>
            <w:tcBorders>
              <w:top w:val="nil"/>
              <w:left w:val="nil"/>
              <w:right w:val="nil"/>
            </w:tcBorders>
            <w:shd w:val="clear" w:color="auto" w:fill="auto"/>
            <w:tcMar>
              <w:top w:w="28" w:type="dxa"/>
              <w:left w:w="28" w:type="dxa"/>
              <w:bottom w:w="28" w:type="dxa"/>
              <w:right w:w="28" w:type="dxa"/>
            </w:tcMar>
            <w:vAlign w:val="center"/>
            <w:hideMark/>
          </w:tcPr>
          <w:p w14:paraId="5DFA3277" w14:textId="77777777" w:rsidR="003176D7" w:rsidRPr="00162969" w:rsidRDefault="003176D7" w:rsidP="003176D7">
            <w:pPr>
              <w:keepNext/>
              <w:ind w:right="538"/>
              <w:jc w:val="right"/>
              <w:rPr>
                <w:rFonts w:cs="Arial"/>
                <w:sz w:val="14"/>
                <w:szCs w:val="12"/>
              </w:rPr>
            </w:pPr>
            <w:r w:rsidRPr="00162969">
              <w:rPr>
                <w:rFonts w:ascii="Verdana" w:hAnsi="Verdana"/>
                <w:bCs/>
                <w:sz w:val="14"/>
                <w:szCs w:val="18"/>
              </w:rPr>
              <w:t>10</w:t>
            </w:r>
          </w:p>
        </w:tc>
        <w:tc>
          <w:tcPr>
            <w:tcW w:w="927" w:type="pct"/>
            <w:tcBorders>
              <w:top w:val="nil"/>
              <w:left w:val="nil"/>
              <w:right w:val="nil"/>
            </w:tcBorders>
            <w:shd w:val="clear" w:color="auto" w:fill="BBE7FF" w:themeFill="accent1" w:themeFillTint="33"/>
            <w:tcMar>
              <w:top w:w="28" w:type="dxa"/>
              <w:left w:w="28" w:type="dxa"/>
              <w:bottom w:w="28" w:type="dxa"/>
              <w:right w:w="28" w:type="dxa"/>
            </w:tcMar>
            <w:vAlign w:val="center"/>
            <w:hideMark/>
          </w:tcPr>
          <w:p w14:paraId="626EE25C" w14:textId="77777777" w:rsidR="003176D7" w:rsidRPr="00162969" w:rsidRDefault="003176D7" w:rsidP="003176D7">
            <w:pPr>
              <w:keepNext/>
              <w:ind w:right="538"/>
              <w:jc w:val="right"/>
              <w:rPr>
                <w:rFonts w:cs="Arial"/>
                <w:sz w:val="14"/>
                <w:szCs w:val="12"/>
              </w:rPr>
            </w:pPr>
            <w:r w:rsidRPr="00162969">
              <w:rPr>
                <w:rFonts w:ascii="Verdana" w:hAnsi="Verdana"/>
                <w:bCs/>
                <w:sz w:val="14"/>
                <w:szCs w:val="18"/>
              </w:rPr>
              <w:t>13</w:t>
            </w:r>
          </w:p>
        </w:tc>
      </w:tr>
      <w:tr w:rsidR="003176D7" w:rsidRPr="00162969" w14:paraId="13288B12" w14:textId="77777777" w:rsidTr="00041C5B">
        <w:trPr>
          <w:trHeight w:val="170"/>
          <w:jc w:val="center"/>
        </w:trPr>
        <w:tc>
          <w:tcPr>
            <w:tcW w:w="3145" w:type="pct"/>
            <w:tcBorders>
              <w:left w:val="nil"/>
              <w:bottom w:val="single" w:sz="8" w:space="0" w:color="0070AD" w:themeColor="accent1"/>
              <w:right w:val="nil"/>
            </w:tcBorders>
            <w:shd w:val="clear" w:color="auto" w:fill="auto"/>
            <w:tcMar>
              <w:top w:w="28" w:type="dxa"/>
              <w:left w:w="28" w:type="dxa"/>
              <w:bottom w:w="28" w:type="dxa"/>
              <w:right w:w="28" w:type="dxa"/>
            </w:tcMar>
            <w:vAlign w:val="center"/>
          </w:tcPr>
          <w:p w14:paraId="2DA89073" w14:textId="77777777" w:rsidR="003176D7" w:rsidRPr="00162969" w:rsidRDefault="00CB7BCE" w:rsidP="003176D7">
            <w:pPr>
              <w:keepNext/>
              <w:ind w:left="256"/>
              <w:rPr>
                <w:rFonts w:cs="Arial"/>
                <w:b/>
                <w:i/>
                <w:caps/>
                <w:color w:val="0070AD" w:themeColor="accent1"/>
                <w:sz w:val="14"/>
                <w:szCs w:val="14"/>
              </w:rPr>
            </w:pPr>
            <w:r w:rsidRPr="00162969">
              <w:rPr>
                <w:bCs/>
                <w:sz w:val="14"/>
                <w:szCs w:val="12"/>
              </w:rPr>
              <w:t>Repayments of lease liabilities</w:t>
            </w:r>
          </w:p>
        </w:tc>
        <w:tc>
          <w:tcPr>
            <w:tcW w:w="928" w:type="pct"/>
            <w:tcBorders>
              <w:left w:val="nil"/>
              <w:bottom w:val="single" w:sz="8" w:space="0" w:color="0070AD" w:themeColor="accent1"/>
              <w:right w:val="nil"/>
            </w:tcBorders>
            <w:shd w:val="clear" w:color="auto" w:fill="auto"/>
            <w:tcMar>
              <w:top w:w="28" w:type="dxa"/>
              <w:left w:w="28" w:type="dxa"/>
              <w:bottom w:w="28" w:type="dxa"/>
              <w:right w:w="28" w:type="dxa"/>
            </w:tcMar>
            <w:vAlign w:val="center"/>
          </w:tcPr>
          <w:p w14:paraId="36BA6218" w14:textId="77777777" w:rsidR="003176D7" w:rsidRPr="00162969" w:rsidRDefault="00041C5B" w:rsidP="003176D7">
            <w:pPr>
              <w:keepNext/>
              <w:ind w:right="538"/>
              <w:jc w:val="right"/>
              <w:rPr>
                <w:rFonts w:ascii="Verdana" w:hAnsi="Verdana" w:cs="Arial"/>
                <w:bCs/>
                <w:sz w:val="14"/>
                <w:szCs w:val="18"/>
              </w:rPr>
            </w:pPr>
            <w:r w:rsidRPr="00162969">
              <w:rPr>
                <w:rFonts w:ascii="Verdana" w:hAnsi="Verdana"/>
                <w:bCs/>
                <w:sz w:val="14"/>
                <w:szCs w:val="18"/>
              </w:rPr>
              <w:t>None</w:t>
            </w:r>
          </w:p>
        </w:tc>
        <w:tc>
          <w:tcPr>
            <w:tcW w:w="927" w:type="pct"/>
            <w:tcBorders>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tcPr>
          <w:p w14:paraId="27521627" w14:textId="77777777" w:rsidR="003176D7" w:rsidRPr="00162969" w:rsidRDefault="00E11780" w:rsidP="003176D7">
            <w:pPr>
              <w:keepNext/>
              <w:ind w:right="538"/>
              <w:jc w:val="right"/>
              <w:rPr>
                <w:rFonts w:ascii="Verdana" w:hAnsi="Verdana" w:cs="Arial"/>
                <w:bCs/>
                <w:sz w:val="14"/>
                <w:szCs w:val="18"/>
              </w:rPr>
            </w:pPr>
            <w:r w:rsidRPr="00162969">
              <w:rPr>
                <w:rFonts w:ascii="Verdana" w:hAnsi="Verdana"/>
                <w:bCs/>
                <w:sz w:val="14"/>
                <w:szCs w:val="18"/>
              </w:rPr>
              <w:t>(142)</w:t>
            </w:r>
          </w:p>
        </w:tc>
      </w:tr>
      <w:tr w:rsidR="003176D7" w:rsidRPr="00162969" w14:paraId="10DE0D6B" w14:textId="77777777" w:rsidTr="005F1452">
        <w:trPr>
          <w:trHeight w:val="170"/>
          <w:jc w:val="center"/>
        </w:trPr>
        <w:tc>
          <w:tcPr>
            <w:tcW w:w="3145" w:type="pct"/>
            <w:tcBorders>
              <w:top w:val="single" w:sz="8" w:space="0" w:color="0070AD" w:themeColor="accent1"/>
              <w:left w:val="nil"/>
              <w:bottom w:val="single" w:sz="8" w:space="0" w:color="0070AD" w:themeColor="accent1"/>
              <w:right w:val="nil"/>
            </w:tcBorders>
            <w:tcMar>
              <w:top w:w="28" w:type="dxa"/>
              <w:left w:w="28" w:type="dxa"/>
              <w:bottom w:w="28" w:type="dxa"/>
              <w:right w:w="28" w:type="dxa"/>
            </w:tcMar>
            <w:vAlign w:val="center"/>
            <w:hideMark/>
          </w:tcPr>
          <w:p w14:paraId="156BEE29" w14:textId="77777777" w:rsidR="003176D7" w:rsidRPr="00162969" w:rsidRDefault="003176D7" w:rsidP="003176D7">
            <w:pPr>
              <w:keepNext/>
              <w:ind w:left="114"/>
              <w:rPr>
                <w:rFonts w:cs="Arial"/>
                <w:b/>
                <w:caps/>
                <w:color w:val="0070AD" w:themeColor="accent1"/>
                <w:sz w:val="14"/>
                <w:szCs w:val="14"/>
              </w:rPr>
            </w:pPr>
            <w:r w:rsidRPr="00162969">
              <w:rPr>
                <w:b/>
                <w:caps/>
                <w:color w:val="0070AD" w:themeColor="accent1"/>
                <w:sz w:val="14"/>
                <w:szCs w:val="14"/>
              </w:rPr>
              <w:t>Organic Free Cash Flow</w:t>
            </w:r>
          </w:p>
        </w:tc>
        <w:tc>
          <w:tcPr>
            <w:tcW w:w="92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689C4C58" w14:textId="77777777" w:rsidR="003176D7" w:rsidRPr="00162969" w:rsidRDefault="003176D7" w:rsidP="003176D7">
            <w:pPr>
              <w:keepNext/>
              <w:ind w:right="538"/>
              <w:jc w:val="right"/>
              <w:rPr>
                <w:rFonts w:cs="Arial"/>
                <w:b/>
                <w:bCs/>
                <w:iCs/>
                <w:color w:val="0070AD" w:themeColor="accent1"/>
                <w:sz w:val="14"/>
                <w:szCs w:val="12"/>
              </w:rPr>
            </w:pPr>
            <w:r w:rsidRPr="00162969">
              <w:rPr>
                <w:rFonts w:ascii="Verdana" w:hAnsi="Verdana"/>
                <w:b/>
                <w:bCs/>
                <w:color w:val="0070AD" w:themeColor="accent1"/>
                <w:sz w:val="14"/>
                <w:szCs w:val="18"/>
              </w:rPr>
              <w:t>11</w:t>
            </w:r>
          </w:p>
        </w:tc>
        <w:tc>
          <w:tcPr>
            <w:tcW w:w="927"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4F29C7AD" w14:textId="77777777" w:rsidR="003176D7" w:rsidRPr="00162969" w:rsidRDefault="00E11780" w:rsidP="003176D7">
            <w:pPr>
              <w:keepNext/>
              <w:ind w:right="538"/>
              <w:jc w:val="right"/>
              <w:rPr>
                <w:rFonts w:cs="Arial"/>
                <w:b/>
                <w:bCs/>
                <w:iCs/>
                <w:color w:val="0070AD" w:themeColor="accent1"/>
                <w:sz w:val="14"/>
                <w:szCs w:val="12"/>
              </w:rPr>
            </w:pPr>
            <w:r w:rsidRPr="00162969">
              <w:rPr>
                <w:b/>
                <w:bCs/>
                <w:iCs/>
                <w:color w:val="0070AD" w:themeColor="accent1"/>
                <w:sz w:val="14"/>
                <w:szCs w:val="12"/>
              </w:rPr>
              <w:t>90</w:t>
            </w:r>
          </w:p>
        </w:tc>
      </w:tr>
      <w:tr w:rsidR="003176D7" w:rsidRPr="00162969" w14:paraId="52EE9B5A" w14:textId="77777777" w:rsidTr="005F1452">
        <w:trPr>
          <w:trHeight w:val="170"/>
          <w:jc w:val="center"/>
        </w:trPr>
        <w:tc>
          <w:tcPr>
            <w:tcW w:w="3145" w:type="pct"/>
            <w:tcBorders>
              <w:top w:val="single" w:sz="8" w:space="0" w:color="0070AD" w:themeColor="accent1"/>
              <w:left w:val="nil"/>
              <w:bottom w:val="single" w:sz="8" w:space="0" w:color="0070AD" w:themeColor="accent1"/>
              <w:right w:val="nil"/>
            </w:tcBorders>
            <w:tcMar>
              <w:top w:w="28" w:type="dxa"/>
              <w:left w:w="28" w:type="dxa"/>
              <w:bottom w:w="28" w:type="dxa"/>
              <w:right w:w="28" w:type="dxa"/>
            </w:tcMar>
            <w:vAlign w:val="center"/>
          </w:tcPr>
          <w:p w14:paraId="31B585FB" w14:textId="77777777" w:rsidR="003176D7" w:rsidRPr="00162969" w:rsidRDefault="003176D7" w:rsidP="003176D7">
            <w:pPr>
              <w:keepNext/>
              <w:ind w:left="256"/>
              <w:rPr>
                <w:rFonts w:cs="Arial"/>
                <w:bCs/>
                <w:sz w:val="14"/>
                <w:szCs w:val="12"/>
              </w:rPr>
            </w:pPr>
            <w:r w:rsidRPr="00162969">
              <w:rPr>
                <w:bCs/>
                <w:sz w:val="14"/>
                <w:szCs w:val="12"/>
              </w:rPr>
              <w:t>Other cash flows from (used in) investing and financing activities</w:t>
            </w:r>
          </w:p>
        </w:tc>
        <w:tc>
          <w:tcPr>
            <w:tcW w:w="92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tcPr>
          <w:p w14:paraId="1BE1CC4C" w14:textId="77777777" w:rsidR="003176D7" w:rsidRPr="00162969" w:rsidRDefault="003176D7" w:rsidP="003176D7">
            <w:pPr>
              <w:keepNext/>
              <w:ind w:right="538"/>
              <w:jc w:val="right"/>
              <w:rPr>
                <w:rFonts w:cs="Arial"/>
                <w:bCs/>
                <w:sz w:val="14"/>
                <w:szCs w:val="12"/>
              </w:rPr>
            </w:pPr>
            <w:r w:rsidRPr="00162969">
              <w:rPr>
                <w:rFonts w:ascii="Verdana" w:hAnsi="Verdana"/>
                <w:bCs/>
                <w:sz w:val="14"/>
                <w:szCs w:val="18"/>
              </w:rPr>
              <w:t>(223)</w:t>
            </w:r>
          </w:p>
        </w:tc>
        <w:tc>
          <w:tcPr>
            <w:tcW w:w="927"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tcPr>
          <w:p w14:paraId="4067387B" w14:textId="77777777" w:rsidR="003176D7" w:rsidRPr="00162969" w:rsidRDefault="003176D7" w:rsidP="003176D7">
            <w:pPr>
              <w:keepNext/>
              <w:ind w:right="538"/>
              <w:jc w:val="right"/>
              <w:rPr>
                <w:rFonts w:cs="Arial"/>
                <w:bCs/>
                <w:color w:val="FF0000"/>
                <w:sz w:val="14"/>
                <w:szCs w:val="12"/>
              </w:rPr>
            </w:pPr>
            <w:r w:rsidRPr="00162969">
              <w:rPr>
                <w:rFonts w:ascii="Verdana" w:hAnsi="Verdana"/>
                <w:bCs/>
                <w:sz w:val="14"/>
                <w:szCs w:val="18"/>
              </w:rPr>
              <w:t>(416)</w:t>
            </w:r>
          </w:p>
        </w:tc>
      </w:tr>
      <w:tr w:rsidR="003176D7" w:rsidRPr="00162969" w14:paraId="722139A2" w14:textId="77777777" w:rsidTr="005F1452">
        <w:trPr>
          <w:trHeight w:val="170"/>
          <w:jc w:val="center"/>
        </w:trPr>
        <w:tc>
          <w:tcPr>
            <w:tcW w:w="3145" w:type="pct"/>
            <w:tcBorders>
              <w:top w:val="single" w:sz="8" w:space="0" w:color="0070AD" w:themeColor="accent1"/>
              <w:left w:val="nil"/>
              <w:bottom w:val="single" w:sz="8" w:space="0" w:color="0070AD" w:themeColor="accent1"/>
              <w:right w:val="nil"/>
            </w:tcBorders>
            <w:tcMar>
              <w:top w:w="28" w:type="dxa"/>
              <w:left w:w="28" w:type="dxa"/>
              <w:bottom w:w="28" w:type="dxa"/>
              <w:right w:w="28" w:type="dxa"/>
            </w:tcMar>
            <w:vAlign w:val="center"/>
            <w:hideMark/>
          </w:tcPr>
          <w:p w14:paraId="26CAAF47" w14:textId="77777777" w:rsidR="003176D7" w:rsidRPr="00162969" w:rsidRDefault="003176D7" w:rsidP="003176D7">
            <w:pPr>
              <w:keepNext/>
              <w:ind w:left="114"/>
              <w:rPr>
                <w:rFonts w:cs="Arial"/>
                <w:b/>
                <w:bCs/>
                <w:iCs/>
                <w:color w:val="0070AD" w:themeColor="accent1"/>
                <w:sz w:val="14"/>
                <w:szCs w:val="12"/>
              </w:rPr>
            </w:pPr>
            <w:r w:rsidRPr="00162969">
              <w:rPr>
                <w:b/>
                <w:bCs/>
                <w:iCs/>
                <w:color w:val="0070AD" w:themeColor="accent1"/>
                <w:sz w:val="14"/>
                <w:szCs w:val="12"/>
              </w:rPr>
              <w:t>Increase (decrease) in cash and cash equivalents</w:t>
            </w:r>
          </w:p>
        </w:tc>
        <w:tc>
          <w:tcPr>
            <w:tcW w:w="92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48B2F9A1" w14:textId="77777777" w:rsidR="003176D7" w:rsidRPr="00162969" w:rsidRDefault="003176D7" w:rsidP="003176D7">
            <w:pPr>
              <w:keepNext/>
              <w:ind w:right="538"/>
              <w:jc w:val="right"/>
              <w:rPr>
                <w:rFonts w:cs="Arial"/>
                <w:b/>
                <w:bCs/>
                <w:iCs/>
                <w:color w:val="0070AD" w:themeColor="accent1"/>
                <w:sz w:val="14"/>
                <w:szCs w:val="12"/>
              </w:rPr>
            </w:pPr>
            <w:r w:rsidRPr="00162969">
              <w:rPr>
                <w:rFonts w:ascii="Verdana" w:hAnsi="Verdana"/>
                <w:b/>
                <w:bCs/>
                <w:color w:val="0070AD" w:themeColor="accent1"/>
                <w:sz w:val="14"/>
                <w:szCs w:val="18"/>
              </w:rPr>
              <w:t>(212)</w:t>
            </w:r>
          </w:p>
        </w:tc>
        <w:tc>
          <w:tcPr>
            <w:tcW w:w="927"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151F703B" w14:textId="77777777" w:rsidR="003176D7" w:rsidRPr="00162969" w:rsidRDefault="003176D7" w:rsidP="003176D7">
            <w:pPr>
              <w:keepNext/>
              <w:ind w:right="538"/>
              <w:jc w:val="right"/>
              <w:rPr>
                <w:rFonts w:cs="Arial"/>
                <w:b/>
                <w:bCs/>
                <w:iCs/>
                <w:color w:val="0070AD" w:themeColor="accent1"/>
                <w:sz w:val="14"/>
                <w:szCs w:val="12"/>
              </w:rPr>
            </w:pPr>
            <w:r w:rsidRPr="00162969">
              <w:rPr>
                <w:rFonts w:ascii="Verdana" w:hAnsi="Verdana"/>
                <w:b/>
                <w:bCs/>
                <w:color w:val="0070AD" w:themeColor="accent1"/>
                <w:sz w:val="14"/>
                <w:szCs w:val="18"/>
              </w:rPr>
              <w:t>(326)</w:t>
            </w:r>
          </w:p>
        </w:tc>
      </w:tr>
      <w:tr w:rsidR="003176D7" w:rsidRPr="00162969" w14:paraId="53642268" w14:textId="77777777" w:rsidTr="005F1452">
        <w:trPr>
          <w:trHeight w:val="170"/>
          <w:jc w:val="center"/>
        </w:trPr>
        <w:tc>
          <w:tcPr>
            <w:tcW w:w="3145" w:type="pct"/>
            <w:tcBorders>
              <w:top w:val="single" w:sz="8" w:space="0" w:color="0070AD" w:themeColor="accent1"/>
              <w:left w:val="nil"/>
              <w:bottom w:val="single" w:sz="8" w:space="0" w:color="0070AD" w:themeColor="accent1"/>
              <w:right w:val="nil"/>
            </w:tcBorders>
            <w:tcMar>
              <w:top w:w="28" w:type="dxa"/>
              <w:left w:w="28" w:type="dxa"/>
              <w:bottom w:w="28" w:type="dxa"/>
              <w:right w:w="28" w:type="dxa"/>
            </w:tcMar>
            <w:vAlign w:val="center"/>
          </w:tcPr>
          <w:p w14:paraId="7FACF083" w14:textId="77777777" w:rsidR="003176D7" w:rsidRPr="00162969" w:rsidRDefault="003176D7" w:rsidP="003176D7">
            <w:pPr>
              <w:keepNext/>
              <w:ind w:left="256"/>
              <w:rPr>
                <w:rFonts w:cs="Arial"/>
                <w:bCs/>
                <w:sz w:val="14"/>
                <w:szCs w:val="12"/>
              </w:rPr>
            </w:pPr>
            <w:r w:rsidRPr="00162969">
              <w:rPr>
                <w:bCs/>
                <w:sz w:val="14"/>
                <w:szCs w:val="12"/>
              </w:rPr>
              <w:t>Effect of exchange rate fluctuations</w:t>
            </w:r>
          </w:p>
        </w:tc>
        <w:tc>
          <w:tcPr>
            <w:tcW w:w="92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tcPr>
          <w:p w14:paraId="2893CAC0" w14:textId="77777777" w:rsidR="003176D7" w:rsidRPr="00162969" w:rsidRDefault="003176D7" w:rsidP="003176D7">
            <w:pPr>
              <w:keepNext/>
              <w:ind w:right="538"/>
              <w:jc w:val="right"/>
              <w:rPr>
                <w:rFonts w:cs="Arial"/>
                <w:bCs/>
                <w:sz w:val="14"/>
                <w:szCs w:val="12"/>
              </w:rPr>
            </w:pPr>
            <w:r w:rsidRPr="00162969">
              <w:rPr>
                <w:rFonts w:ascii="Verdana" w:hAnsi="Verdana"/>
                <w:bCs/>
                <w:sz w:val="14"/>
                <w:szCs w:val="18"/>
              </w:rPr>
              <w:t>(26)</w:t>
            </w:r>
          </w:p>
        </w:tc>
        <w:tc>
          <w:tcPr>
            <w:tcW w:w="927"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tcPr>
          <w:p w14:paraId="48D5F6A6" w14:textId="77777777" w:rsidR="003176D7" w:rsidRPr="00162969" w:rsidRDefault="003176D7" w:rsidP="003176D7">
            <w:pPr>
              <w:keepNext/>
              <w:ind w:right="538"/>
              <w:jc w:val="right"/>
              <w:rPr>
                <w:rFonts w:cs="Arial"/>
                <w:bCs/>
                <w:color w:val="FF0000"/>
                <w:sz w:val="14"/>
                <w:szCs w:val="12"/>
              </w:rPr>
            </w:pPr>
            <w:r w:rsidRPr="00162969">
              <w:rPr>
                <w:rFonts w:ascii="Verdana" w:hAnsi="Verdana"/>
                <w:bCs/>
                <w:sz w:val="14"/>
                <w:szCs w:val="18"/>
              </w:rPr>
              <w:t>(15)</w:t>
            </w:r>
          </w:p>
        </w:tc>
      </w:tr>
      <w:tr w:rsidR="003176D7" w:rsidRPr="00162969" w14:paraId="15F62989" w14:textId="77777777" w:rsidTr="00944C01">
        <w:trPr>
          <w:trHeight w:val="170"/>
          <w:jc w:val="center"/>
        </w:trPr>
        <w:tc>
          <w:tcPr>
            <w:tcW w:w="3145" w:type="pct"/>
            <w:tcBorders>
              <w:top w:val="single" w:sz="8" w:space="0" w:color="0070AD" w:themeColor="accent1"/>
              <w:left w:val="nil"/>
              <w:right w:val="nil"/>
            </w:tcBorders>
            <w:tcMar>
              <w:top w:w="28" w:type="dxa"/>
              <w:left w:w="28" w:type="dxa"/>
              <w:bottom w:w="28" w:type="dxa"/>
              <w:right w:w="28" w:type="dxa"/>
            </w:tcMar>
            <w:vAlign w:val="center"/>
          </w:tcPr>
          <w:p w14:paraId="4388E365" w14:textId="77777777" w:rsidR="003176D7" w:rsidRPr="00162969" w:rsidRDefault="003176D7" w:rsidP="003176D7">
            <w:pPr>
              <w:keepNext/>
              <w:ind w:left="114"/>
              <w:rPr>
                <w:rFonts w:cs="Arial"/>
                <w:b/>
                <w:bCs/>
                <w:iCs/>
                <w:color w:val="0070AD" w:themeColor="accent1"/>
                <w:sz w:val="14"/>
                <w:szCs w:val="12"/>
              </w:rPr>
            </w:pPr>
            <w:r w:rsidRPr="00162969">
              <w:rPr>
                <w:b/>
                <w:bCs/>
                <w:iCs/>
                <w:color w:val="0070AD" w:themeColor="accent1"/>
                <w:sz w:val="14"/>
                <w:szCs w:val="12"/>
              </w:rPr>
              <w:t>Opening cash and cash equivalents, net of bank overdraft</w:t>
            </w:r>
          </w:p>
        </w:tc>
        <w:tc>
          <w:tcPr>
            <w:tcW w:w="928" w:type="pct"/>
            <w:tcBorders>
              <w:top w:val="single" w:sz="8" w:space="0" w:color="0070AD" w:themeColor="accent1"/>
              <w:left w:val="nil"/>
              <w:right w:val="nil"/>
            </w:tcBorders>
            <w:shd w:val="clear" w:color="auto" w:fill="auto"/>
            <w:tcMar>
              <w:top w:w="28" w:type="dxa"/>
              <w:left w:w="28" w:type="dxa"/>
              <w:bottom w:w="28" w:type="dxa"/>
              <w:right w:w="28" w:type="dxa"/>
            </w:tcMar>
            <w:vAlign w:val="center"/>
          </w:tcPr>
          <w:p w14:paraId="75887DF1" w14:textId="77777777" w:rsidR="003176D7" w:rsidRPr="00162969" w:rsidRDefault="003176D7" w:rsidP="003176D7">
            <w:pPr>
              <w:keepNext/>
              <w:ind w:right="538"/>
              <w:jc w:val="right"/>
              <w:rPr>
                <w:rFonts w:cs="Arial"/>
                <w:b/>
                <w:bCs/>
                <w:color w:val="0070AD" w:themeColor="accent1"/>
                <w:sz w:val="14"/>
                <w:szCs w:val="12"/>
              </w:rPr>
            </w:pPr>
            <w:r w:rsidRPr="00162969">
              <w:rPr>
                <w:rFonts w:ascii="Verdana" w:hAnsi="Verdana"/>
                <w:b/>
                <w:bCs/>
                <w:color w:val="0070AD" w:themeColor="accent1"/>
                <w:sz w:val="14"/>
                <w:szCs w:val="18"/>
              </w:rPr>
              <w:t>1,988</w:t>
            </w:r>
          </w:p>
        </w:tc>
        <w:tc>
          <w:tcPr>
            <w:tcW w:w="927" w:type="pct"/>
            <w:tcBorders>
              <w:top w:val="single" w:sz="8" w:space="0" w:color="0070AD" w:themeColor="accent1"/>
              <w:left w:val="nil"/>
              <w:right w:val="nil"/>
            </w:tcBorders>
            <w:shd w:val="clear" w:color="auto" w:fill="BBE7FF" w:themeFill="accent1" w:themeFillTint="33"/>
            <w:tcMar>
              <w:top w:w="28" w:type="dxa"/>
              <w:left w:w="28" w:type="dxa"/>
              <w:bottom w:w="28" w:type="dxa"/>
              <w:right w:w="28" w:type="dxa"/>
            </w:tcMar>
            <w:vAlign w:val="center"/>
          </w:tcPr>
          <w:p w14:paraId="1054881B" w14:textId="77777777" w:rsidR="003176D7" w:rsidRPr="00162969" w:rsidRDefault="008B29EF" w:rsidP="003176D7">
            <w:pPr>
              <w:keepNext/>
              <w:ind w:right="538"/>
              <w:jc w:val="right"/>
              <w:rPr>
                <w:rFonts w:cs="Arial"/>
                <w:b/>
                <w:bCs/>
                <w:color w:val="0070AD" w:themeColor="accent1"/>
                <w:sz w:val="14"/>
                <w:szCs w:val="12"/>
              </w:rPr>
            </w:pPr>
            <w:r w:rsidRPr="00162969">
              <w:rPr>
                <w:b/>
                <w:bCs/>
                <w:color w:val="0070AD" w:themeColor="accent1"/>
                <w:sz w:val="14"/>
                <w:szCs w:val="12"/>
              </w:rPr>
              <w:t>2,004</w:t>
            </w:r>
          </w:p>
        </w:tc>
      </w:tr>
      <w:tr w:rsidR="003176D7" w:rsidRPr="00162969" w14:paraId="4491FD84" w14:textId="77777777" w:rsidTr="00944C01">
        <w:trPr>
          <w:trHeight w:val="170"/>
          <w:jc w:val="center"/>
        </w:trPr>
        <w:tc>
          <w:tcPr>
            <w:tcW w:w="3145" w:type="pct"/>
            <w:tcBorders>
              <w:left w:val="nil"/>
              <w:bottom w:val="single" w:sz="8" w:space="0" w:color="0070AD" w:themeColor="accent1"/>
              <w:right w:val="nil"/>
            </w:tcBorders>
            <w:tcMar>
              <w:top w:w="28" w:type="dxa"/>
              <w:left w:w="28" w:type="dxa"/>
              <w:bottom w:w="28" w:type="dxa"/>
              <w:right w:w="28" w:type="dxa"/>
            </w:tcMar>
            <w:vAlign w:val="center"/>
          </w:tcPr>
          <w:p w14:paraId="1FA42950" w14:textId="77777777" w:rsidR="003176D7" w:rsidRPr="00162969" w:rsidRDefault="003176D7" w:rsidP="003176D7">
            <w:pPr>
              <w:keepNext/>
              <w:ind w:left="114"/>
              <w:rPr>
                <w:rFonts w:cs="Arial"/>
                <w:color w:val="0070AD" w:themeColor="accent1"/>
                <w:sz w:val="14"/>
                <w:szCs w:val="12"/>
              </w:rPr>
            </w:pPr>
            <w:r w:rsidRPr="00162969">
              <w:rPr>
                <w:b/>
                <w:bCs/>
                <w:iCs/>
                <w:color w:val="0070AD" w:themeColor="accent1"/>
                <w:sz w:val="14"/>
                <w:szCs w:val="12"/>
              </w:rPr>
              <w:t>Closing cash and cash equivalents, net of bank overdraft</w:t>
            </w:r>
          </w:p>
        </w:tc>
        <w:tc>
          <w:tcPr>
            <w:tcW w:w="928" w:type="pct"/>
            <w:tcBorders>
              <w:left w:val="nil"/>
              <w:bottom w:val="single" w:sz="8" w:space="0" w:color="0070AD" w:themeColor="accent1"/>
              <w:right w:val="nil"/>
            </w:tcBorders>
            <w:shd w:val="clear" w:color="auto" w:fill="auto"/>
            <w:tcMar>
              <w:top w:w="28" w:type="dxa"/>
              <w:left w:w="28" w:type="dxa"/>
              <w:bottom w:w="28" w:type="dxa"/>
              <w:right w:w="28" w:type="dxa"/>
            </w:tcMar>
            <w:vAlign w:val="center"/>
          </w:tcPr>
          <w:p w14:paraId="77D1B2E8" w14:textId="77777777" w:rsidR="003176D7" w:rsidRPr="00162969" w:rsidRDefault="003176D7" w:rsidP="003176D7">
            <w:pPr>
              <w:keepNext/>
              <w:ind w:right="538"/>
              <w:jc w:val="right"/>
              <w:rPr>
                <w:rFonts w:cs="Arial"/>
                <w:color w:val="0070AD" w:themeColor="accent1"/>
                <w:sz w:val="14"/>
                <w:szCs w:val="12"/>
              </w:rPr>
            </w:pPr>
            <w:r w:rsidRPr="00162969">
              <w:rPr>
                <w:rFonts w:ascii="Verdana" w:hAnsi="Verdana"/>
                <w:b/>
                <w:bCs/>
                <w:color w:val="0070AD" w:themeColor="accent1"/>
                <w:sz w:val="14"/>
                <w:szCs w:val="18"/>
              </w:rPr>
              <w:t>1,750</w:t>
            </w:r>
          </w:p>
        </w:tc>
        <w:tc>
          <w:tcPr>
            <w:tcW w:w="927" w:type="pct"/>
            <w:tcBorders>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tcPr>
          <w:p w14:paraId="42C96E1C" w14:textId="77777777" w:rsidR="003176D7" w:rsidRPr="00162969" w:rsidRDefault="003176D7" w:rsidP="003176D7">
            <w:pPr>
              <w:keepNext/>
              <w:ind w:right="538"/>
              <w:jc w:val="right"/>
              <w:rPr>
                <w:rFonts w:cs="Arial"/>
                <w:color w:val="0070AD" w:themeColor="accent1"/>
                <w:sz w:val="14"/>
                <w:szCs w:val="12"/>
              </w:rPr>
            </w:pPr>
            <w:r w:rsidRPr="00162969">
              <w:rPr>
                <w:rFonts w:ascii="Verdana" w:hAnsi="Verdana"/>
                <w:b/>
                <w:bCs/>
                <w:color w:val="0070AD" w:themeColor="accent1"/>
                <w:sz w:val="14"/>
                <w:szCs w:val="18"/>
              </w:rPr>
              <w:t>1,663</w:t>
            </w:r>
          </w:p>
        </w:tc>
      </w:tr>
    </w:tbl>
    <w:p w14:paraId="2FB78686" w14:textId="77777777" w:rsidR="00C41292" w:rsidRPr="00162969" w:rsidRDefault="00C41292" w:rsidP="00C41292">
      <w:pPr>
        <w:pStyle w:val="FootnoteText"/>
      </w:pPr>
    </w:p>
    <w:p w14:paraId="2EB086CA" w14:textId="77777777" w:rsidR="006866C7" w:rsidRPr="00162969" w:rsidRDefault="006866C7" w:rsidP="006866C7">
      <w:pPr>
        <w:spacing w:before="120" w:after="120"/>
        <w:rPr>
          <w:rFonts w:cs="Arial"/>
          <w:b/>
          <w:caps/>
        </w:rPr>
      </w:pPr>
    </w:p>
    <w:p w14:paraId="452FD17E" w14:textId="77777777" w:rsidR="00B00202" w:rsidRPr="00162969" w:rsidRDefault="00C96D53" w:rsidP="006866C7">
      <w:pPr>
        <w:pStyle w:val="Heading1"/>
      </w:pPr>
      <w:r w:rsidRPr="00162969">
        <w:t xml:space="preserve">NET DEBT </w:t>
      </w:r>
    </w:p>
    <w:tbl>
      <w:tblPr>
        <w:tblW w:w="4953" w:type="pct"/>
        <w:jc w:val="center"/>
        <w:tblCellMar>
          <w:left w:w="0" w:type="dxa"/>
          <w:right w:w="0" w:type="dxa"/>
        </w:tblCellMar>
        <w:tblLook w:val="04A0" w:firstRow="1" w:lastRow="0" w:firstColumn="1" w:lastColumn="0" w:noHBand="0" w:noVBand="1"/>
      </w:tblPr>
      <w:tblGrid>
        <w:gridCol w:w="5096"/>
        <w:gridCol w:w="1247"/>
        <w:gridCol w:w="1249"/>
        <w:gridCol w:w="1247"/>
        <w:gridCol w:w="1247"/>
      </w:tblGrid>
      <w:tr w:rsidR="00ED5238" w:rsidRPr="00162969" w14:paraId="610981A3" w14:textId="77777777" w:rsidTr="00ED5238">
        <w:trPr>
          <w:trHeight w:val="283"/>
          <w:jc w:val="center"/>
        </w:trPr>
        <w:tc>
          <w:tcPr>
            <w:tcW w:w="2527"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5684AE02" w14:textId="77777777" w:rsidR="00041C5B" w:rsidRPr="00162969" w:rsidRDefault="00041C5B" w:rsidP="00041C5B">
            <w:pPr>
              <w:keepNext/>
              <w:keepLines/>
              <w:jc w:val="center"/>
              <w:rPr>
                <w:rFonts w:ascii="Verdana" w:hAnsi="Verdana" w:cs="Arial"/>
                <w:sz w:val="14"/>
                <w:szCs w:val="18"/>
              </w:rPr>
            </w:pPr>
            <w:r w:rsidRPr="00162969">
              <w:rPr>
                <w:rFonts w:ascii="Verdana" w:hAnsi="Verdana"/>
                <w:i/>
                <w:iCs/>
                <w:sz w:val="14"/>
                <w:szCs w:val="18"/>
              </w:rPr>
              <w:t>(In millions of euros)</w:t>
            </w:r>
          </w:p>
        </w:tc>
        <w:tc>
          <w:tcPr>
            <w:tcW w:w="618"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296A9DC1" w14:textId="4B7C17E3" w:rsidR="00ED5238" w:rsidRPr="00162969" w:rsidRDefault="00041C5B" w:rsidP="002F2D6A">
            <w:pPr>
              <w:keepNext/>
              <w:keepLines/>
              <w:jc w:val="center"/>
              <w:rPr>
                <w:rFonts w:ascii="Verdana" w:hAnsi="Verdana"/>
                <w:b/>
                <w:bCs/>
                <w:sz w:val="14"/>
                <w:szCs w:val="18"/>
              </w:rPr>
            </w:pPr>
            <w:r w:rsidRPr="00162969">
              <w:rPr>
                <w:rFonts w:ascii="Verdana" w:hAnsi="Verdana"/>
                <w:b/>
                <w:bCs/>
                <w:sz w:val="14"/>
                <w:szCs w:val="18"/>
              </w:rPr>
              <w:t>06/30/18</w:t>
            </w:r>
          </w:p>
          <w:p w14:paraId="72AD3089" w14:textId="77777777" w:rsidR="00F76861" w:rsidRPr="00162969" w:rsidRDefault="00F76861" w:rsidP="002F2D6A">
            <w:pPr>
              <w:keepNext/>
              <w:keepLines/>
              <w:jc w:val="center"/>
              <w:rPr>
                <w:rFonts w:ascii="Verdana" w:hAnsi="Verdana"/>
                <w:b/>
                <w:bCs/>
                <w:sz w:val="14"/>
                <w:szCs w:val="18"/>
              </w:rPr>
            </w:pPr>
          </w:p>
          <w:p w14:paraId="3B145765" w14:textId="016F6461" w:rsidR="004E1C69" w:rsidRPr="00162969" w:rsidRDefault="004E1C69" w:rsidP="002F2D6A">
            <w:pPr>
              <w:keepNext/>
              <w:keepLines/>
              <w:jc w:val="center"/>
              <w:rPr>
                <w:rFonts w:ascii="Verdana" w:hAnsi="Verdana" w:cs="Arial"/>
                <w:b/>
                <w:bCs/>
                <w:sz w:val="14"/>
                <w:szCs w:val="18"/>
              </w:rPr>
            </w:pPr>
          </w:p>
        </w:tc>
        <w:tc>
          <w:tcPr>
            <w:tcW w:w="619" w:type="pct"/>
            <w:tcBorders>
              <w:top w:val="nil"/>
              <w:left w:val="nil"/>
              <w:bottom w:val="single" w:sz="8" w:space="0" w:color="0070AD" w:themeColor="accent1"/>
              <w:right w:val="nil"/>
            </w:tcBorders>
            <w:shd w:val="clear" w:color="auto" w:fill="auto"/>
            <w:vAlign w:val="center"/>
          </w:tcPr>
          <w:p w14:paraId="1AAD324D" w14:textId="77777777" w:rsidR="00ED5238" w:rsidRPr="00162969" w:rsidRDefault="00041C5B" w:rsidP="002F2D6A">
            <w:pPr>
              <w:keepNext/>
              <w:keepLines/>
              <w:jc w:val="center"/>
              <w:rPr>
                <w:rFonts w:ascii="Verdana" w:hAnsi="Verdana"/>
                <w:b/>
                <w:bCs/>
                <w:sz w:val="14"/>
                <w:szCs w:val="18"/>
              </w:rPr>
            </w:pPr>
            <w:r w:rsidRPr="00162969">
              <w:rPr>
                <w:rFonts w:ascii="Verdana" w:hAnsi="Verdana"/>
                <w:b/>
                <w:bCs/>
                <w:sz w:val="14"/>
                <w:szCs w:val="18"/>
              </w:rPr>
              <w:t>12/31/18</w:t>
            </w:r>
          </w:p>
          <w:p w14:paraId="1669A146" w14:textId="15CAA874" w:rsidR="004E1C69" w:rsidRPr="00162969" w:rsidRDefault="004E1C69" w:rsidP="002F2D6A">
            <w:pPr>
              <w:keepNext/>
              <w:keepLines/>
              <w:jc w:val="center"/>
              <w:rPr>
                <w:rFonts w:ascii="Verdana" w:hAnsi="Verdana" w:cs="Arial"/>
                <w:b/>
                <w:bCs/>
                <w:sz w:val="14"/>
                <w:szCs w:val="18"/>
              </w:rPr>
            </w:pPr>
          </w:p>
        </w:tc>
        <w:tc>
          <w:tcPr>
            <w:tcW w:w="618" w:type="pct"/>
            <w:tcBorders>
              <w:top w:val="nil"/>
              <w:left w:val="nil"/>
              <w:bottom w:val="single" w:sz="8" w:space="0" w:color="0070AD" w:themeColor="accent1"/>
              <w:right w:val="nil"/>
            </w:tcBorders>
            <w:vAlign w:val="center"/>
          </w:tcPr>
          <w:p w14:paraId="6D5CBD43" w14:textId="77777777" w:rsidR="00041C5B" w:rsidRPr="00162969" w:rsidRDefault="00041C5B" w:rsidP="00041C5B">
            <w:pPr>
              <w:keepNext/>
              <w:keepLines/>
              <w:jc w:val="center"/>
              <w:rPr>
                <w:rFonts w:ascii="Verdana" w:hAnsi="Verdana" w:cs="Arial"/>
                <w:b/>
                <w:bCs/>
                <w:sz w:val="14"/>
                <w:szCs w:val="18"/>
              </w:rPr>
            </w:pPr>
            <w:r w:rsidRPr="00162969">
              <w:rPr>
                <w:rFonts w:ascii="Verdana" w:hAnsi="Verdana"/>
                <w:b/>
                <w:bCs/>
                <w:sz w:val="14"/>
                <w:szCs w:val="18"/>
              </w:rPr>
              <w:t>01/01/19</w:t>
            </w:r>
          </w:p>
          <w:p w14:paraId="19D5B472" w14:textId="77777777" w:rsidR="00ED5238" w:rsidRPr="00162969" w:rsidRDefault="00ED5238" w:rsidP="00041C5B">
            <w:pPr>
              <w:keepNext/>
              <w:keepLines/>
              <w:jc w:val="center"/>
              <w:rPr>
                <w:rFonts w:ascii="Verdana" w:hAnsi="Verdana" w:cs="Arial"/>
                <w:sz w:val="14"/>
                <w:szCs w:val="18"/>
              </w:rPr>
            </w:pPr>
            <w:r w:rsidRPr="00162969">
              <w:rPr>
                <w:rFonts w:ascii="Verdana" w:hAnsi="Verdana"/>
                <w:sz w:val="14"/>
                <w:szCs w:val="18"/>
              </w:rPr>
              <w:t>(IFRS 16)</w:t>
            </w:r>
          </w:p>
        </w:tc>
        <w:tc>
          <w:tcPr>
            <w:tcW w:w="619" w:type="pct"/>
            <w:tcBorders>
              <w:top w:val="nil"/>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36782BB1" w14:textId="77777777" w:rsidR="00041C5B" w:rsidRPr="00162969" w:rsidRDefault="00041C5B" w:rsidP="00041C5B">
            <w:pPr>
              <w:keepNext/>
              <w:keepLines/>
              <w:jc w:val="center"/>
              <w:rPr>
                <w:rFonts w:ascii="Verdana" w:hAnsi="Verdana" w:cs="Arial"/>
                <w:b/>
                <w:bCs/>
                <w:sz w:val="14"/>
                <w:szCs w:val="18"/>
              </w:rPr>
            </w:pPr>
            <w:r w:rsidRPr="00162969">
              <w:rPr>
                <w:rFonts w:ascii="Verdana" w:hAnsi="Verdana"/>
                <w:b/>
                <w:bCs/>
                <w:sz w:val="14"/>
                <w:szCs w:val="18"/>
              </w:rPr>
              <w:t>06/30/19</w:t>
            </w:r>
          </w:p>
          <w:p w14:paraId="3B30FA92" w14:textId="234CAEDA" w:rsidR="00ED5238" w:rsidRPr="00162969" w:rsidRDefault="00ED5238" w:rsidP="00041C5B">
            <w:pPr>
              <w:keepNext/>
              <w:keepLines/>
              <w:jc w:val="center"/>
              <w:rPr>
                <w:rFonts w:ascii="Verdana" w:hAnsi="Verdana" w:cs="Arial"/>
                <w:sz w:val="14"/>
                <w:szCs w:val="18"/>
              </w:rPr>
            </w:pPr>
            <w:r w:rsidRPr="00162969">
              <w:rPr>
                <w:rFonts w:ascii="Verdana" w:hAnsi="Verdana"/>
                <w:sz w:val="14"/>
                <w:szCs w:val="18"/>
              </w:rPr>
              <w:t>(IFRS</w:t>
            </w:r>
            <w:r w:rsidR="004E1C69" w:rsidRPr="00162969">
              <w:rPr>
                <w:rFonts w:ascii="Verdana" w:hAnsi="Verdana"/>
                <w:sz w:val="14"/>
                <w:szCs w:val="18"/>
              </w:rPr>
              <w:t xml:space="preserve"> </w:t>
            </w:r>
            <w:r w:rsidRPr="00162969">
              <w:rPr>
                <w:rFonts w:ascii="Verdana" w:hAnsi="Verdana"/>
                <w:sz w:val="14"/>
                <w:szCs w:val="18"/>
              </w:rPr>
              <w:t>16)</w:t>
            </w:r>
          </w:p>
        </w:tc>
      </w:tr>
      <w:tr w:rsidR="00ED5238" w:rsidRPr="00162969" w14:paraId="2384B6C7" w14:textId="77777777" w:rsidTr="00745FC2">
        <w:trPr>
          <w:trHeight w:val="170"/>
          <w:jc w:val="center"/>
        </w:trPr>
        <w:tc>
          <w:tcPr>
            <w:tcW w:w="2527" w:type="pct"/>
            <w:tcBorders>
              <w:top w:val="single" w:sz="8" w:space="0" w:color="0070AD" w:themeColor="accent1"/>
              <w:left w:val="nil"/>
              <w:right w:val="nil"/>
            </w:tcBorders>
            <w:shd w:val="clear" w:color="auto" w:fill="auto"/>
            <w:tcMar>
              <w:top w:w="28" w:type="dxa"/>
              <w:left w:w="28" w:type="dxa"/>
              <w:bottom w:w="28" w:type="dxa"/>
              <w:right w:w="28" w:type="dxa"/>
            </w:tcMar>
            <w:vAlign w:val="center"/>
            <w:hideMark/>
          </w:tcPr>
          <w:p w14:paraId="44BF38CF" w14:textId="77777777" w:rsidR="00041C5B" w:rsidRPr="00162969" w:rsidRDefault="00041C5B" w:rsidP="00041C5B">
            <w:pPr>
              <w:keepNext/>
              <w:keepLines/>
              <w:ind w:left="215"/>
              <w:rPr>
                <w:rFonts w:ascii="Verdana" w:hAnsi="Verdana" w:cs="Arial"/>
                <w:bCs/>
                <w:sz w:val="14"/>
                <w:szCs w:val="18"/>
              </w:rPr>
            </w:pPr>
            <w:r w:rsidRPr="00162969">
              <w:rPr>
                <w:rFonts w:ascii="Verdana" w:hAnsi="Verdana"/>
                <w:sz w:val="14"/>
                <w:szCs w:val="14"/>
              </w:rPr>
              <w:t>Cash and cash equivalents</w:t>
            </w:r>
          </w:p>
        </w:tc>
        <w:tc>
          <w:tcPr>
            <w:tcW w:w="618" w:type="pct"/>
            <w:tcBorders>
              <w:top w:val="single" w:sz="8" w:space="0" w:color="0070AD" w:themeColor="accent1"/>
              <w:left w:val="nil"/>
              <w:right w:val="nil"/>
            </w:tcBorders>
            <w:shd w:val="clear" w:color="auto" w:fill="auto"/>
            <w:tcMar>
              <w:top w:w="28" w:type="dxa"/>
              <w:left w:w="28" w:type="dxa"/>
              <w:bottom w:w="28" w:type="dxa"/>
              <w:right w:w="28" w:type="dxa"/>
            </w:tcMar>
            <w:vAlign w:val="center"/>
            <w:hideMark/>
          </w:tcPr>
          <w:p w14:paraId="76F33AEE" w14:textId="77777777" w:rsidR="00041C5B" w:rsidRPr="00162969" w:rsidRDefault="00041C5B" w:rsidP="00ED5238">
            <w:pPr>
              <w:keepNext/>
              <w:keepLines/>
              <w:ind w:right="224"/>
              <w:jc w:val="right"/>
              <w:rPr>
                <w:rFonts w:ascii="Verdana" w:hAnsi="Verdana" w:cs="Arial"/>
                <w:sz w:val="14"/>
                <w:szCs w:val="18"/>
              </w:rPr>
            </w:pPr>
            <w:r w:rsidRPr="00162969">
              <w:rPr>
                <w:rFonts w:ascii="Verdana" w:hAnsi="Verdana"/>
                <w:bCs/>
                <w:sz w:val="14"/>
                <w:szCs w:val="18"/>
              </w:rPr>
              <w:t>1,751</w:t>
            </w:r>
          </w:p>
        </w:tc>
        <w:tc>
          <w:tcPr>
            <w:tcW w:w="619" w:type="pct"/>
            <w:tcBorders>
              <w:top w:val="single" w:sz="8" w:space="0" w:color="0070AD" w:themeColor="accent1"/>
              <w:left w:val="nil"/>
              <w:right w:val="nil"/>
            </w:tcBorders>
            <w:shd w:val="clear" w:color="auto" w:fill="auto"/>
            <w:vAlign w:val="center"/>
          </w:tcPr>
          <w:p w14:paraId="6C28C594" w14:textId="77777777" w:rsidR="00041C5B" w:rsidRPr="00162969" w:rsidRDefault="00041C5B" w:rsidP="00ED5238">
            <w:pPr>
              <w:keepNext/>
              <w:keepLines/>
              <w:ind w:right="224"/>
              <w:jc w:val="right"/>
              <w:rPr>
                <w:rFonts w:ascii="Verdana" w:hAnsi="Verdana" w:cs="Arial"/>
                <w:sz w:val="14"/>
                <w:szCs w:val="18"/>
              </w:rPr>
            </w:pPr>
            <w:r w:rsidRPr="00162969">
              <w:rPr>
                <w:bCs/>
                <w:sz w:val="14"/>
                <w:szCs w:val="12"/>
              </w:rPr>
              <w:t>2,006</w:t>
            </w:r>
          </w:p>
        </w:tc>
        <w:tc>
          <w:tcPr>
            <w:tcW w:w="618" w:type="pct"/>
            <w:tcBorders>
              <w:top w:val="single" w:sz="8" w:space="0" w:color="0070AD" w:themeColor="accent1"/>
              <w:left w:val="nil"/>
              <w:right w:val="nil"/>
            </w:tcBorders>
            <w:shd w:val="clear" w:color="auto" w:fill="auto"/>
            <w:vAlign w:val="center"/>
          </w:tcPr>
          <w:p w14:paraId="7330A830" w14:textId="77777777" w:rsidR="00041C5B" w:rsidRPr="00162969" w:rsidRDefault="00041C5B" w:rsidP="00ED5238">
            <w:pPr>
              <w:keepNext/>
              <w:keepLines/>
              <w:ind w:right="224"/>
              <w:jc w:val="right"/>
              <w:rPr>
                <w:rFonts w:ascii="Verdana" w:hAnsi="Verdana" w:cs="Arial"/>
                <w:bCs/>
                <w:sz w:val="14"/>
                <w:szCs w:val="18"/>
              </w:rPr>
            </w:pPr>
            <w:r w:rsidRPr="00162969">
              <w:rPr>
                <w:bCs/>
                <w:sz w:val="14"/>
                <w:szCs w:val="12"/>
              </w:rPr>
              <w:t>2,006</w:t>
            </w:r>
          </w:p>
        </w:tc>
        <w:tc>
          <w:tcPr>
            <w:tcW w:w="619" w:type="pct"/>
            <w:tcBorders>
              <w:top w:val="single" w:sz="8" w:space="0" w:color="0070AD" w:themeColor="accent1"/>
              <w:left w:val="nil"/>
              <w:right w:val="nil"/>
            </w:tcBorders>
            <w:shd w:val="clear" w:color="auto" w:fill="BBE7FF" w:themeFill="accent1" w:themeFillTint="33"/>
            <w:tcMar>
              <w:top w:w="28" w:type="dxa"/>
              <w:left w:w="28" w:type="dxa"/>
              <w:bottom w:w="28" w:type="dxa"/>
              <w:right w:w="28" w:type="dxa"/>
            </w:tcMar>
            <w:vAlign w:val="center"/>
            <w:hideMark/>
          </w:tcPr>
          <w:p w14:paraId="2CB12928" w14:textId="77777777" w:rsidR="00041C5B" w:rsidRPr="00162969" w:rsidRDefault="00041C5B" w:rsidP="00ED5238">
            <w:pPr>
              <w:keepNext/>
              <w:keepLines/>
              <w:ind w:right="224"/>
              <w:jc w:val="right"/>
              <w:rPr>
                <w:rFonts w:ascii="Verdana" w:hAnsi="Verdana" w:cs="Arial"/>
                <w:sz w:val="14"/>
                <w:szCs w:val="18"/>
              </w:rPr>
            </w:pPr>
            <w:r w:rsidRPr="00162969">
              <w:rPr>
                <w:rFonts w:ascii="Verdana" w:hAnsi="Verdana"/>
                <w:bCs/>
                <w:sz w:val="14"/>
                <w:szCs w:val="18"/>
              </w:rPr>
              <w:t>1,669</w:t>
            </w:r>
          </w:p>
        </w:tc>
      </w:tr>
      <w:tr w:rsidR="00ED5238" w:rsidRPr="00162969" w14:paraId="44DFA8EE" w14:textId="77777777" w:rsidTr="00745FC2">
        <w:trPr>
          <w:trHeight w:val="170"/>
          <w:jc w:val="center"/>
        </w:trPr>
        <w:tc>
          <w:tcPr>
            <w:tcW w:w="2527" w:type="pct"/>
            <w:tcBorders>
              <w:top w:val="nil"/>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3564C291" w14:textId="77777777" w:rsidR="00041C5B" w:rsidRPr="00162969" w:rsidRDefault="00041C5B" w:rsidP="00041C5B">
            <w:pPr>
              <w:keepNext/>
              <w:keepLines/>
              <w:ind w:left="215"/>
              <w:rPr>
                <w:rFonts w:ascii="Verdana" w:hAnsi="Verdana" w:cs="Arial"/>
                <w:sz w:val="14"/>
                <w:szCs w:val="18"/>
              </w:rPr>
            </w:pPr>
            <w:r w:rsidRPr="00162969">
              <w:rPr>
                <w:rFonts w:ascii="Verdana" w:hAnsi="Verdana"/>
                <w:bCs/>
                <w:sz w:val="14"/>
                <w:szCs w:val="18"/>
              </w:rPr>
              <w:t>Bank overdrafts</w:t>
            </w:r>
          </w:p>
        </w:tc>
        <w:tc>
          <w:tcPr>
            <w:tcW w:w="618" w:type="pct"/>
            <w:tcBorders>
              <w:top w:val="nil"/>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7588F915" w14:textId="77777777" w:rsidR="00041C5B" w:rsidRPr="00162969" w:rsidRDefault="00041C5B" w:rsidP="00ED5238">
            <w:pPr>
              <w:keepNext/>
              <w:keepLines/>
              <w:ind w:right="224"/>
              <w:jc w:val="right"/>
              <w:rPr>
                <w:rFonts w:ascii="Verdana" w:hAnsi="Verdana" w:cs="Arial"/>
                <w:sz w:val="14"/>
                <w:szCs w:val="18"/>
              </w:rPr>
            </w:pPr>
            <w:r w:rsidRPr="00162969">
              <w:rPr>
                <w:rFonts w:ascii="Verdana" w:hAnsi="Verdana"/>
                <w:sz w:val="14"/>
                <w:szCs w:val="18"/>
              </w:rPr>
              <w:t>(1)</w:t>
            </w:r>
          </w:p>
        </w:tc>
        <w:tc>
          <w:tcPr>
            <w:tcW w:w="619" w:type="pct"/>
            <w:tcBorders>
              <w:top w:val="nil"/>
              <w:left w:val="nil"/>
              <w:bottom w:val="single" w:sz="8" w:space="0" w:color="0070AD" w:themeColor="accent1"/>
              <w:right w:val="nil"/>
            </w:tcBorders>
            <w:shd w:val="clear" w:color="auto" w:fill="auto"/>
            <w:vAlign w:val="center"/>
          </w:tcPr>
          <w:p w14:paraId="22C8949D" w14:textId="77777777" w:rsidR="00041C5B" w:rsidRPr="00162969" w:rsidRDefault="00041C5B" w:rsidP="00ED5238">
            <w:pPr>
              <w:keepNext/>
              <w:keepLines/>
              <w:ind w:right="224"/>
              <w:jc w:val="right"/>
              <w:rPr>
                <w:rFonts w:ascii="Verdana" w:hAnsi="Verdana" w:cs="Arial"/>
                <w:sz w:val="14"/>
                <w:szCs w:val="18"/>
              </w:rPr>
            </w:pPr>
            <w:r w:rsidRPr="00162969">
              <w:rPr>
                <w:bCs/>
                <w:sz w:val="14"/>
                <w:szCs w:val="12"/>
              </w:rPr>
              <w:t>(2)</w:t>
            </w:r>
          </w:p>
        </w:tc>
        <w:tc>
          <w:tcPr>
            <w:tcW w:w="618" w:type="pct"/>
            <w:tcBorders>
              <w:top w:val="nil"/>
              <w:left w:val="nil"/>
              <w:bottom w:val="single" w:sz="8" w:space="0" w:color="0070AD" w:themeColor="accent1"/>
              <w:right w:val="nil"/>
            </w:tcBorders>
            <w:shd w:val="clear" w:color="auto" w:fill="auto"/>
            <w:vAlign w:val="center"/>
          </w:tcPr>
          <w:p w14:paraId="03FA19CA" w14:textId="77777777" w:rsidR="00041C5B" w:rsidRPr="00162969" w:rsidRDefault="00041C5B" w:rsidP="00ED5238">
            <w:pPr>
              <w:keepNext/>
              <w:keepLines/>
              <w:ind w:right="224"/>
              <w:jc w:val="right"/>
              <w:rPr>
                <w:rFonts w:ascii="Verdana" w:hAnsi="Verdana" w:cs="Arial"/>
                <w:sz w:val="14"/>
                <w:szCs w:val="18"/>
              </w:rPr>
            </w:pPr>
            <w:r w:rsidRPr="00162969">
              <w:rPr>
                <w:bCs/>
                <w:sz w:val="14"/>
                <w:szCs w:val="12"/>
              </w:rPr>
              <w:t>(2)</w:t>
            </w:r>
          </w:p>
        </w:tc>
        <w:tc>
          <w:tcPr>
            <w:tcW w:w="619" w:type="pct"/>
            <w:tcBorders>
              <w:top w:val="nil"/>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2CBC0A30" w14:textId="77777777" w:rsidR="00041C5B" w:rsidRPr="00162969" w:rsidRDefault="00041C5B" w:rsidP="00ED5238">
            <w:pPr>
              <w:keepNext/>
              <w:keepLines/>
              <w:ind w:right="224"/>
              <w:jc w:val="right"/>
              <w:rPr>
                <w:rFonts w:ascii="Verdana" w:hAnsi="Verdana" w:cs="Arial"/>
                <w:sz w:val="14"/>
                <w:szCs w:val="18"/>
              </w:rPr>
            </w:pPr>
            <w:r w:rsidRPr="00162969">
              <w:rPr>
                <w:rFonts w:ascii="Verdana" w:hAnsi="Verdana"/>
                <w:sz w:val="14"/>
                <w:szCs w:val="18"/>
              </w:rPr>
              <w:t>(6)</w:t>
            </w:r>
          </w:p>
        </w:tc>
      </w:tr>
      <w:tr w:rsidR="00ED5238" w:rsidRPr="00162969" w14:paraId="59A41B38" w14:textId="77777777" w:rsidTr="00745FC2">
        <w:trPr>
          <w:trHeight w:val="170"/>
          <w:jc w:val="center"/>
        </w:trPr>
        <w:tc>
          <w:tcPr>
            <w:tcW w:w="2527"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536095F7" w14:textId="77777777" w:rsidR="00041C5B" w:rsidRPr="00162969" w:rsidRDefault="00041C5B" w:rsidP="00041C5B">
            <w:pPr>
              <w:keepNext/>
              <w:keepLines/>
              <w:ind w:left="114"/>
              <w:rPr>
                <w:rFonts w:ascii="Verdana" w:hAnsi="Verdana" w:cs="Arial"/>
                <w:b/>
                <w:bCs/>
                <w:iCs/>
                <w:color w:val="0070AD" w:themeColor="accent1"/>
                <w:sz w:val="14"/>
                <w:szCs w:val="18"/>
              </w:rPr>
            </w:pPr>
            <w:r w:rsidRPr="00162969">
              <w:rPr>
                <w:rFonts w:ascii="Verdana" w:hAnsi="Verdana"/>
                <w:b/>
                <w:bCs/>
                <w:iCs/>
                <w:color w:val="0070AD" w:themeColor="accent1"/>
                <w:sz w:val="14"/>
                <w:szCs w:val="18"/>
              </w:rPr>
              <w:t xml:space="preserve">Cash and cash equivalents, net of bank overdraft </w:t>
            </w:r>
          </w:p>
        </w:tc>
        <w:tc>
          <w:tcPr>
            <w:tcW w:w="61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3B6606F6" w14:textId="77777777" w:rsidR="00041C5B" w:rsidRPr="00162969" w:rsidRDefault="00041C5B" w:rsidP="00ED5238">
            <w:pPr>
              <w:keepNext/>
              <w:keepLines/>
              <w:ind w:right="224"/>
              <w:jc w:val="right"/>
              <w:rPr>
                <w:rFonts w:ascii="Verdana" w:hAnsi="Verdana" w:cs="Arial"/>
                <w:b/>
                <w:bCs/>
                <w:color w:val="0070AD" w:themeColor="accent1"/>
                <w:sz w:val="14"/>
                <w:szCs w:val="18"/>
              </w:rPr>
            </w:pPr>
            <w:r w:rsidRPr="00162969">
              <w:rPr>
                <w:rFonts w:ascii="Verdana" w:hAnsi="Verdana"/>
                <w:b/>
                <w:bCs/>
                <w:color w:val="0070AD" w:themeColor="accent1"/>
                <w:sz w:val="14"/>
                <w:szCs w:val="18"/>
              </w:rPr>
              <w:t>1,750</w:t>
            </w:r>
          </w:p>
        </w:tc>
        <w:tc>
          <w:tcPr>
            <w:tcW w:w="619" w:type="pct"/>
            <w:tcBorders>
              <w:top w:val="single" w:sz="8" w:space="0" w:color="0070AD" w:themeColor="accent1"/>
              <w:left w:val="nil"/>
              <w:bottom w:val="single" w:sz="8" w:space="0" w:color="0070AD" w:themeColor="accent1"/>
              <w:right w:val="nil"/>
            </w:tcBorders>
            <w:shd w:val="clear" w:color="auto" w:fill="auto"/>
            <w:vAlign w:val="center"/>
          </w:tcPr>
          <w:p w14:paraId="5425EA3A" w14:textId="77777777" w:rsidR="00041C5B" w:rsidRPr="00162969" w:rsidRDefault="00041C5B" w:rsidP="00ED5238">
            <w:pPr>
              <w:keepNext/>
              <w:keepLines/>
              <w:ind w:right="224"/>
              <w:jc w:val="right"/>
              <w:rPr>
                <w:rFonts w:ascii="Verdana" w:hAnsi="Verdana" w:cs="Arial"/>
                <w:b/>
                <w:bCs/>
                <w:color w:val="0070AD" w:themeColor="accent1"/>
                <w:sz w:val="14"/>
                <w:szCs w:val="18"/>
              </w:rPr>
            </w:pPr>
            <w:r w:rsidRPr="00162969">
              <w:rPr>
                <w:b/>
                <w:bCs/>
                <w:iCs/>
                <w:color w:val="0070AD" w:themeColor="accent1"/>
                <w:sz w:val="14"/>
                <w:szCs w:val="12"/>
              </w:rPr>
              <w:t>2,004</w:t>
            </w:r>
          </w:p>
        </w:tc>
        <w:tc>
          <w:tcPr>
            <w:tcW w:w="618" w:type="pct"/>
            <w:tcBorders>
              <w:top w:val="single" w:sz="8" w:space="0" w:color="0070AD" w:themeColor="accent1"/>
              <w:left w:val="nil"/>
              <w:bottom w:val="single" w:sz="8" w:space="0" w:color="0070AD" w:themeColor="accent1"/>
              <w:right w:val="nil"/>
            </w:tcBorders>
            <w:shd w:val="clear" w:color="auto" w:fill="auto"/>
            <w:vAlign w:val="center"/>
          </w:tcPr>
          <w:p w14:paraId="4D978B43" w14:textId="77777777" w:rsidR="00041C5B" w:rsidRPr="00162969" w:rsidRDefault="00041C5B" w:rsidP="00ED5238">
            <w:pPr>
              <w:keepNext/>
              <w:keepLines/>
              <w:ind w:right="224"/>
              <w:jc w:val="right"/>
              <w:rPr>
                <w:rFonts w:ascii="Verdana" w:hAnsi="Verdana" w:cs="Arial"/>
                <w:b/>
                <w:bCs/>
                <w:color w:val="0070AD" w:themeColor="accent1"/>
                <w:sz w:val="14"/>
                <w:szCs w:val="18"/>
              </w:rPr>
            </w:pPr>
            <w:r w:rsidRPr="00162969">
              <w:rPr>
                <w:b/>
                <w:bCs/>
                <w:iCs/>
                <w:color w:val="0070AD" w:themeColor="accent1"/>
                <w:sz w:val="14"/>
                <w:szCs w:val="12"/>
              </w:rPr>
              <w:t>2,004</w:t>
            </w:r>
          </w:p>
        </w:tc>
        <w:tc>
          <w:tcPr>
            <w:tcW w:w="619"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49C65B29" w14:textId="77777777" w:rsidR="00041C5B" w:rsidRPr="00162969" w:rsidRDefault="00041C5B" w:rsidP="00ED5238">
            <w:pPr>
              <w:keepNext/>
              <w:keepLines/>
              <w:ind w:right="224"/>
              <w:jc w:val="right"/>
              <w:rPr>
                <w:rFonts w:ascii="Verdana" w:hAnsi="Verdana" w:cs="Arial"/>
                <w:b/>
                <w:bCs/>
                <w:color w:val="0070AD" w:themeColor="accent1"/>
                <w:sz w:val="14"/>
                <w:szCs w:val="18"/>
              </w:rPr>
            </w:pPr>
            <w:r w:rsidRPr="00162969">
              <w:rPr>
                <w:rFonts w:ascii="Verdana" w:hAnsi="Verdana"/>
                <w:b/>
                <w:bCs/>
                <w:color w:val="0070AD" w:themeColor="accent1"/>
                <w:sz w:val="14"/>
                <w:szCs w:val="18"/>
              </w:rPr>
              <w:t>1,663</w:t>
            </w:r>
          </w:p>
        </w:tc>
      </w:tr>
      <w:tr w:rsidR="00ED5238" w:rsidRPr="00162969" w14:paraId="35443B68" w14:textId="77777777" w:rsidTr="00745FC2">
        <w:trPr>
          <w:trHeight w:val="170"/>
          <w:jc w:val="center"/>
        </w:trPr>
        <w:tc>
          <w:tcPr>
            <w:tcW w:w="2527"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tcPr>
          <w:p w14:paraId="07B51FB2" w14:textId="77777777" w:rsidR="00041C5B" w:rsidRPr="00162969" w:rsidRDefault="00041C5B" w:rsidP="00041C5B">
            <w:pPr>
              <w:keepNext/>
              <w:keepLines/>
              <w:ind w:left="114"/>
              <w:rPr>
                <w:rFonts w:ascii="Verdana" w:hAnsi="Verdana" w:cs="Arial"/>
                <w:b/>
                <w:bCs/>
                <w:iCs/>
                <w:color w:val="0070AD" w:themeColor="accent1"/>
                <w:sz w:val="14"/>
                <w:szCs w:val="18"/>
              </w:rPr>
            </w:pPr>
            <w:r w:rsidRPr="00162969">
              <w:rPr>
                <w:rFonts w:ascii="Verdana" w:hAnsi="Verdana"/>
                <w:b/>
                <w:bCs/>
                <w:iCs/>
                <w:color w:val="0070AD" w:themeColor="accent1"/>
                <w:sz w:val="14"/>
                <w:szCs w:val="18"/>
              </w:rPr>
              <w:t>Cash management assets</w:t>
            </w:r>
          </w:p>
        </w:tc>
        <w:tc>
          <w:tcPr>
            <w:tcW w:w="61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tcPr>
          <w:p w14:paraId="4A8D95CD" w14:textId="77777777" w:rsidR="00041C5B" w:rsidRPr="00162969" w:rsidRDefault="00041C5B" w:rsidP="00ED5238">
            <w:pPr>
              <w:keepNext/>
              <w:keepLines/>
              <w:ind w:right="224"/>
              <w:jc w:val="right"/>
              <w:rPr>
                <w:rFonts w:ascii="Verdana" w:hAnsi="Verdana" w:cs="Arial"/>
                <w:b/>
                <w:bCs/>
                <w:color w:val="0070AD" w:themeColor="accent1"/>
                <w:sz w:val="14"/>
                <w:szCs w:val="18"/>
              </w:rPr>
            </w:pPr>
            <w:r w:rsidRPr="00162969">
              <w:rPr>
                <w:rFonts w:ascii="Verdana" w:hAnsi="Verdana"/>
                <w:b/>
                <w:bCs/>
                <w:color w:val="0070AD" w:themeColor="accent1"/>
                <w:sz w:val="14"/>
                <w:szCs w:val="18"/>
              </w:rPr>
              <w:t>221</w:t>
            </w:r>
          </w:p>
        </w:tc>
        <w:tc>
          <w:tcPr>
            <w:tcW w:w="619" w:type="pct"/>
            <w:tcBorders>
              <w:top w:val="single" w:sz="8" w:space="0" w:color="0070AD" w:themeColor="accent1"/>
              <w:left w:val="nil"/>
              <w:bottom w:val="single" w:sz="8" w:space="0" w:color="0070AD" w:themeColor="accent1"/>
              <w:right w:val="nil"/>
            </w:tcBorders>
            <w:shd w:val="clear" w:color="auto" w:fill="auto"/>
            <w:vAlign w:val="center"/>
          </w:tcPr>
          <w:p w14:paraId="34B8C4C5" w14:textId="77777777" w:rsidR="00041C5B" w:rsidRPr="00162969" w:rsidRDefault="00041C5B" w:rsidP="00ED5238">
            <w:pPr>
              <w:keepNext/>
              <w:keepLines/>
              <w:ind w:right="224"/>
              <w:jc w:val="right"/>
              <w:rPr>
                <w:rFonts w:ascii="Verdana" w:hAnsi="Verdana" w:cs="Arial"/>
                <w:b/>
                <w:bCs/>
                <w:color w:val="0070AD" w:themeColor="accent1"/>
                <w:sz w:val="14"/>
                <w:szCs w:val="18"/>
              </w:rPr>
            </w:pPr>
            <w:r w:rsidRPr="00162969">
              <w:rPr>
                <w:b/>
                <w:bCs/>
                <w:iCs/>
                <w:color w:val="0070AD" w:themeColor="accent1"/>
                <w:sz w:val="14"/>
                <w:szCs w:val="12"/>
              </w:rPr>
              <w:t>183</w:t>
            </w:r>
          </w:p>
        </w:tc>
        <w:tc>
          <w:tcPr>
            <w:tcW w:w="618" w:type="pct"/>
            <w:tcBorders>
              <w:top w:val="single" w:sz="8" w:space="0" w:color="0070AD" w:themeColor="accent1"/>
              <w:left w:val="nil"/>
              <w:bottom w:val="single" w:sz="8" w:space="0" w:color="0070AD" w:themeColor="accent1"/>
              <w:right w:val="nil"/>
            </w:tcBorders>
            <w:shd w:val="clear" w:color="auto" w:fill="auto"/>
            <w:vAlign w:val="center"/>
          </w:tcPr>
          <w:p w14:paraId="2F61979A" w14:textId="77777777" w:rsidR="00041C5B" w:rsidRPr="00162969" w:rsidRDefault="00041C5B" w:rsidP="00ED5238">
            <w:pPr>
              <w:keepNext/>
              <w:keepLines/>
              <w:ind w:right="224"/>
              <w:jc w:val="right"/>
              <w:rPr>
                <w:rFonts w:ascii="Verdana" w:hAnsi="Verdana" w:cs="Arial"/>
                <w:b/>
                <w:bCs/>
                <w:color w:val="0070AD" w:themeColor="accent1"/>
                <w:sz w:val="14"/>
                <w:szCs w:val="18"/>
              </w:rPr>
            </w:pPr>
            <w:r w:rsidRPr="00162969">
              <w:rPr>
                <w:b/>
                <w:bCs/>
                <w:iCs/>
                <w:color w:val="0070AD" w:themeColor="accent1"/>
                <w:sz w:val="14"/>
                <w:szCs w:val="12"/>
              </w:rPr>
              <w:t>183</w:t>
            </w:r>
          </w:p>
        </w:tc>
        <w:tc>
          <w:tcPr>
            <w:tcW w:w="619"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tcPr>
          <w:p w14:paraId="4E01C736" w14:textId="77777777" w:rsidR="00041C5B" w:rsidRPr="00162969" w:rsidRDefault="00ED5238" w:rsidP="00ED5238">
            <w:pPr>
              <w:keepNext/>
              <w:keepLines/>
              <w:ind w:right="224"/>
              <w:jc w:val="right"/>
              <w:rPr>
                <w:rFonts w:ascii="Verdana" w:hAnsi="Verdana" w:cs="Arial"/>
                <w:b/>
                <w:bCs/>
                <w:color w:val="0070AD" w:themeColor="accent1"/>
                <w:sz w:val="14"/>
                <w:szCs w:val="18"/>
              </w:rPr>
            </w:pPr>
            <w:r w:rsidRPr="00162969">
              <w:rPr>
                <w:rFonts w:ascii="Verdana" w:hAnsi="Verdana"/>
                <w:b/>
                <w:bCs/>
                <w:color w:val="0070AD" w:themeColor="accent1"/>
                <w:sz w:val="14"/>
                <w:szCs w:val="18"/>
              </w:rPr>
              <w:t>204</w:t>
            </w:r>
          </w:p>
        </w:tc>
      </w:tr>
      <w:tr w:rsidR="00ED5238" w:rsidRPr="00162969" w14:paraId="3A427D82" w14:textId="77777777" w:rsidTr="00745FC2">
        <w:trPr>
          <w:trHeight w:val="170"/>
          <w:jc w:val="center"/>
        </w:trPr>
        <w:tc>
          <w:tcPr>
            <w:tcW w:w="2527" w:type="pct"/>
            <w:tcBorders>
              <w:top w:val="single" w:sz="8" w:space="0" w:color="0070AD" w:themeColor="accent1"/>
              <w:left w:val="nil"/>
              <w:right w:val="nil"/>
            </w:tcBorders>
            <w:shd w:val="clear" w:color="auto" w:fill="auto"/>
            <w:tcMar>
              <w:top w:w="28" w:type="dxa"/>
              <w:left w:w="28" w:type="dxa"/>
              <w:bottom w:w="28" w:type="dxa"/>
              <w:right w:w="28" w:type="dxa"/>
            </w:tcMar>
            <w:vAlign w:val="center"/>
            <w:hideMark/>
          </w:tcPr>
          <w:p w14:paraId="15A7E7FD" w14:textId="77777777" w:rsidR="00041C5B" w:rsidRPr="00162969" w:rsidRDefault="00041C5B" w:rsidP="00041C5B">
            <w:pPr>
              <w:keepNext/>
              <w:keepLines/>
              <w:ind w:left="215"/>
              <w:rPr>
                <w:rFonts w:ascii="Verdana" w:hAnsi="Verdana" w:cs="Arial"/>
                <w:bCs/>
                <w:sz w:val="14"/>
                <w:szCs w:val="18"/>
              </w:rPr>
            </w:pPr>
            <w:r w:rsidRPr="00162969">
              <w:rPr>
                <w:rFonts w:ascii="Verdana" w:hAnsi="Verdana"/>
                <w:sz w:val="14"/>
                <w:szCs w:val="14"/>
              </w:rPr>
              <w:t>Long-term borrowings</w:t>
            </w:r>
          </w:p>
        </w:tc>
        <w:tc>
          <w:tcPr>
            <w:tcW w:w="618" w:type="pct"/>
            <w:tcBorders>
              <w:top w:val="single" w:sz="8" w:space="0" w:color="0070AD" w:themeColor="accent1"/>
              <w:left w:val="nil"/>
              <w:right w:val="nil"/>
            </w:tcBorders>
            <w:shd w:val="clear" w:color="auto" w:fill="auto"/>
            <w:tcMar>
              <w:top w:w="28" w:type="dxa"/>
              <w:left w:w="28" w:type="dxa"/>
              <w:bottom w:w="28" w:type="dxa"/>
              <w:right w:w="28" w:type="dxa"/>
            </w:tcMar>
            <w:vAlign w:val="center"/>
            <w:hideMark/>
          </w:tcPr>
          <w:p w14:paraId="657B9B44" w14:textId="77777777" w:rsidR="00041C5B" w:rsidRPr="00162969" w:rsidRDefault="00041C5B" w:rsidP="00ED5238">
            <w:pPr>
              <w:keepNext/>
              <w:keepLines/>
              <w:ind w:right="224"/>
              <w:jc w:val="right"/>
              <w:rPr>
                <w:rFonts w:ascii="Verdana" w:hAnsi="Verdana" w:cs="Arial"/>
                <w:sz w:val="14"/>
                <w:szCs w:val="18"/>
              </w:rPr>
            </w:pPr>
            <w:r w:rsidRPr="00162969">
              <w:rPr>
                <w:rFonts w:ascii="Verdana" w:hAnsi="Verdana"/>
                <w:bCs/>
                <w:sz w:val="14"/>
                <w:szCs w:val="18"/>
              </w:rPr>
              <w:t>(3,267)</w:t>
            </w:r>
          </w:p>
        </w:tc>
        <w:tc>
          <w:tcPr>
            <w:tcW w:w="619" w:type="pct"/>
            <w:tcBorders>
              <w:top w:val="single" w:sz="8" w:space="0" w:color="0070AD" w:themeColor="accent1"/>
              <w:left w:val="nil"/>
              <w:right w:val="nil"/>
            </w:tcBorders>
            <w:shd w:val="clear" w:color="auto" w:fill="auto"/>
            <w:vAlign w:val="center"/>
          </w:tcPr>
          <w:p w14:paraId="52006F0C" w14:textId="77777777" w:rsidR="00041C5B" w:rsidRPr="00162969" w:rsidRDefault="00041C5B" w:rsidP="00ED5238">
            <w:pPr>
              <w:keepNext/>
              <w:keepLines/>
              <w:ind w:right="224"/>
              <w:jc w:val="right"/>
              <w:rPr>
                <w:rFonts w:ascii="Verdana" w:hAnsi="Verdana" w:cs="Arial"/>
                <w:sz w:val="14"/>
                <w:szCs w:val="18"/>
              </w:rPr>
            </w:pPr>
            <w:r w:rsidRPr="00162969">
              <w:rPr>
                <w:bCs/>
                <w:sz w:val="14"/>
                <w:szCs w:val="12"/>
              </w:rPr>
              <w:t>(3,274)</w:t>
            </w:r>
          </w:p>
        </w:tc>
        <w:tc>
          <w:tcPr>
            <w:tcW w:w="618" w:type="pct"/>
            <w:tcBorders>
              <w:top w:val="single" w:sz="8" w:space="0" w:color="0070AD" w:themeColor="accent1"/>
              <w:left w:val="nil"/>
              <w:right w:val="nil"/>
            </w:tcBorders>
            <w:shd w:val="clear" w:color="auto" w:fill="auto"/>
            <w:vAlign w:val="center"/>
          </w:tcPr>
          <w:p w14:paraId="75B0F60C" w14:textId="77777777" w:rsidR="00041C5B" w:rsidRPr="00162969" w:rsidRDefault="00041C5B" w:rsidP="00ED5238">
            <w:pPr>
              <w:keepNext/>
              <w:keepLines/>
              <w:ind w:right="224"/>
              <w:jc w:val="right"/>
              <w:rPr>
                <w:rFonts w:ascii="Verdana" w:hAnsi="Verdana" w:cs="Arial"/>
                <w:bCs/>
                <w:sz w:val="14"/>
                <w:szCs w:val="18"/>
              </w:rPr>
            </w:pPr>
            <w:r w:rsidRPr="00162969">
              <w:rPr>
                <w:bCs/>
                <w:sz w:val="14"/>
                <w:szCs w:val="12"/>
              </w:rPr>
              <w:t>(3,233)</w:t>
            </w:r>
          </w:p>
        </w:tc>
        <w:tc>
          <w:tcPr>
            <w:tcW w:w="619" w:type="pct"/>
            <w:tcBorders>
              <w:top w:val="single" w:sz="8" w:space="0" w:color="0070AD" w:themeColor="accent1"/>
              <w:left w:val="nil"/>
              <w:right w:val="nil"/>
            </w:tcBorders>
            <w:shd w:val="clear" w:color="auto" w:fill="BBE7FF" w:themeFill="accent1" w:themeFillTint="33"/>
            <w:tcMar>
              <w:top w:w="28" w:type="dxa"/>
              <w:left w:w="28" w:type="dxa"/>
              <w:bottom w:w="28" w:type="dxa"/>
              <w:right w:w="28" w:type="dxa"/>
            </w:tcMar>
            <w:vAlign w:val="center"/>
            <w:hideMark/>
          </w:tcPr>
          <w:p w14:paraId="20DC30A2" w14:textId="77777777" w:rsidR="00041C5B" w:rsidRPr="00162969" w:rsidRDefault="00041C5B" w:rsidP="00ED5238">
            <w:pPr>
              <w:keepNext/>
              <w:keepLines/>
              <w:ind w:right="224"/>
              <w:jc w:val="right"/>
              <w:rPr>
                <w:rFonts w:ascii="Verdana" w:hAnsi="Verdana" w:cs="Arial"/>
                <w:sz w:val="14"/>
                <w:szCs w:val="18"/>
              </w:rPr>
            </w:pPr>
            <w:r w:rsidRPr="00162969">
              <w:rPr>
                <w:rFonts w:ascii="Verdana" w:hAnsi="Verdana"/>
                <w:bCs/>
                <w:sz w:val="14"/>
                <w:szCs w:val="18"/>
              </w:rPr>
              <w:t>(3,237)</w:t>
            </w:r>
          </w:p>
        </w:tc>
      </w:tr>
      <w:tr w:rsidR="00ED5238" w:rsidRPr="00162969" w14:paraId="1517D1FE" w14:textId="77777777" w:rsidTr="00745FC2">
        <w:trPr>
          <w:trHeight w:val="170"/>
          <w:jc w:val="center"/>
        </w:trPr>
        <w:tc>
          <w:tcPr>
            <w:tcW w:w="2527" w:type="pct"/>
            <w:tcBorders>
              <w:top w:val="nil"/>
              <w:left w:val="nil"/>
              <w:right w:val="nil"/>
            </w:tcBorders>
            <w:shd w:val="clear" w:color="auto" w:fill="auto"/>
            <w:tcMar>
              <w:top w:w="28" w:type="dxa"/>
              <w:left w:w="28" w:type="dxa"/>
              <w:bottom w:w="28" w:type="dxa"/>
              <w:right w:w="28" w:type="dxa"/>
            </w:tcMar>
            <w:vAlign w:val="center"/>
          </w:tcPr>
          <w:p w14:paraId="23D5C915" w14:textId="77777777" w:rsidR="00041C5B" w:rsidRPr="00162969" w:rsidRDefault="00041C5B" w:rsidP="00041C5B">
            <w:pPr>
              <w:keepNext/>
              <w:keepLines/>
              <w:ind w:left="215"/>
              <w:rPr>
                <w:rFonts w:ascii="Verdana" w:hAnsi="Verdana" w:cs="Arial"/>
                <w:bCs/>
                <w:sz w:val="14"/>
                <w:szCs w:val="18"/>
              </w:rPr>
            </w:pPr>
            <w:r w:rsidRPr="00162969">
              <w:rPr>
                <w:rFonts w:ascii="Verdana" w:hAnsi="Verdana"/>
                <w:bCs/>
                <w:sz w:val="14"/>
                <w:szCs w:val="18"/>
              </w:rPr>
              <w:t>Short-term borrowings and bank overdrafts</w:t>
            </w:r>
          </w:p>
        </w:tc>
        <w:tc>
          <w:tcPr>
            <w:tcW w:w="618" w:type="pct"/>
            <w:tcBorders>
              <w:top w:val="nil"/>
              <w:left w:val="nil"/>
              <w:right w:val="nil"/>
            </w:tcBorders>
            <w:shd w:val="clear" w:color="auto" w:fill="auto"/>
            <w:tcMar>
              <w:top w:w="28" w:type="dxa"/>
              <w:left w:w="28" w:type="dxa"/>
              <w:bottom w:w="28" w:type="dxa"/>
              <w:right w:w="28" w:type="dxa"/>
            </w:tcMar>
            <w:vAlign w:val="center"/>
          </w:tcPr>
          <w:p w14:paraId="5B8FF0D6" w14:textId="77777777" w:rsidR="00041C5B" w:rsidRPr="00162969" w:rsidRDefault="00041C5B" w:rsidP="00ED5238">
            <w:pPr>
              <w:keepNext/>
              <w:keepLines/>
              <w:ind w:right="224"/>
              <w:jc w:val="right"/>
              <w:rPr>
                <w:rFonts w:ascii="Verdana" w:hAnsi="Verdana" w:cs="Arial"/>
                <w:bCs/>
                <w:sz w:val="14"/>
                <w:szCs w:val="18"/>
              </w:rPr>
            </w:pPr>
            <w:r w:rsidRPr="00162969">
              <w:rPr>
                <w:rFonts w:ascii="Verdana" w:hAnsi="Verdana"/>
                <w:bCs/>
                <w:sz w:val="14"/>
                <w:szCs w:val="18"/>
              </w:rPr>
              <w:t>(871)</w:t>
            </w:r>
          </w:p>
        </w:tc>
        <w:tc>
          <w:tcPr>
            <w:tcW w:w="619" w:type="pct"/>
            <w:tcBorders>
              <w:top w:val="nil"/>
              <w:left w:val="nil"/>
              <w:right w:val="nil"/>
            </w:tcBorders>
            <w:shd w:val="clear" w:color="auto" w:fill="auto"/>
            <w:vAlign w:val="center"/>
          </w:tcPr>
          <w:p w14:paraId="3C172326" w14:textId="77777777" w:rsidR="00041C5B" w:rsidRPr="00162969" w:rsidRDefault="00041C5B" w:rsidP="00ED5238">
            <w:pPr>
              <w:keepNext/>
              <w:keepLines/>
              <w:ind w:right="224"/>
              <w:jc w:val="right"/>
              <w:rPr>
                <w:rFonts w:ascii="Verdana" w:hAnsi="Verdana" w:cs="Arial"/>
                <w:bCs/>
                <w:sz w:val="14"/>
                <w:szCs w:val="18"/>
              </w:rPr>
            </w:pPr>
            <w:r w:rsidRPr="00162969">
              <w:rPr>
                <w:bCs/>
                <w:sz w:val="14"/>
                <w:szCs w:val="12"/>
              </w:rPr>
              <w:t>(83)</w:t>
            </w:r>
          </w:p>
        </w:tc>
        <w:tc>
          <w:tcPr>
            <w:tcW w:w="618" w:type="pct"/>
            <w:tcBorders>
              <w:top w:val="nil"/>
              <w:left w:val="nil"/>
              <w:right w:val="nil"/>
            </w:tcBorders>
            <w:shd w:val="clear" w:color="auto" w:fill="auto"/>
            <w:vAlign w:val="center"/>
          </w:tcPr>
          <w:p w14:paraId="5EAC47BD" w14:textId="77777777" w:rsidR="00041C5B" w:rsidRPr="00162969" w:rsidRDefault="00041C5B" w:rsidP="00ED5238">
            <w:pPr>
              <w:keepNext/>
              <w:keepLines/>
              <w:ind w:right="224"/>
              <w:jc w:val="right"/>
              <w:rPr>
                <w:rFonts w:ascii="Verdana" w:hAnsi="Verdana" w:cs="Arial"/>
                <w:bCs/>
                <w:sz w:val="14"/>
                <w:szCs w:val="18"/>
              </w:rPr>
            </w:pPr>
            <w:r w:rsidRPr="00162969">
              <w:rPr>
                <w:bCs/>
                <w:sz w:val="14"/>
                <w:szCs w:val="12"/>
              </w:rPr>
              <w:t>(44)</w:t>
            </w:r>
          </w:p>
        </w:tc>
        <w:tc>
          <w:tcPr>
            <w:tcW w:w="619" w:type="pct"/>
            <w:tcBorders>
              <w:top w:val="nil"/>
              <w:left w:val="nil"/>
              <w:right w:val="nil"/>
            </w:tcBorders>
            <w:shd w:val="clear" w:color="auto" w:fill="BBE7FF" w:themeFill="accent1" w:themeFillTint="33"/>
            <w:tcMar>
              <w:top w:w="28" w:type="dxa"/>
              <w:left w:w="28" w:type="dxa"/>
              <w:bottom w:w="28" w:type="dxa"/>
              <w:right w:w="28" w:type="dxa"/>
            </w:tcMar>
            <w:vAlign w:val="center"/>
          </w:tcPr>
          <w:p w14:paraId="1248FCD2" w14:textId="77777777" w:rsidR="00041C5B" w:rsidRPr="00162969" w:rsidRDefault="00041C5B" w:rsidP="00ED5238">
            <w:pPr>
              <w:keepNext/>
              <w:keepLines/>
              <w:ind w:right="224"/>
              <w:jc w:val="right"/>
              <w:rPr>
                <w:rFonts w:ascii="Verdana" w:hAnsi="Verdana" w:cs="Arial"/>
                <w:bCs/>
                <w:sz w:val="14"/>
                <w:szCs w:val="18"/>
              </w:rPr>
            </w:pPr>
            <w:r w:rsidRPr="00162969">
              <w:rPr>
                <w:rFonts w:ascii="Verdana" w:hAnsi="Verdana"/>
                <w:bCs/>
                <w:sz w:val="14"/>
                <w:szCs w:val="18"/>
              </w:rPr>
              <w:t>(260)</w:t>
            </w:r>
          </w:p>
        </w:tc>
      </w:tr>
      <w:tr w:rsidR="00ED5238" w:rsidRPr="00162969" w14:paraId="6FA8D050" w14:textId="77777777" w:rsidTr="00745FC2">
        <w:trPr>
          <w:trHeight w:val="170"/>
          <w:jc w:val="center"/>
        </w:trPr>
        <w:tc>
          <w:tcPr>
            <w:tcW w:w="2527" w:type="pct"/>
            <w:tcBorders>
              <w:top w:val="nil"/>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4DDFBE9C" w14:textId="77777777" w:rsidR="00041C5B" w:rsidRPr="00162969" w:rsidRDefault="00041C5B" w:rsidP="00041C5B">
            <w:pPr>
              <w:keepNext/>
              <w:keepLines/>
              <w:ind w:left="215"/>
              <w:rPr>
                <w:rFonts w:ascii="Verdana" w:hAnsi="Verdana" w:cs="Arial"/>
                <w:sz w:val="14"/>
                <w:szCs w:val="18"/>
              </w:rPr>
            </w:pPr>
            <w:r w:rsidRPr="00162969">
              <w:rPr>
                <w:rFonts w:ascii="Verdana" w:hAnsi="Verdana"/>
                <w:bCs/>
                <w:sz w:val="14"/>
                <w:szCs w:val="18"/>
              </w:rPr>
              <w:t>(-) Bank overdrafts</w:t>
            </w:r>
          </w:p>
        </w:tc>
        <w:tc>
          <w:tcPr>
            <w:tcW w:w="618" w:type="pct"/>
            <w:tcBorders>
              <w:top w:val="nil"/>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1BA04F80" w14:textId="77777777" w:rsidR="00041C5B" w:rsidRPr="00162969" w:rsidRDefault="00041C5B" w:rsidP="00ED5238">
            <w:pPr>
              <w:keepNext/>
              <w:keepLines/>
              <w:ind w:right="224"/>
              <w:jc w:val="right"/>
              <w:rPr>
                <w:rFonts w:ascii="Verdana" w:hAnsi="Verdana" w:cs="Arial"/>
                <w:sz w:val="14"/>
                <w:szCs w:val="18"/>
              </w:rPr>
            </w:pPr>
            <w:r w:rsidRPr="00162969">
              <w:rPr>
                <w:rFonts w:ascii="Verdana" w:hAnsi="Verdana"/>
                <w:bCs/>
                <w:sz w:val="14"/>
                <w:szCs w:val="18"/>
              </w:rPr>
              <w:t>1</w:t>
            </w:r>
          </w:p>
        </w:tc>
        <w:tc>
          <w:tcPr>
            <w:tcW w:w="619" w:type="pct"/>
            <w:tcBorders>
              <w:top w:val="nil"/>
              <w:left w:val="nil"/>
              <w:bottom w:val="single" w:sz="8" w:space="0" w:color="0070AD" w:themeColor="accent1"/>
              <w:right w:val="nil"/>
            </w:tcBorders>
            <w:shd w:val="clear" w:color="auto" w:fill="auto"/>
            <w:vAlign w:val="center"/>
          </w:tcPr>
          <w:p w14:paraId="70169965" w14:textId="77777777" w:rsidR="00041C5B" w:rsidRPr="00162969" w:rsidRDefault="00041C5B" w:rsidP="00ED5238">
            <w:pPr>
              <w:keepNext/>
              <w:keepLines/>
              <w:ind w:right="224"/>
              <w:jc w:val="right"/>
              <w:rPr>
                <w:rFonts w:ascii="Verdana" w:hAnsi="Verdana" w:cs="Arial"/>
                <w:sz w:val="14"/>
                <w:szCs w:val="18"/>
              </w:rPr>
            </w:pPr>
            <w:r w:rsidRPr="00162969">
              <w:rPr>
                <w:bCs/>
                <w:sz w:val="14"/>
                <w:szCs w:val="12"/>
              </w:rPr>
              <w:t>2</w:t>
            </w:r>
          </w:p>
        </w:tc>
        <w:tc>
          <w:tcPr>
            <w:tcW w:w="618" w:type="pct"/>
            <w:tcBorders>
              <w:top w:val="nil"/>
              <w:left w:val="nil"/>
              <w:bottom w:val="single" w:sz="8" w:space="0" w:color="0070AD" w:themeColor="accent1"/>
              <w:right w:val="nil"/>
            </w:tcBorders>
            <w:shd w:val="clear" w:color="auto" w:fill="auto"/>
            <w:vAlign w:val="center"/>
          </w:tcPr>
          <w:p w14:paraId="2E07A4DD" w14:textId="77777777" w:rsidR="00041C5B" w:rsidRPr="00162969" w:rsidRDefault="00041C5B" w:rsidP="00ED5238">
            <w:pPr>
              <w:keepNext/>
              <w:keepLines/>
              <w:ind w:right="224"/>
              <w:jc w:val="right"/>
              <w:rPr>
                <w:rFonts w:ascii="Verdana" w:hAnsi="Verdana" w:cs="Arial"/>
                <w:bCs/>
                <w:sz w:val="14"/>
                <w:szCs w:val="18"/>
              </w:rPr>
            </w:pPr>
            <w:r w:rsidRPr="00162969">
              <w:rPr>
                <w:bCs/>
                <w:sz w:val="14"/>
                <w:szCs w:val="12"/>
              </w:rPr>
              <w:t>2</w:t>
            </w:r>
          </w:p>
        </w:tc>
        <w:tc>
          <w:tcPr>
            <w:tcW w:w="619" w:type="pct"/>
            <w:tcBorders>
              <w:top w:val="nil"/>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764C7EC9" w14:textId="77777777" w:rsidR="00041C5B" w:rsidRPr="00162969" w:rsidRDefault="00ED5238" w:rsidP="00ED5238">
            <w:pPr>
              <w:keepNext/>
              <w:keepLines/>
              <w:ind w:right="224"/>
              <w:jc w:val="right"/>
              <w:rPr>
                <w:rFonts w:ascii="Verdana" w:hAnsi="Verdana" w:cs="Arial"/>
                <w:sz w:val="14"/>
                <w:szCs w:val="18"/>
              </w:rPr>
            </w:pPr>
            <w:r w:rsidRPr="00162969">
              <w:rPr>
                <w:rFonts w:ascii="Verdana" w:hAnsi="Verdana"/>
                <w:bCs/>
                <w:sz w:val="14"/>
                <w:szCs w:val="18"/>
              </w:rPr>
              <w:t>6</w:t>
            </w:r>
          </w:p>
        </w:tc>
      </w:tr>
      <w:tr w:rsidR="00ED5238" w:rsidRPr="00162969" w14:paraId="333306F6" w14:textId="77777777" w:rsidTr="00745FC2">
        <w:trPr>
          <w:trHeight w:val="170"/>
          <w:jc w:val="center"/>
        </w:trPr>
        <w:tc>
          <w:tcPr>
            <w:tcW w:w="2527"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3A4C9176" w14:textId="77777777" w:rsidR="00041C5B" w:rsidRPr="00162969" w:rsidRDefault="00041C5B" w:rsidP="00041C5B">
            <w:pPr>
              <w:keepNext/>
              <w:keepLines/>
              <w:ind w:left="114"/>
              <w:rPr>
                <w:rFonts w:ascii="Verdana" w:hAnsi="Verdana" w:cs="Arial"/>
                <w:color w:val="0070AD" w:themeColor="accent1"/>
                <w:sz w:val="14"/>
                <w:szCs w:val="18"/>
              </w:rPr>
            </w:pPr>
            <w:r w:rsidRPr="00162969">
              <w:rPr>
                <w:rFonts w:ascii="Verdana" w:hAnsi="Verdana"/>
                <w:b/>
                <w:bCs/>
                <w:iCs/>
                <w:color w:val="0070AD" w:themeColor="accent1"/>
                <w:sz w:val="14"/>
                <w:szCs w:val="18"/>
              </w:rPr>
              <w:t>Borrowings, excluding bank overdrafts</w:t>
            </w:r>
          </w:p>
        </w:tc>
        <w:tc>
          <w:tcPr>
            <w:tcW w:w="61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26753436" w14:textId="77777777" w:rsidR="00041C5B" w:rsidRPr="00162969" w:rsidRDefault="00041C5B" w:rsidP="00ED5238">
            <w:pPr>
              <w:keepNext/>
              <w:keepLines/>
              <w:ind w:right="224"/>
              <w:jc w:val="right"/>
              <w:rPr>
                <w:rFonts w:ascii="Verdana" w:hAnsi="Verdana" w:cs="Arial"/>
                <w:color w:val="0070AD" w:themeColor="accent1"/>
                <w:sz w:val="14"/>
                <w:szCs w:val="18"/>
              </w:rPr>
            </w:pPr>
            <w:r w:rsidRPr="00162969">
              <w:rPr>
                <w:rFonts w:ascii="Verdana" w:hAnsi="Verdana"/>
                <w:b/>
                <w:bCs/>
                <w:color w:val="0070AD" w:themeColor="accent1"/>
                <w:sz w:val="14"/>
                <w:szCs w:val="18"/>
              </w:rPr>
              <w:t>(4,137)</w:t>
            </w:r>
          </w:p>
        </w:tc>
        <w:tc>
          <w:tcPr>
            <w:tcW w:w="619" w:type="pct"/>
            <w:tcBorders>
              <w:top w:val="single" w:sz="8" w:space="0" w:color="0070AD" w:themeColor="accent1"/>
              <w:left w:val="nil"/>
              <w:bottom w:val="single" w:sz="8" w:space="0" w:color="0070AD" w:themeColor="accent1"/>
              <w:right w:val="nil"/>
            </w:tcBorders>
            <w:shd w:val="clear" w:color="auto" w:fill="auto"/>
            <w:vAlign w:val="center"/>
          </w:tcPr>
          <w:p w14:paraId="7960B502" w14:textId="77777777" w:rsidR="00041C5B" w:rsidRPr="00162969" w:rsidRDefault="00041C5B" w:rsidP="00ED5238">
            <w:pPr>
              <w:keepNext/>
              <w:keepLines/>
              <w:ind w:right="224"/>
              <w:jc w:val="right"/>
              <w:rPr>
                <w:rFonts w:ascii="Verdana" w:hAnsi="Verdana" w:cs="Arial"/>
                <w:color w:val="0070AD" w:themeColor="accent1"/>
                <w:sz w:val="14"/>
                <w:szCs w:val="18"/>
              </w:rPr>
            </w:pPr>
            <w:r w:rsidRPr="00162969">
              <w:rPr>
                <w:b/>
                <w:bCs/>
                <w:iCs/>
                <w:color w:val="0070AD" w:themeColor="accent1"/>
                <w:sz w:val="14"/>
                <w:szCs w:val="12"/>
              </w:rPr>
              <w:t>(3,355)</w:t>
            </w:r>
          </w:p>
        </w:tc>
        <w:tc>
          <w:tcPr>
            <w:tcW w:w="618" w:type="pct"/>
            <w:tcBorders>
              <w:top w:val="single" w:sz="8" w:space="0" w:color="0070AD" w:themeColor="accent1"/>
              <w:left w:val="nil"/>
              <w:bottom w:val="single" w:sz="8" w:space="0" w:color="0070AD" w:themeColor="accent1"/>
              <w:right w:val="nil"/>
            </w:tcBorders>
            <w:shd w:val="clear" w:color="auto" w:fill="auto"/>
            <w:vAlign w:val="center"/>
          </w:tcPr>
          <w:p w14:paraId="0E0D132D" w14:textId="77777777" w:rsidR="00041C5B" w:rsidRPr="00162969" w:rsidRDefault="00041C5B" w:rsidP="00ED5238">
            <w:pPr>
              <w:keepNext/>
              <w:keepLines/>
              <w:ind w:right="224"/>
              <w:jc w:val="right"/>
              <w:rPr>
                <w:rFonts w:ascii="Verdana" w:hAnsi="Verdana" w:cs="Arial"/>
                <w:b/>
                <w:bCs/>
                <w:color w:val="0070AD" w:themeColor="accent1"/>
                <w:sz w:val="14"/>
                <w:szCs w:val="18"/>
              </w:rPr>
            </w:pPr>
            <w:r w:rsidRPr="00162969">
              <w:rPr>
                <w:b/>
                <w:bCs/>
                <w:iCs/>
                <w:color w:val="0070AD" w:themeColor="accent1"/>
                <w:sz w:val="14"/>
                <w:szCs w:val="12"/>
              </w:rPr>
              <w:t>(3,275)</w:t>
            </w:r>
          </w:p>
        </w:tc>
        <w:tc>
          <w:tcPr>
            <w:tcW w:w="619"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26A56C28" w14:textId="77777777" w:rsidR="00041C5B" w:rsidRPr="00162969" w:rsidRDefault="00041C5B" w:rsidP="00ED5238">
            <w:pPr>
              <w:keepNext/>
              <w:keepLines/>
              <w:ind w:right="224"/>
              <w:jc w:val="right"/>
              <w:rPr>
                <w:rFonts w:ascii="Verdana" w:hAnsi="Verdana" w:cs="Arial"/>
                <w:color w:val="0070AD" w:themeColor="accent1"/>
                <w:sz w:val="14"/>
                <w:szCs w:val="18"/>
              </w:rPr>
            </w:pPr>
            <w:r w:rsidRPr="00162969">
              <w:rPr>
                <w:rFonts w:ascii="Verdana" w:hAnsi="Verdana"/>
                <w:b/>
                <w:bCs/>
                <w:color w:val="0070AD" w:themeColor="accent1"/>
                <w:sz w:val="14"/>
                <w:szCs w:val="18"/>
              </w:rPr>
              <w:t>(3,491)</w:t>
            </w:r>
          </w:p>
        </w:tc>
      </w:tr>
      <w:tr w:rsidR="00ED5238" w:rsidRPr="00162969" w14:paraId="6635D9F3" w14:textId="77777777" w:rsidTr="00745FC2">
        <w:trPr>
          <w:trHeight w:val="170"/>
          <w:jc w:val="center"/>
        </w:trPr>
        <w:tc>
          <w:tcPr>
            <w:tcW w:w="2527"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479EC955" w14:textId="77777777" w:rsidR="00041C5B" w:rsidRPr="00162969" w:rsidRDefault="00041C5B" w:rsidP="00041C5B">
            <w:pPr>
              <w:keepNext/>
              <w:keepLines/>
              <w:ind w:left="114"/>
              <w:rPr>
                <w:rFonts w:ascii="Verdana" w:hAnsi="Verdana" w:cs="Arial"/>
                <w:color w:val="0070AD" w:themeColor="accent1"/>
                <w:sz w:val="14"/>
                <w:szCs w:val="18"/>
              </w:rPr>
            </w:pPr>
            <w:r w:rsidRPr="00162969">
              <w:rPr>
                <w:rFonts w:ascii="Verdana" w:hAnsi="Verdana"/>
                <w:b/>
                <w:bCs/>
                <w:iCs/>
                <w:color w:val="0070AD" w:themeColor="accent1"/>
                <w:sz w:val="14"/>
                <w:szCs w:val="18"/>
              </w:rPr>
              <w:t>Derivative instruments</w:t>
            </w:r>
          </w:p>
        </w:tc>
        <w:tc>
          <w:tcPr>
            <w:tcW w:w="61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319EA409" w14:textId="77777777" w:rsidR="00041C5B" w:rsidRPr="00162969" w:rsidRDefault="00041C5B" w:rsidP="00ED5238">
            <w:pPr>
              <w:keepNext/>
              <w:keepLines/>
              <w:ind w:right="224"/>
              <w:jc w:val="right"/>
              <w:rPr>
                <w:rFonts w:ascii="Verdana" w:hAnsi="Verdana" w:cs="Arial"/>
                <w:color w:val="0070AD" w:themeColor="accent1"/>
                <w:sz w:val="14"/>
                <w:szCs w:val="18"/>
              </w:rPr>
            </w:pPr>
            <w:r w:rsidRPr="00162969">
              <w:rPr>
                <w:rFonts w:ascii="Verdana" w:hAnsi="Verdana"/>
                <w:b/>
                <w:bCs/>
                <w:color w:val="0070AD" w:themeColor="accent1"/>
                <w:sz w:val="14"/>
                <w:szCs w:val="18"/>
              </w:rPr>
              <w:t>(26)</w:t>
            </w:r>
          </w:p>
        </w:tc>
        <w:tc>
          <w:tcPr>
            <w:tcW w:w="619" w:type="pct"/>
            <w:tcBorders>
              <w:top w:val="single" w:sz="8" w:space="0" w:color="0070AD" w:themeColor="accent1"/>
              <w:left w:val="nil"/>
              <w:bottom w:val="single" w:sz="8" w:space="0" w:color="0070AD" w:themeColor="accent1"/>
              <w:right w:val="nil"/>
            </w:tcBorders>
            <w:shd w:val="clear" w:color="auto" w:fill="auto"/>
            <w:vAlign w:val="center"/>
          </w:tcPr>
          <w:p w14:paraId="2E07C529" w14:textId="77777777" w:rsidR="00041C5B" w:rsidRPr="00162969" w:rsidRDefault="00041C5B" w:rsidP="00ED5238">
            <w:pPr>
              <w:keepNext/>
              <w:keepLines/>
              <w:ind w:right="224"/>
              <w:jc w:val="right"/>
              <w:rPr>
                <w:rFonts w:ascii="Verdana" w:hAnsi="Verdana" w:cs="Arial"/>
                <w:color w:val="0070AD" w:themeColor="accent1"/>
                <w:sz w:val="14"/>
                <w:szCs w:val="18"/>
              </w:rPr>
            </w:pPr>
            <w:r w:rsidRPr="00162969">
              <w:rPr>
                <w:b/>
                <w:bCs/>
                <w:iCs/>
                <w:color w:val="0070AD" w:themeColor="accent1"/>
                <w:sz w:val="14"/>
                <w:szCs w:val="12"/>
              </w:rPr>
              <w:t>(16)</w:t>
            </w:r>
          </w:p>
        </w:tc>
        <w:tc>
          <w:tcPr>
            <w:tcW w:w="618" w:type="pct"/>
            <w:tcBorders>
              <w:top w:val="single" w:sz="8" w:space="0" w:color="0070AD" w:themeColor="accent1"/>
              <w:left w:val="nil"/>
              <w:bottom w:val="single" w:sz="8" w:space="0" w:color="0070AD" w:themeColor="accent1"/>
              <w:right w:val="nil"/>
            </w:tcBorders>
            <w:shd w:val="clear" w:color="auto" w:fill="auto"/>
            <w:vAlign w:val="center"/>
          </w:tcPr>
          <w:p w14:paraId="7B239234" w14:textId="77777777" w:rsidR="00041C5B" w:rsidRPr="00162969" w:rsidRDefault="00041C5B" w:rsidP="00ED5238">
            <w:pPr>
              <w:keepNext/>
              <w:keepLines/>
              <w:ind w:right="224"/>
              <w:jc w:val="right"/>
              <w:rPr>
                <w:rFonts w:ascii="Verdana" w:hAnsi="Verdana" w:cs="Arial"/>
                <w:b/>
                <w:bCs/>
                <w:color w:val="0070AD" w:themeColor="accent1"/>
                <w:sz w:val="14"/>
                <w:szCs w:val="18"/>
              </w:rPr>
            </w:pPr>
            <w:r w:rsidRPr="00162969">
              <w:rPr>
                <w:b/>
                <w:bCs/>
                <w:iCs/>
                <w:color w:val="0070AD" w:themeColor="accent1"/>
                <w:sz w:val="14"/>
                <w:szCs w:val="12"/>
              </w:rPr>
              <w:t>(16)</w:t>
            </w:r>
          </w:p>
        </w:tc>
        <w:tc>
          <w:tcPr>
            <w:tcW w:w="619"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1EACCCB4" w14:textId="77777777" w:rsidR="00041C5B" w:rsidRPr="00162969" w:rsidRDefault="00ED5238" w:rsidP="00ED5238">
            <w:pPr>
              <w:keepNext/>
              <w:keepLines/>
              <w:ind w:right="224"/>
              <w:jc w:val="right"/>
              <w:rPr>
                <w:rFonts w:ascii="Verdana" w:hAnsi="Verdana" w:cs="Arial"/>
                <w:color w:val="0070AD" w:themeColor="accent1"/>
                <w:sz w:val="14"/>
                <w:szCs w:val="18"/>
              </w:rPr>
            </w:pPr>
            <w:r w:rsidRPr="00162969">
              <w:rPr>
                <w:rFonts w:ascii="Verdana" w:hAnsi="Verdana"/>
                <w:b/>
                <w:bCs/>
                <w:color w:val="0070AD" w:themeColor="accent1"/>
                <w:sz w:val="14"/>
                <w:szCs w:val="18"/>
              </w:rPr>
              <w:t>3</w:t>
            </w:r>
          </w:p>
        </w:tc>
      </w:tr>
      <w:tr w:rsidR="00ED5238" w:rsidRPr="00116355" w14:paraId="3C19294B" w14:textId="77777777" w:rsidTr="00745FC2">
        <w:trPr>
          <w:trHeight w:val="170"/>
          <w:jc w:val="center"/>
        </w:trPr>
        <w:tc>
          <w:tcPr>
            <w:tcW w:w="2527"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3AF720D6" w14:textId="77777777" w:rsidR="00041C5B" w:rsidRPr="00162969" w:rsidRDefault="00041C5B" w:rsidP="00041C5B">
            <w:pPr>
              <w:keepNext/>
              <w:keepLines/>
              <w:ind w:left="114"/>
              <w:rPr>
                <w:rFonts w:ascii="Verdana" w:hAnsi="Verdana" w:cs="Arial"/>
                <w:caps/>
                <w:color w:val="0070AD" w:themeColor="accent1"/>
                <w:sz w:val="14"/>
                <w:szCs w:val="18"/>
              </w:rPr>
            </w:pPr>
            <w:r w:rsidRPr="00162969">
              <w:rPr>
                <w:rFonts w:ascii="Verdana" w:hAnsi="Verdana"/>
                <w:b/>
                <w:bCs/>
                <w:iCs/>
                <w:caps/>
                <w:color w:val="0070AD" w:themeColor="accent1"/>
                <w:sz w:val="14"/>
                <w:szCs w:val="18"/>
              </w:rPr>
              <w:t>Net cash and cash equivalents / (Net debt)</w:t>
            </w:r>
          </w:p>
        </w:tc>
        <w:tc>
          <w:tcPr>
            <w:tcW w:w="61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35B37840" w14:textId="77777777" w:rsidR="00041C5B" w:rsidRPr="00162969" w:rsidRDefault="00041C5B" w:rsidP="00ED5238">
            <w:pPr>
              <w:keepNext/>
              <w:keepLines/>
              <w:ind w:right="224"/>
              <w:jc w:val="right"/>
              <w:rPr>
                <w:rFonts w:ascii="Verdana" w:hAnsi="Verdana" w:cs="Arial"/>
                <w:color w:val="0070AD" w:themeColor="accent1"/>
                <w:sz w:val="14"/>
                <w:szCs w:val="18"/>
              </w:rPr>
            </w:pPr>
            <w:r w:rsidRPr="00162969">
              <w:rPr>
                <w:rFonts w:ascii="Verdana" w:hAnsi="Verdana"/>
                <w:b/>
                <w:bCs/>
                <w:color w:val="0070AD" w:themeColor="accent1"/>
                <w:sz w:val="14"/>
                <w:szCs w:val="18"/>
              </w:rPr>
              <w:t>(2,192)</w:t>
            </w:r>
          </w:p>
        </w:tc>
        <w:tc>
          <w:tcPr>
            <w:tcW w:w="619" w:type="pct"/>
            <w:tcBorders>
              <w:top w:val="single" w:sz="8" w:space="0" w:color="0070AD" w:themeColor="accent1"/>
              <w:left w:val="nil"/>
              <w:bottom w:val="single" w:sz="8" w:space="0" w:color="0070AD" w:themeColor="accent1"/>
              <w:right w:val="nil"/>
            </w:tcBorders>
            <w:shd w:val="clear" w:color="auto" w:fill="auto"/>
            <w:vAlign w:val="center"/>
          </w:tcPr>
          <w:p w14:paraId="4119062B" w14:textId="77777777" w:rsidR="00041C5B" w:rsidRPr="00162969" w:rsidRDefault="00041C5B" w:rsidP="00ED5238">
            <w:pPr>
              <w:keepNext/>
              <w:keepLines/>
              <w:ind w:right="224"/>
              <w:jc w:val="right"/>
              <w:rPr>
                <w:rFonts w:ascii="Verdana" w:hAnsi="Verdana" w:cs="Arial"/>
                <w:color w:val="0070AD" w:themeColor="accent1"/>
                <w:sz w:val="14"/>
                <w:szCs w:val="18"/>
              </w:rPr>
            </w:pPr>
            <w:r w:rsidRPr="00162969">
              <w:rPr>
                <w:b/>
                <w:bCs/>
                <w:iCs/>
                <w:color w:val="0070AD" w:themeColor="accent1"/>
                <w:sz w:val="14"/>
                <w:szCs w:val="12"/>
              </w:rPr>
              <w:t>(1,184)</w:t>
            </w:r>
          </w:p>
        </w:tc>
        <w:tc>
          <w:tcPr>
            <w:tcW w:w="618" w:type="pct"/>
            <w:tcBorders>
              <w:top w:val="single" w:sz="8" w:space="0" w:color="0070AD" w:themeColor="accent1"/>
              <w:left w:val="nil"/>
              <w:bottom w:val="single" w:sz="8" w:space="0" w:color="0070AD" w:themeColor="accent1"/>
              <w:right w:val="nil"/>
            </w:tcBorders>
            <w:shd w:val="clear" w:color="auto" w:fill="auto"/>
            <w:vAlign w:val="center"/>
          </w:tcPr>
          <w:p w14:paraId="780E6E11" w14:textId="77777777" w:rsidR="00041C5B" w:rsidRPr="00162969" w:rsidRDefault="00041C5B" w:rsidP="00ED5238">
            <w:pPr>
              <w:keepNext/>
              <w:keepLines/>
              <w:ind w:right="224"/>
              <w:jc w:val="right"/>
              <w:rPr>
                <w:rFonts w:ascii="Verdana" w:hAnsi="Verdana" w:cs="Arial"/>
                <w:b/>
                <w:bCs/>
                <w:color w:val="0070AD" w:themeColor="accent1"/>
                <w:sz w:val="14"/>
                <w:szCs w:val="18"/>
              </w:rPr>
            </w:pPr>
            <w:r w:rsidRPr="00162969">
              <w:rPr>
                <w:b/>
                <w:bCs/>
                <w:iCs/>
                <w:color w:val="0070AD" w:themeColor="accent1"/>
                <w:sz w:val="14"/>
                <w:szCs w:val="12"/>
              </w:rPr>
              <w:t>(1,104)</w:t>
            </w:r>
          </w:p>
        </w:tc>
        <w:tc>
          <w:tcPr>
            <w:tcW w:w="619"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5CA18932" w14:textId="77777777" w:rsidR="00041C5B" w:rsidRPr="00116355" w:rsidRDefault="00041C5B" w:rsidP="00ED5238">
            <w:pPr>
              <w:keepNext/>
              <w:keepLines/>
              <w:ind w:right="224"/>
              <w:jc w:val="right"/>
              <w:rPr>
                <w:rFonts w:ascii="Verdana" w:hAnsi="Verdana" w:cs="Arial"/>
                <w:color w:val="0070AD" w:themeColor="accent1"/>
                <w:sz w:val="14"/>
                <w:szCs w:val="18"/>
              </w:rPr>
            </w:pPr>
            <w:r w:rsidRPr="00162969">
              <w:rPr>
                <w:rFonts w:ascii="Verdana" w:hAnsi="Verdana"/>
                <w:b/>
                <w:bCs/>
                <w:color w:val="0070AD" w:themeColor="accent1"/>
                <w:sz w:val="14"/>
                <w:szCs w:val="18"/>
              </w:rPr>
              <w:t>(1,621)</w:t>
            </w:r>
          </w:p>
        </w:tc>
      </w:tr>
    </w:tbl>
    <w:p w14:paraId="2C51EBD4" w14:textId="77777777" w:rsidR="00170B33" w:rsidRPr="00C93B0E" w:rsidRDefault="00170B33" w:rsidP="009731DE">
      <w:pPr>
        <w:pStyle w:val="FootnoteText"/>
      </w:pPr>
    </w:p>
    <w:sectPr w:rsidR="00170B33" w:rsidRPr="00C93B0E" w:rsidSect="009F6A61">
      <w:headerReference w:type="default" r:id="rId14"/>
      <w:footerReference w:type="default" r:id="rId15"/>
      <w:headerReference w:type="first" r:id="rId16"/>
      <w:footerReference w:type="first" r:id="rId17"/>
      <w:type w:val="continuous"/>
      <w:pgSz w:w="11906" w:h="16838" w:code="9"/>
      <w:pgMar w:top="1051" w:right="862" w:bottom="862" w:left="862" w:header="567" w:footer="51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87857" w14:textId="77777777" w:rsidR="00063D78" w:rsidRDefault="00063D78">
      <w:r>
        <w:separator/>
      </w:r>
    </w:p>
    <w:p w14:paraId="611D70F4" w14:textId="77777777" w:rsidR="00063D78" w:rsidRDefault="00063D78"/>
    <w:p w14:paraId="41832831" w14:textId="77777777" w:rsidR="00063D78" w:rsidRDefault="00063D78" w:rsidP="00C91770"/>
  </w:endnote>
  <w:endnote w:type="continuationSeparator" w:id="0">
    <w:p w14:paraId="0D6BD871" w14:textId="77777777" w:rsidR="00063D78" w:rsidRDefault="00063D78">
      <w:r>
        <w:continuationSeparator/>
      </w:r>
    </w:p>
    <w:p w14:paraId="7D5B2D1B" w14:textId="77777777" w:rsidR="00063D78" w:rsidRDefault="00063D78"/>
    <w:p w14:paraId="2DDE5EA5" w14:textId="77777777" w:rsidR="00063D78" w:rsidRDefault="00063D78" w:rsidP="00C91770"/>
  </w:endnote>
  <w:endnote w:type="continuationNotice" w:id="1">
    <w:p w14:paraId="58E6AA43" w14:textId="77777777" w:rsidR="00063D78" w:rsidRDefault="00063D78"/>
    <w:p w14:paraId="241EBF35" w14:textId="77777777" w:rsidR="00063D78" w:rsidRDefault="00063D78"/>
    <w:p w14:paraId="4A9A1930" w14:textId="77777777" w:rsidR="00063D78" w:rsidRDefault="00063D78" w:rsidP="00C91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B7E9" w14:textId="14842C95" w:rsidR="00305E43" w:rsidRPr="0009520E" w:rsidRDefault="00305E43" w:rsidP="00D244D0">
    <w:pPr>
      <w:pStyle w:val="Footer"/>
      <w:framePr w:wrap="around" w:vAnchor="text" w:hAnchor="margin" w:xAlign="right" w:y="1" w:anchorLock="1"/>
      <w:rPr>
        <w:rStyle w:val="PageNumber"/>
        <w:rFonts w:ascii="Verdana" w:hAnsi="Verdana" w:cs="Arial"/>
        <w:sz w:val="14"/>
        <w:szCs w:val="16"/>
      </w:rPr>
    </w:pPr>
    <w:r w:rsidRPr="0009520E">
      <w:rPr>
        <w:rStyle w:val="PageNumber"/>
        <w:rFonts w:ascii="Verdana" w:hAnsi="Verdana"/>
      </w:rPr>
      <w:fldChar w:fldCharType="begin"/>
    </w:r>
    <w:r w:rsidRPr="0009520E">
      <w:rPr>
        <w:rStyle w:val="PageNumber"/>
        <w:rFonts w:ascii="Verdana" w:hAnsi="Verdana"/>
      </w:rPr>
      <w:instrText xml:space="preserve">PAGE  </w:instrText>
    </w:r>
    <w:r w:rsidRPr="0009520E">
      <w:rPr>
        <w:rStyle w:val="PageNumber"/>
        <w:rFonts w:ascii="Verdana" w:hAnsi="Verdana"/>
      </w:rPr>
      <w:fldChar w:fldCharType="separate"/>
    </w:r>
    <w:r>
      <w:rPr>
        <w:rStyle w:val="PageNumber"/>
        <w:rFonts w:ascii="Verdana" w:hAnsi="Verdana"/>
        <w:noProof/>
      </w:rPr>
      <w:t>8</w:t>
    </w:r>
    <w:r w:rsidRPr="0009520E">
      <w:rPr>
        <w:rStyle w:val="PageNumber"/>
        <w:rFonts w:ascii="Verdana" w:hAnsi="Verdana"/>
      </w:rPr>
      <w:fldChar w:fldCharType="end"/>
    </w:r>
  </w:p>
  <w:p w14:paraId="44146AB8" w14:textId="77777777" w:rsidR="00305E43" w:rsidRDefault="00305E43">
    <w:pPr>
      <w:pStyle w:val="Footer"/>
    </w:pPr>
    <w:r>
      <w:rPr>
        <w:noProof/>
        <w:color w:val="00264A"/>
        <w:sz w:val="10"/>
        <w:lang w:val="fr-FR"/>
      </w:rPr>
      <mc:AlternateContent>
        <mc:Choice Requires="wps">
          <w:drawing>
            <wp:anchor distT="0" distB="0" distL="114300" distR="114300" simplePos="0" relativeHeight="251663360" behindDoc="0" locked="0" layoutInCell="1" allowOverlap="1" wp14:anchorId="1FD8EF01" wp14:editId="6055B66E">
              <wp:simplePos x="0" y="0"/>
              <wp:positionH relativeFrom="column">
                <wp:posOffset>-125095</wp:posOffset>
              </wp:positionH>
              <wp:positionV relativeFrom="page">
                <wp:posOffset>10253980</wp:posOffset>
              </wp:positionV>
              <wp:extent cx="2296800" cy="255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296800" cy="2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D2BC4CF" w14:textId="77777777" w:rsidR="00305E43" w:rsidRPr="00010417" w:rsidRDefault="00305E43" w:rsidP="00D244D0">
                          <w:pPr>
                            <w:rPr>
                              <w:szCs w:val="18"/>
                            </w:rPr>
                          </w:pPr>
                          <w:r>
                            <w:rPr>
                              <w:i/>
                              <w:sz w:val="16"/>
                              <w:szCs w:val="16"/>
                            </w:rPr>
                            <w:t xml:space="preserve">Press release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8EF01" id="_x0000_t202" coordsize="21600,21600" o:spt="202" path="m,l,21600r21600,l21600,xe">
              <v:stroke joinstyle="miter"/>
              <v:path gradientshapeok="t" o:connecttype="rect"/>
            </v:shapetype>
            <v:shape id="Text Box 3" o:spid="_x0000_s1026" type="#_x0000_t202" style="position:absolute;left:0;text-align:left;margin-left:-9.85pt;margin-top:807.4pt;width:180.8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QbqQIAAKM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" filled="f" stroked="f">
              <v:textbox>
                <w:txbxContent>
                  <w:p w14:paraId="1D2BC4CF" w14:textId="77777777" w:rsidR="00305E43" w:rsidRPr="00010417" w:rsidRDefault="00305E43" w:rsidP="00D244D0">
                    <w:pPr>
                      <w:rPr>
                        <w:szCs w:val="18"/>
                      </w:rPr>
                    </w:pPr>
                    <w:r>
                      <w:rPr>
                        <w:i/>
                        <w:sz w:val="16"/>
                        <w:szCs w:val="16"/>
                      </w:rPr>
                      <w:t xml:space="preserve">Press release </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72D8" w14:textId="5B5097A2" w:rsidR="00305E43" w:rsidRPr="0009520E" w:rsidRDefault="00305E43" w:rsidP="00D244D0">
    <w:pPr>
      <w:pStyle w:val="Footer"/>
      <w:framePr w:wrap="around" w:vAnchor="text" w:hAnchor="margin" w:xAlign="right" w:y="1" w:anchorLock="1"/>
      <w:rPr>
        <w:rStyle w:val="PageNumber"/>
        <w:rFonts w:ascii="Verdana" w:hAnsi="Verdana" w:cs="Arial"/>
        <w:sz w:val="14"/>
        <w:szCs w:val="16"/>
      </w:rPr>
    </w:pPr>
    <w:r w:rsidRPr="0009520E">
      <w:rPr>
        <w:rStyle w:val="PageNumber"/>
        <w:rFonts w:ascii="Verdana" w:hAnsi="Verdana"/>
      </w:rPr>
      <w:fldChar w:fldCharType="begin"/>
    </w:r>
    <w:r w:rsidRPr="0009520E">
      <w:rPr>
        <w:rStyle w:val="PageNumber"/>
        <w:rFonts w:ascii="Verdana" w:hAnsi="Verdana"/>
      </w:rPr>
      <w:instrText xml:space="preserve">PAGE  </w:instrText>
    </w:r>
    <w:r w:rsidRPr="0009520E">
      <w:rPr>
        <w:rStyle w:val="PageNumber"/>
        <w:rFonts w:ascii="Verdana" w:hAnsi="Verdana"/>
      </w:rPr>
      <w:fldChar w:fldCharType="separate"/>
    </w:r>
    <w:r>
      <w:rPr>
        <w:rStyle w:val="PageNumber"/>
        <w:rFonts w:ascii="Verdana" w:hAnsi="Verdana"/>
        <w:noProof/>
      </w:rPr>
      <w:t>1</w:t>
    </w:r>
    <w:r w:rsidRPr="0009520E">
      <w:rPr>
        <w:rStyle w:val="PageNumber"/>
        <w:rFonts w:ascii="Verdana" w:hAnsi="Verdana"/>
      </w:rPr>
      <w:fldChar w:fldCharType="end"/>
    </w:r>
  </w:p>
  <w:p w14:paraId="137E97D2" w14:textId="77777777" w:rsidR="00305E43" w:rsidRDefault="00305E43">
    <w:pPr>
      <w:pStyle w:val="Footer"/>
    </w:pPr>
    <w:r>
      <w:rPr>
        <w:noProof/>
        <w:color w:val="00264A"/>
        <w:sz w:val="10"/>
        <w:lang w:val="fr-FR"/>
      </w:rPr>
      <mc:AlternateContent>
        <mc:Choice Requires="wps">
          <w:drawing>
            <wp:anchor distT="0" distB="0" distL="114300" distR="114300" simplePos="0" relativeHeight="251661312" behindDoc="0" locked="0" layoutInCell="1" allowOverlap="1" wp14:anchorId="563EADC1" wp14:editId="3D9C9A75">
              <wp:simplePos x="0" y="0"/>
              <wp:positionH relativeFrom="column">
                <wp:posOffset>-125095</wp:posOffset>
              </wp:positionH>
              <wp:positionV relativeFrom="page">
                <wp:posOffset>10253980</wp:posOffset>
              </wp:positionV>
              <wp:extent cx="2296800" cy="255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296800" cy="2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CB99FE0" w14:textId="77777777" w:rsidR="00305E43" w:rsidRPr="00010417" w:rsidRDefault="00305E43" w:rsidP="00D244D0">
                          <w:pPr>
                            <w:rPr>
                              <w:szCs w:val="18"/>
                            </w:rPr>
                          </w:pPr>
                          <w:r>
                            <w:rPr>
                              <w:i/>
                              <w:sz w:val="16"/>
                              <w:szCs w:val="16"/>
                            </w:rPr>
                            <w:t xml:space="preserve">Press release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EADC1" id="_x0000_t202" coordsize="21600,21600" o:spt="202" path="m,l,21600r21600,l21600,xe">
              <v:stroke joinstyle="miter"/>
              <v:path gradientshapeok="t" o:connecttype="rect"/>
            </v:shapetype>
            <v:shape id="Text Box 18" o:spid="_x0000_s1027" type="#_x0000_t202" style="position:absolute;left:0;text-align:left;margin-left:-9.85pt;margin-top:807.4pt;width:180.8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" filled="f" stroked="f">
              <v:textbox>
                <w:txbxContent>
                  <w:p w14:paraId="6CB99FE0" w14:textId="77777777" w:rsidR="00305E43" w:rsidRPr="00010417" w:rsidRDefault="00305E43" w:rsidP="00D244D0">
                    <w:pPr>
                      <w:rPr>
                        <w:szCs w:val="18"/>
                      </w:rPr>
                    </w:pPr>
                    <w:r>
                      <w:rPr>
                        <w:i/>
                        <w:sz w:val="16"/>
                        <w:szCs w:val="16"/>
                      </w:rPr>
                      <w:t xml:space="preserve">Press release </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8F732" w14:textId="77777777" w:rsidR="00063D78" w:rsidRDefault="00063D78" w:rsidP="002B7B57">
      <w:pPr>
        <w:widowControl w:val="0"/>
      </w:pPr>
      <w:r>
        <w:separator/>
      </w:r>
    </w:p>
  </w:footnote>
  <w:footnote w:type="continuationSeparator" w:id="0">
    <w:p w14:paraId="2E3AD5EE" w14:textId="77777777" w:rsidR="00063D78" w:rsidRDefault="00063D78">
      <w:r>
        <w:continuationSeparator/>
      </w:r>
    </w:p>
    <w:p w14:paraId="222DE899" w14:textId="77777777" w:rsidR="00063D78" w:rsidRDefault="00063D78"/>
    <w:p w14:paraId="564106F4" w14:textId="77777777" w:rsidR="00063D78" w:rsidRDefault="00063D78" w:rsidP="00C91770"/>
  </w:footnote>
  <w:footnote w:type="continuationNotice" w:id="1">
    <w:p w14:paraId="07CBA708" w14:textId="77777777" w:rsidR="00063D78" w:rsidRDefault="00063D78"/>
    <w:p w14:paraId="2AD381CC" w14:textId="77777777" w:rsidR="00063D78" w:rsidRDefault="00063D78"/>
    <w:p w14:paraId="0F27492D" w14:textId="77777777" w:rsidR="00063D78" w:rsidRDefault="00063D78" w:rsidP="00C91770"/>
  </w:footnote>
  <w:footnote w:id="2">
    <w:p w14:paraId="3BDE5013" w14:textId="77777777" w:rsidR="00305E43" w:rsidRDefault="00305E43">
      <w:pPr>
        <w:pStyle w:val="FootnoteText"/>
      </w:pPr>
      <w:r>
        <w:rPr>
          <w:rStyle w:val="FootnoteReference"/>
        </w:rPr>
        <w:t>*</w:t>
      </w:r>
      <w:r>
        <w:t xml:space="preserve"> The terms and Alternative Performance Measures marked with an (*) are defined and/or reconciled in the appendix to this press release.</w:t>
      </w:r>
    </w:p>
  </w:footnote>
  <w:footnote w:id="3">
    <w:p w14:paraId="5AB2AD03" w14:textId="77777777" w:rsidR="00305E43" w:rsidRPr="00076691" w:rsidRDefault="00305E43" w:rsidP="00B00202">
      <w:pPr>
        <w:pStyle w:val="FootnoteText"/>
        <w:rPr>
          <w:rFonts w:ascii="Verdana" w:hAnsi="Verdana" w:cs="Arial"/>
          <w:sz w:val="12"/>
        </w:rPr>
      </w:pPr>
      <w:r>
        <w:rPr>
          <w:rStyle w:val="FootnoteReference"/>
          <w:rFonts w:ascii="Verdana" w:hAnsi="Verdana" w:cs="Arial"/>
          <w:sz w:val="12"/>
        </w:rPr>
        <w:footnoteRef/>
      </w:r>
      <w:r>
        <w:rPr>
          <w:rFonts w:ascii="Verdana" w:hAnsi="Verdana"/>
          <w:sz w:val="12"/>
        </w:rPr>
        <w:t xml:space="preserve"> </w:t>
      </w:r>
      <w:r>
        <w:rPr>
          <w:rFonts w:ascii="Verdana" w:hAnsi="Verdana"/>
        </w:rPr>
        <w:t>Limited review procedures on the interim consolidated financial statements have been completed. The auditors are in the process of issuing their report.</w:t>
      </w:r>
    </w:p>
  </w:footnote>
  <w:footnote w:id="4">
    <w:p w14:paraId="13A42A34" w14:textId="77777777" w:rsidR="00305E43" w:rsidRDefault="00305E43">
      <w:pPr>
        <w:pStyle w:val="FootnoteText"/>
      </w:pPr>
      <w:r>
        <w:rPr>
          <w:rStyle w:val="FootnoteReference"/>
        </w:rPr>
        <w:footnoteRef/>
      </w:r>
      <w:r>
        <w:t xml:space="preserve"> The impacts of the application of IFRS 16 at January 1, 2019 and the resulting change in the organic free cash flow and net debt definitions are presented in the appendix to this press release.</w:t>
      </w:r>
    </w:p>
  </w:footnote>
  <w:footnote w:id="5">
    <w:p w14:paraId="724F489E" w14:textId="56EA49E0" w:rsidR="00305E43" w:rsidRPr="008F1DAC" w:rsidRDefault="00305E43">
      <w:pPr>
        <w:pStyle w:val="FootnoteText"/>
      </w:pPr>
      <w:r>
        <w:rPr>
          <w:rStyle w:val="FootnoteReference"/>
        </w:rPr>
        <w:footnoteRef/>
      </w:r>
      <w:r w:rsidRPr="008F1DAC">
        <w:t xml:space="preserve"> </w:t>
      </w:r>
      <w:proofErr w:type="spellStart"/>
      <w:r w:rsidRPr="008F1DAC">
        <w:t>Altrafin</w:t>
      </w:r>
      <w:proofErr w:type="spellEnd"/>
      <w:r w:rsidRPr="008F1DAC">
        <w:t xml:space="preserve"> Participations, </w:t>
      </w:r>
      <w:proofErr w:type="spellStart"/>
      <w:r w:rsidRPr="008F1DAC">
        <w:t>Mr</w:t>
      </w:r>
      <w:proofErr w:type="spellEnd"/>
      <w:r w:rsidRPr="008F1DAC">
        <w:t xml:space="preserve"> Alexis </w:t>
      </w:r>
      <w:proofErr w:type="spellStart"/>
      <w:r w:rsidRPr="008F1DAC">
        <w:t>Kniazeff</w:t>
      </w:r>
      <w:proofErr w:type="spellEnd"/>
      <w:r w:rsidRPr="008F1DAC">
        <w:t xml:space="preserve"> and </w:t>
      </w:r>
      <w:proofErr w:type="spellStart"/>
      <w:r w:rsidRPr="008F1DAC">
        <w:t>Mr</w:t>
      </w:r>
      <w:proofErr w:type="spellEnd"/>
      <w:r w:rsidRPr="008F1DAC">
        <w:t xml:space="preserve"> Hubert </w:t>
      </w:r>
      <w:proofErr w:type="spellStart"/>
      <w:r w:rsidRPr="008F1DAC">
        <w:t>Martigny</w:t>
      </w:r>
      <w:proofErr w:type="spellEnd"/>
      <w:r>
        <w:t>.</w:t>
      </w:r>
    </w:p>
  </w:footnote>
  <w:footnote w:id="6">
    <w:p w14:paraId="1BF3C5C4" w14:textId="77777777" w:rsidR="00305E43" w:rsidRDefault="00305E43">
      <w:pPr>
        <w:pStyle w:val="FootnoteText"/>
      </w:pPr>
      <w:r>
        <w:rPr>
          <w:rStyle w:val="FootnoteReference"/>
        </w:rPr>
        <w:footnoteRef/>
      </w:r>
      <w:r>
        <w:t xml:space="preserve"> Note that in the appendix, certain totals may not equal the sum of amounts due to rounding adjustments.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2155" w14:textId="77777777" w:rsidR="00305E43" w:rsidRDefault="00305E43">
    <w:pPr>
      <w:pStyle w:val="Header"/>
    </w:pPr>
    <w:r>
      <w:rPr>
        <w:noProof/>
        <w:lang w:val="fr-FR"/>
      </w:rPr>
      <w:drawing>
        <wp:anchor distT="0" distB="0" distL="114300" distR="114300" simplePos="0" relativeHeight="251659264" behindDoc="0" locked="0" layoutInCell="1" allowOverlap="1" wp14:anchorId="53D542D4" wp14:editId="3771B27B">
          <wp:simplePos x="0" y="0"/>
          <wp:positionH relativeFrom="margin">
            <wp:posOffset>6118225</wp:posOffset>
          </wp:positionH>
          <wp:positionV relativeFrom="paragraph">
            <wp:posOffset>-191135</wp:posOffset>
          </wp:positionV>
          <wp:extent cx="347345" cy="32321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19C26" w14:textId="77777777" w:rsidR="00305E43" w:rsidRDefault="00305E43">
    <w:pPr>
      <w:pStyle w:val="Header"/>
    </w:pPr>
    <w:r>
      <w:rPr>
        <w:noProof/>
        <w:lang w:val="fr-FR"/>
      </w:rPr>
      <w:drawing>
        <wp:inline distT="0" distB="0" distL="0" distR="0" wp14:anchorId="53447539" wp14:editId="0451EEB1">
          <wp:extent cx="1792605" cy="433070"/>
          <wp:effectExtent l="0" t="0" r="0" b="508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3D54"/>
    <w:multiLevelType w:val="hybridMultilevel"/>
    <w:tmpl w:val="176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1759A"/>
    <w:multiLevelType w:val="hybridMultilevel"/>
    <w:tmpl w:val="A968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C15EB"/>
    <w:multiLevelType w:val="hybridMultilevel"/>
    <w:tmpl w:val="24CC07D0"/>
    <w:lvl w:ilvl="0" w:tplc="2096A200">
      <w:start w:val="1"/>
      <w:numFmt w:val="bullet"/>
      <w:lvlText w:val="●"/>
      <w:lvlJc w:val="left"/>
      <w:pPr>
        <w:ind w:left="284" w:hanging="284"/>
      </w:pPr>
      <w:rPr>
        <w:rFonts w:ascii="Verdana" w:hAnsi="Verdana" w:hint="default"/>
        <w:sz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2427B6C"/>
    <w:multiLevelType w:val="hybridMultilevel"/>
    <w:tmpl w:val="6D7CA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CD0532"/>
    <w:multiLevelType w:val="hybridMultilevel"/>
    <w:tmpl w:val="FB44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F7A26"/>
    <w:multiLevelType w:val="hybridMultilevel"/>
    <w:tmpl w:val="8AD2FB9E"/>
    <w:lvl w:ilvl="0" w:tplc="2096A200">
      <w:start w:val="1"/>
      <w:numFmt w:val="bullet"/>
      <w:lvlText w:val="●"/>
      <w:lvlJc w:val="left"/>
      <w:pPr>
        <w:ind w:left="284" w:hanging="284"/>
      </w:pPr>
      <w:rPr>
        <w:rFonts w:ascii="Verdana" w:hAnsi="Verdan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2C"/>
    <w:rsid w:val="000008CF"/>
    <w:rsid w:val="000013E5"/>
    <w:rsid w:val="00002160"/>
    <w:rsid w:val="00002F48"/>
    <w:rsid w:val="000054E5"/>
    <w:rsid w:val="00005657"/>
    <w:rsid w:val="00005700"/>
    <w:rsid w:val="00005FBE"/>
    <w:rsid w:val="0000600D"/>
    <w:rsid w:val="0000605F"/>
    <w:rsid w:val="00006A5D"/>
    <w:rsid w:val="00007043"/>
    <w:rsid w:val="00007A97"/>
    <w:rsid w:val="00007F1E"/>
    <w:rsid w:val="00010369"/>
    <w:rsid w:val="00010417"/>
    <w:rsid w:val="000110AA"/>
    <w:rsid w:val="0001284F"/>
    <w:rsid w:val="000129A6"/>
    <w:rsid w:val="00012A4D"/>
    <w:rsid w:val="0001310F"/>
    <w:rsid w:val="0001349B"/>
    <w:rsid w:val="0001448D"/>
    <w:rsid w:val="0001572C"/>
    <w:rsid w:val="000163CF"/>
    <w:rsid w:val="00020BDC"/>
    <w:rsid w:val="00021680"/>
    <w:rsid w:val="000216F1"/>
    <w:rsid w:val="00022189"/>
    <w:rsid w:val="00022570"/>
    <w:rsid w:val="00023280"/>
    <w:rsid w:val="0002359E"/>
    <w:rsid w:val="0002371B"/>
    <w:rsid w:val="00024606"/>
    <w:rsid w:val="000246CC"/>
    <w:rsid w:val="000249D9"/>
    <w:rsid w:val="000266E7"/>
    <w:rsid w:val="00026A88"/>
    <w:rsid w:val="00026F09"/>
    <w:rsid w:val="00027A8B"/>
    <w:rsid w:val="00030A83"/>
    <w:rsid w:val="00031101"/>
    <w:rsid w:val="00032406"/>
    <w:rsid w:val="00034904"/>
    <w:rsid w:val="000349A4"/>
    <w:rsid w:val="0003557E"/>
    <w:rsid w:val="0003575D"/>
    <w:rsid w:val="00035A19"/>
    <w:rsid w:val="00037D16"/>
    <w:rsid w:val="00037F18"/>
    <w:rsid w:val="000401AA"/>
    <w:rsid w:val="00040D16"/>
    <w:rsid w:val="00040E37"/>
    <w:rsid w:val="0004139E"/>
    <w:rsid w:val="00041C5B"/>
    <w:rsid w:val="00043B67"/>
    <w:rsid w:val="00044068"/>
    <w:rsid w:val="00044977"/>
    <w:rsid w:val="00044A28"/>
    <w:rsid w:val="00044F9A"/>
    <w:rsid w:val="00046F8A"/>
    <w:rsid w:val="00047157"/>
    <w:rsid w:val="00047659"/>
    <w:rsid w:val="00047F9D"/>
    <w:rsid w:val="00051169"/>
    <w:rsid w:val="000515D9"/>
    <w:rsid w:val="00052163"/>
    <w:rsid w:val="0005278D"/>
    <w:rsid w:val="000539A9"/>
    <w:rsid w:val="00054144"/>
    <w:rsid w:val="000552F0"/>
    <w:rsid w:val="000555A2"/>
    <w:rsid w:val="00055634"/>
    <w:rsid w:val="00055C0B"/>
    <w:rsid w:val="00056330"/>
    <w:rsid w:val="00056B21"/>
    <w:rsid w:val="00057FFD"/>
    <w:rsid w:val="00060705"/>
    <w:rsid w:val="00060B70"/>
    <w:rsid w:val="000612F0"/>
    <w:rsid w:val="000622BE"/>
    <w:rsid w:val="000623BA"/>
    <w:rsid w:val="00062BCE"/>
    <w:rsid w:val="00063171"/>
    <w:rsid w:val="0006362E"/>
    <w:rsid w:val="00063CF0"/>
    <w:rsid w:val="00063D78"/>
    <w:rsid w:val="00063EB4"/>
    <w:rsid w:val="00065E6B"/>
    <w:rsid w:val="0006744C"/>
    <w:rsid w:val="00067848"/>
    <w:rsid w:val="00067DF6"/>
    <w:rsid w:val="00070BDD"/>
    <w:rsid w:val="00070CA5"/>
    <w:rsid w:val="00071971"/>
    <w:rsid w:val="000720E0"/>
    <w:rsid w:val="000720EA"/>
    <w:rsid w:val="00074612"/>
    <w:rsid w:val="000747EB"/>
    <w:rsid w:val="000762F7"/>
    <w:rsid w:val="00076691"/>
    <w:rsid w:val="000767E5"/>
    <w:rsid w:val="00076B47"/>
    <w:rsid w:val="00076B5A"/>
    <w:rsid w:val="00077811"/>
    <w:rsid w:val="00077C15"/>
    <w:rsid w:val="00077D0A"/>
    <w:rsid w:val="00077F24"/>
    <w:rsid w:val="00080643"/>
    <w:rsid w:val="00080C64"/>
    <w:rsid w:val="000816DB"/>
    <w:rsid w:val="000820F8"/>
    <w:rsid w:val="00084FC2"/>
    <w:rsid w:val="0008520D"/>
    <w:rsid w:val="00086C01"/>
    <w:rsid w:val="00090773"/>
    <w:rsid w:val="0009087E"/>
    <w:rsid w:val="00091EB1"/>
    <w:rsid w:val="00091F48"/>
    <w:rsid w:val="00094BD0"/>
    <w:rsid w:val="0009520E"/>
    <w:rsid w:val="0009536B"/>
    <w:rsid w:val="000957AF"/>
    <w:rsid w:val="0009608C"/>
    <w:rsid w:val="00097203"/>
    <w:rsid w:val="00097632"/>
    <w:rsid w:val="00097D52"/>
    <w:rsid w:val="00097F1E"/>
    <w:rsid w:val="000A05E9"/>
    <w:rsid w:val="000A132F"/>
    <w:rsid w:val="000A1C13"/>
    <w:rsid w:val="000A31FA"/>
    <w:rsid w:val="000A3815"/>
    <w:rsid w:val="000A3DED"/>
    <w:rsid w:val="000A4542"/>
    <w:rsid w:val="000A4826"/>
    <w:rsid w:val="000A4F0D"/>
    <w:rsid w:val="000A6593"/>
    <w:rsid w:val="000A6C40"/>
    <w:rsid w:val="000A70F7"/>
    <w:rsid w:val="000A71B7"/>
    <w:rsid w:val="000B0637"/>
    <w:rsid w:val="000B143F"/>
    <w:rsid w:val="000B17B2"/>
    <w:rsid w:val="000B291B"/>
    <w:rsid w:val="000B2BAC"/>
    <w:rsid w:val="000B2D1D"/>
    <w:rsid w:val="000B33EF"/>
    <w:rsid w:val="000B33F8"/>
    <w:rsid w:val="000B36EA"/>
    <w:rsid w:val="000B5321"/>
    <w:rsid w:val="000B5D02"/>
    <w:rsid w:val="000B5F23"/>
    <w:rsid w:val="000B67AC"/>
    <w:rsid w:val="000C0B96"/>
    <w:rsid w:val="000C157F"/>
    <w:rsid w:val="000C1E63"/>
    <w:rsid w:val="000C3A40"/>
    <w:rsid w:val="000C3D4E"/>
    <w:rsid w:val="000C3E69"/>
    <w:rsid w:val="000C460D"/>
    <w:rsid w:val="000C61DC"/>
    <w:rsid w:val="000C64A4"/>
    <w:rsid w:val="000C65DC"/>
    <w:rsid w:val="000C68F8"/>
    <w:rsid w:val="000C6EE7"/>
    <w:rsid w:val="000C7100"/>
    <w:rsid w:val="000C7E46"/>
    <w:rsid w:val="000D24BB"/>
    <w:rsid w:val="000D453D"/>
    <w:rsid w:val="000D4B99"/>
    <w:rsid w:val="000D5A2B"/>
    <w:rsid w:val="000D66DD"/>
    <w:rsid w:val="000D6A1C"/>
    <w:rsid w:val="000D7569"/>
    <w:rsid w:val="000E045C"/>
    <w:rsid w:val="000E1094"/>
    <w:rsid w:val="000E164E"/>
    <w:rsid w:val="000E17E4"/>
    <w:rsid w:val="000E1C32"/>
    <w:rsid w:val="000E1CD1"/>
    <w:rsid w:val="000E1EA1"/>
    <w:rsid w:val="000E2C0C"/>
    <w:rsid w:val="000E2DC4"/>
    <w:rsid w:val="000E364A"/>
    <w:rsid w:val="000E492B"/>
    <w:rsid w:val="000E5DC6"/>
    <w:rsid w:val="000E5E76"/>
    <w:rsid w:val="000E6BB7"/>
    <w:rsid w:val="000E732E"/>
    <w:rsid w:val="000E7747"/>
    <w:rsid w:val="000F077C"/>
    <w:rsid w:val="000F0839"/>
    <w:rsid w:val="000F0EE5"/>
    <w:rsid w:val="000F1277"/>
    <w:rsid w:val="000F1A0A"/>
    <w:rsid w:val="000F1ADB"/>
    <w:rsid w:val="000F295C"/>
    <w:rsid w:val="000F2FA7"/>
    <w:rsid w:val="000F3318"/>
    <w:rsid w:val="000F4210"/>
    <w:rsid w:val="000F4873"/>
    <w:rsid w:val="000F5ACD"/>
    <w:rsid w:val="000F5B10"/>
    <w:rsid w:val="000F610E"/>
    <w:rsid w:val="000F6978"/>
    <w:rsid w:val="000F6D80"/>
    <w:rsid w:val="000F6DF2"/>
    <w:rsid w:val="000F73C6"/>
    <w:rsid w:val="001003B0"/>
    <w:rsid w:val="001019B3"/>
    <w:rsid w:val="00101A5B"/>
    <w:rsid w:val="00102458"/>
    <w:rsid w:val="001025BF"/>
    <w:rsid w:val="00102E67"/>
    <w:rsid w:val="00103BA5"/>
    <w:rsid w:val="0010549E"/>
    <w:rsid w:val="00105899"/>
    <w:rsid w:val="001058B4"/>
    <w:rsid w:val="00105CB1"/>
    <w:rsid w:val="00106439"/>
    <w:rsid w:val="00106AD3"/>
    <w:rsid w:val="00110225"/>
    <w:rsid w:val="001105F8"/>
    <w:rsid w:val="00110A6A"/>
    <w:rsid w:val="00112895"/>
    <w:rsid w:val="0011458B"/>
    <w:rsid w:val="00114A1C"/>
    <w:rsid w:val="00116355"/>
    <w:rsid w:val="00116C25"/>
    <w:rsid w:val="00117151"/>
    <w:rsid w:val="00120AD1"/>
    <w:rsid w:val="00120AFE"/>
    <w:rsid w:val="0012136A"/>
    <w:rsid w:val="001215C6"/>
    <w:rsid w:val="00121624"/>
    <w:rsid w:val="00121C6B"/>
    <w:rsid w:val="00122DEF"/>
    <w:rsid w:val="0012345A"/>
    <w:rsid w:val="00124F89"/>
    <w:rsid w:val="001252BC"/>
    <w:rsid w:val="0012537B"/>
    <w:rsid w:val="00125D17"/>
    <w:rsid w:val="00126139"/>
    <w:rsid w:val="001261F5"/>
    <w:rsid w:val="00127796"/>
    <w:rsid w:val="0012784D"/>
    <w:rsid w:val="001300B4"/>
    <w:rsid w:val="001302F2"/>
    <w:rsid w:val="0013034E"/>
    <w:rsid w:val="00130CF2"/>
    <w:rsid w:val="0013111B"/>
    <w:rsid w:val="00131393"/>
    <w:rsid w:val="001332C6"/>
    <w:rsid w:val="00133306"/>
    <w:rsid w:val="00133DF4"/>
    <w:rsid w:val="0013536D"/>
    <w:rsid w:val="00135451"/>
    <w:rsid w:val="0013565E"/>
    <w:rsid w:val="001361A5"/>
    <w:rsid w:val="0013660A"/>
    <w:rsid w:val="00141144"/>
    <w:rsid w:val="00142F9A"/>
    <w:rsid w:val="00143F74"/>
    <w:rsid w:val="00144C00"/>
    <w:rsid w:val="00144DED"/>
    <w:rsid w:val="001457D8"/>
    <w:rsid w:val="00146611"/>
    <w:rsid w:val="00146D64"/>
    <w:rsid w:val="00146E7D"/>
    <w:rsid w:val="001504AC"/>
    <w:rsid w:val="001504C3"/>
    <w:rsid w:val="001513FC"/>
    <w:rsid w:val="001516B4"/>
    <w:rsid w:val="001517D4"/>
    <w:rsid w:val="00153180"/>
    <w:rsid w:val="00155449"/>
    <w:rsid w:val="00156001"/>
    <w:rsid w:val="00156340"/>
    <w:rsid w:val="0015664F"/>
    <w:rsid w:val="00157CB9"/>
    <w:rsid w:val="001603AC"/>
    <w:rsid w:val="00161101"/>
    <w:rsid w:val="00162969"/>
    <w:rsid w:val="001634D3"/>
    <w:rsid w:val="001636F2"/>
    <w:rsid w:val="00163DB0"/>
    <w:rsid w:val="00163E51"/>
    <w:rsid w:val="00164101"/>
    <w:rsid w:val="00164238"/>
    <w:rsid w:val="00164A65"/>
    <w:rsid w:val="00165989"/>
    <w:rsid w:val="00165BCC"/>
    <w:rsid w:val="001661CD"/>
    <w:rsid w:val="001662C1"/>
    <w:rsid w:val="00166E77"/>
    <w:rsid w:val="00170B33"/>
    <w:rsid w:val="00171ACD"/>
    <w:rsid w:val="001736E9"/>
    <w:rsid w:val="00173F5C"/>
    <w:rsid w:val="00174CB7"/>
    <w:rsid w:val="00175771"/>
    <w:rsid w:val="00175E22"/>
    <w:rsid w:val="00176EFC"/>
    <w:rsid w:val="00181325"/>
    <w:rsid w:val="0018221E"/>
    <w:rsid w:val="0018297D"/>
    <w:rsid w:val="00182B20"/>
    <w:rsid w:val="00182E68"/>
    <w:rsid w:val="0018376C"/>
    <w:rsid w:val="001855B4"/>
    <w:rsid w:val="001875E7"/>
    <w:rsid w:val="00187A39"/>
    <w:rsid w:val="001911BA"/>
    <w:rsid w:val="00191ADB"/>
    <w:rsid w:val="0019286A"/>
    <w:rsid w:val="00193D32"/>
    <w:rsid w:val="00193E0E"/>
    <w:rsid w:val="0019475C"/>
    <w:rsid w:val="00195115"/>
    <w:rsid w:val="00197509"/>
    <w:rsid w:val="00197866"/>
    <w:rsid w:val="001979BC"/>
    <w:rsid w:val="001A078A"/>
    <w:rsid w:val="001A21B7"/>
    <w:rsid w:val="001A27A0"/>
    <w:rsid w:val="001A29E6"/>
    <w:rsid w:val="001A3130"/>
    <w:rsid w:val="001A3630"/>
    <w:rsid w:val="001A39E3"/>
    <w:rsid w:val="001A48E3"/>
    <w:rsid w:val="001A4C11"/>
    <w:rsid w:val="001A5397"/>
    <w:rsid w:val="001A5586"/>
    <w:rsid w:val="001A5CF5"/>
    <w:rsid w:val="001A614E"/>
    <w:rsid w:val="001A6902"/>
    <w:rsid w:val="001A73D6"/>
    <w:rsid w:val="001B0022"/>
    <w:rsid w:val="001B0177"/>
    <w:rsid w:val="001B065A"/>
    <w:rsid w:val="001B081E"/>
    <w:rsid w:val="001B0DDD"/>
    <w:rsid w:val="001B1046"/>
    <w:rsid w:val="001B1063"/>
    <w:rsid w:val="001B12F2"/>
    <w:rsid w:val="001B1B98"/>
    <w:rsid w:val="001B1FFD"/>
    <w:rsid w:val="001B2659"/>
    <w:rsid w:val="001B2666"/>
    <w:rsid w:val="001B27F5"/>
    <w:rsid w:val="001B33CC"/>
    <w:rsid w:val="001B3D40"/>
    <w:rsid w:val="001B4A02"/>
    <w:rsid w:val="001B6CD8"/>
    <w:rsid w:val="001B755B"/>
    <w:rsid w:val="001B7EB3"/>
    <w:rsid w:val="001C06F7"/>
    <w:rsid w:val="001C0C87"/>
    <w:rsid w:val="001C3388"/>
    <w:rsid w:val="001C4A3D"/>
    <w:rsid w:val="001C68B7"/>
    <w:rsid w:val="001C6D57"/>
    <w:rsid w:val="001C7A2B"/>
    <w:rsid w:val="001D04A0"/>
    <w:rsid w:val="001D05A1"/>
    <w:rsid w:val="001D06AB"/>
    <w:rsid w:val="001D1188"/>
    <w:rsid w:val="001D121E"/>
    <w:rsid w:val="001D20F1"/>
    <w:rsid w:val="001D2405"/>
    <w:rsid w:val="001D3486"/>
    <w:rsid w:val="001D44C6"/>
    <w:rsid w:val="001D5252"/>
    <w:rsid w:val="001D664C"/>
    <w:rsid w:val="001D7AB6"/>
    <w:rsid w:val="001D7E54"/>
    <w:rsid w:val="001D7FC9"/>
    <w:rsid w:val="001E1EF5"/>
    <w:rsid w:val="001E28BF"/>
    <w:rsid w:val="001E2A8E"/>
    <w:rsid w:val="001E423E"/>
    <w:rsid w:val="001E4640"/>
    <w:rsid w:val="001E5177"/>
    <w:rsid w:val="001E6002"/>
    <w:rsid w:val="001E66AC"/>
    <w:rsid w:val="001F0484"/>
    <w:rsid w:val="001F0811"/>
    <w:rsid w:val="001F09C9"/>
    <w:rsid w:val="001F105E"/>
    <w:rsid w:val="001F1E51"/>
    <w:rsid w:val="001F24C1"/>
    <w:rsid w:val="001F2CC2"/>
    <w:rsid w:val="001F3145"/>
    <w:rsid w:val="001F35CD"/>
    <w:rsid w:val="001F44DD"/>
    <w:rsid w:val="001F4627"/>
    <w:rsid w:val="001F53EB"/>
    <w:rsid w:val="001F561E"/>
    <w:rsid w:val="001F59BF"/>
    <w:rsid w:val="001F6018"/>
    <w:rsid w:val="001F607C"/>
    <w:rsid w:val="001F767C"/>
    <w:rsid w:val="0020042C"/>
    <w:rsid w:val="00202803"/>
    <w:rsid w:val="002048AB"/>
    <w:rsid w:val="00204F8B"/>
    <w:rsid w:val="0020589E"/>
    <w:rsid w:val="002058DB"/>
    <w:rsid w:val="00205FA8"/>
    <w:rsid w:val="002065AE"/>
    <w:rsid w:val="00206DB0"/>
    <w:rsid w:val="00207020"/>
    <w:rsid w:val="002076DB"/>
    <w:rsid w:val="00212285"/>
    <w:rsid w:val="002129DC"/>
    <w:rsid w:val="00212B9A"/>
    <w:rsid w:val="00213794"/>
    <w:rsid w:val="00214956"/>
    <w:rsid w:val="0021508F"/>
    <w:rsid w:val="002150CE"/>
    <w:rsid w:val="00216752"/>
    <w:rsid w:val="002175E1"/>
    <w:rsid w:val="00217DB6"/>
    <w:rsid w:val="00220830"/>
    <w:rsid w:val="00220ACA"/>
    <w:rsid w:val="00222FD7"/>
    <w:rsid w:val="00225ACF"/>
    <w:rsid w:val="002261E1"/>
    <w:rsid w:val="00226EFB"/>
    <w:rsid w:val="00230101"/>
    <w:rsid w:val="00230C70"/>
    <w:rsid w:val="00231488"/>
    <w:rsid w:val="0023179A"/>
    <w:rsid w:val="00233CE5"/>
    <w:rsid w:val="00234019"/>
    <w:rsid w:val="0023417D"/>
    <w:rsid w:val="0023438D"/>
    <w:rsid w:val="002354DD"/>
    <w:rsid w:val="00235541"/>
    <w:rsid w:val="00235764"/>
    <w:rsid w:val="00235FC1"/>
    <w:rsid w:val="002360BD"/>
    <w:rsid w:val="00237992"/>
    <w:rsid w:val="00237B91"/>
    <w:rsid w:val="00237C92"/>
    <w:rsid w:val="0024070E"/>
    <w:rsid w:val="00240E9E"/>
    <w:rsid w:val="00241D33"/>
    <w:rsid w:val="00242092"/>
    <w:rsid w:val="0024424D"/>
    <w:rsid w:val="00244920"/>
    <w:rsid w:val="00244D89"/>
    <w:rsid w:val="002454A6"/>
    <w:rsid w:val="00245BF7"/>
    <w:rsid w:val="00246C4C"/>
    <w:rsid w:val="00247A26"/>
    <w:rsid w:val="00251C4B"/>
    <w:rsid w:val="002531D8"/>
    <w:rsid w:val="002533FD"/>
    <w:rsid w:val="002546A7"/>
    <w:rsid w:val="002550C8"/>
    <w:rsid w:val="00255998"/>
    <w:rsid w:val="00255DEF"/>
    <w:rsid w:val="002571DD"/>
    <w:rsid w:val="00257426"/>
    <w:rsid w:val="00257487"/>
    <w:rsid w:val="002579F2"/>
    <w:rsid w:val="00257D54"/>
    <w:rsid w:val="00260E02"/>
    <w:rsid w:val="00261624"/>
    <w:rsid w:val="0026296C"/>
    <w:rsid w:val="00262DFF"/>
    <w:rsid w:val="002634B1"/>
    <w:rsid w:val="00263DF7"/>
    <w:rsid w:val="00264F0A"/>
    <w:rsid w:val="002661A2"/>
    <w:rsid w:val="0026647B"/>
    <w:rsid w:val="00266DB1"/>
    <w:rsid w:val="002700AA"/>
    <w:rsid w:val="00271231"/>
    <w:rsid w:val="0027146C"/>
    <w:rsid w:val="002715DC"/>
    <w:rsid w:val="00273D8A"/>
    <w:rsid w:val="00273DB6"/>
    <w:rsid w:val="00274227"/>
    <w:rsid w:val="00274585"/>
    <w:rsid w:val="00274786"/>
    <w:rsid w:val="00274BF1"/>
    <w:rsid w:val="00275F20"/>
    <w:rsid w:val="00276C77"/>
    <w:rsid w:val="00277C1B"/>
    <w:rsid w:val="00280C85"/>
    <w:rsid w:val="0028192D"/>
    <w:rsid w:val="00281A8F"/>
    <w:rsid w:val="00283B71"/>
    <w:rsid w:val="00285511"/>
    <w:rsid w:val="002855A8"/>
    <w:rsid w:val="0028593C"/>
    <w:rsid w:val="002868D8"/>
    <w:rsid w:val="0029094C"/>
    <w:rsid w:val="00290CCA"/>
    <w:rsid w:val="002927A1"/>
    <w:rsid w:val="00292957"/>
    <w:rsid w:val="00292A2B"/>
    <w:rsid w:val="00293B90"/>
    <w:rsid w:val="00293FEC"/>
    <w:rsid w:val="00294C36"/>
    <w:rsid w:val="002954E4"/>
    <w:rsid w:val="002971FA"/>
    <w:rsid w:val="00297D30"/>
    <w:rsid w:val="002A06A4"/>
    <w:rsid w:val="002A0877"/>
    <w:rsid w:val="002A1E73"/>
    <w:rsid w:val="002A1F41"/>
    <w:rsid w:val="002A1FB1"/>
    <w:rsid w:val="002A22A4"/>
    <w:rsid w:val="002A2B60"/>
    <w:rsid w:val="002A3021"/>
    <w:rsid w:val="002A3354"/>
    <w:rsid w:val="002A3A81"/>
    <w:rsid w:val="002A3D09"/>
    <w:rsid w:val="002A4774"/>
    <w:rsid w:val="002A4E66"/>
    <w:rsid w:val="002A525C"/>
    <w:rsid w:val="002A5977"/>
    <w:rsid w:val="002A60FC"/>
    <w:rsid w:val="002A64A1"/>
    <w:rsid w:val="002A68FB"/>
    <w:rsid w:val="002A6D11"/>
    <w:rsid w:val="002A6E9C"/>
    <w:rsid w:val="002B0241"/>
    <w:rsid w:val="002B05B2"/>
    <w:rsid w:val="002B07FA"/>
    <w:rsid w:val="002B09DD"/>
    <w:rsid w:val="002B165C"/>
    <w:rsid w:val="002B1B8D"/>
    <w:rsid w:val="002B3E31"/>
    <w:rsid w:val="002B4B41"/>
    <w:rsid w:val="002B513E"/>
    <w:rsid w:val="002B5247"/>
    <w:rsid w:val="002B6657"/>
    <w:rsid w:val="002B69DF"/>
    <w:rsid w:val="002B6A62"/>
    <w:rsid w:val="002B6AD6"/>
    <w:rsid w:val="002B7B57"/>
    <w:rsid w:val="002C012E"/>
    <w:rsid w:val="002C1412"/>
    <w:rsid w:val="002C1ECE"/>
    <w:rsid w:val="002C22BA"/>
    <w:rsid w:val="002C36E0"/>
    <w:rsid w:val="002C3755"/>
    <w:rsid w:val="002C3D7D"/>
    <w:rsid w:val="002C3FAA"/>
    <w:rsid w:val="002C4192"/>
    <w:rsid w:val="002C43A2"/>
    <w:rsid w:val="002C4A37"/>
    <w:rsid w:val="002C6095"/>
    <w:rsid w:val="002C7803"/>
    <w:rsid w:val="002C7B14"/>
    <w:rsid w:val="002D1BAC"/>
    <w:rsid w:val="002D288A"/>
    <w:rsid w:val="002D332B"/>
    <w:rsid w:val="002D39F7"/>
    <w:rsid w:val="002D3FB6"/>
    <w:rsid w:val="002D406A"/>
    <w:rsid w:val="002D4D45"/>
    <w:rsid w:val="002D5777"/>
    <w:rsid w:val="002D61C4"/>
    <w:rsid w:val="002D7502"/>
    <w:rsid w:val="002D7EC7"/>
    <w:rsid w:val="002E0790"/>
    <w:rsid w:val="002E07C3"/>
    <w:rsid w:val="002E093C"/>
    <w:rsid w:val="002E1392"/>
    <w:rsid w:val="002E1A09"/>
    <w:rsid w:val="002E1C38"/>
    <w:rsid w:val="002E26E7"/>
    <w:rsid w:val="002E383E"/>
    <w:rsid w:val="002E4B27"/>
    <w:rsid w:val="002E54FE"/>
    <w:rsid w:val="002E5F8A"/>
    <w:rsid w:val="002E74F3"/>
    <w:rsid w:val="002F0E18"/>
    <w:rsid w:val="002F1E3F"/>
    <w:rsid w:val="002F2796"/>
    <w:rsid w:val="002F2D6A"/>
    <w:rsid w:val="002F43ED"/>
    <w:rsid w:val="002F5B8F"/>
    <w:rsid w:val="002F5DF7"/>
    <w:rsid w:val="002F69A8"/>
    <w:rsid w:val="002F7AB1"/>
    <w:rsid w:val="003004D0"/>
    <w:rsid w:val="003008E0"/>
    <w:rsid w:val="00300BCD"/>
    <w:rsid w:val="0030171F"/>
    <w:rsid w:val="00301B39"/>
    <w:rsid w:val="00301C2C"/>
    <w:rsid w:val="00301DA6"/>
    <w:rsid w:val="00302D41"/>
    <w:rsid w:val="0030376A"/>
    <w:rsid w:val="00303C88"/>
    <w:rsid w:val="00303E1D"/>
    <w:rsid w:val="00304246"/>
    <w:rsid w:val="00304D4A"/>
    <w:rsid w:val="00304DB2"/>
    <w:rsid w:val="003058EB"/>
    <w:rsid w:val="00305B56"/>
    <w:rsid w:val="00305E43"/>
    <w:rsid w:val="00306E96"/>
    <w:rsid w:val="00307252"/>
    <w:rsid w:val="0030736B"/>
    <w:rsid w:val="0030799D"/>
    <w:rsid w:val="00310FED"/>
    <w:rsid w:val="00311464"/>
    <w:rsid w:val="003121E1"/>
    <w:rsid w:val="0031240F"/>
    <w:rsid w:val="003125DB"/>
    <w:rsid w:val="00312A68"/>
    <w:rsid w:val="003138A9"/>
    <w:rsid w:val="003139B5"/>
    <w:rsid w:val="00314659"/>
    <w:rsid w:val="00314BAC"/>
    <w:rsid w:val="003157B5"/>
    <w:rsid w:val="00315E89"/>
    <w:rsid w:val="00316138"/>
    <w:rsid w:val="0031655B"/>
    <w:rsid w:val="00316A27"/>
    <w:rsid w:val="003176D7"/>
    <w:rsid w:val="00321C3B"/>
    <w:rsid w:val="00322E5C"/>
    <w:rsid w:val="003237E5"/>
    <w:rsid w:val="00323C5D"/>
    <w:rsid w:val="0032461D"/>
    <w:rsid w:val="00324C2C"/>
    <w:rsid w:val="00324F0B"/>
    <w:rsid w:val="003253B6"/>
    <w:rsid w:val="0032740F"/>
    <w:rsid w:val="00330BD1"/>
    <w:rsid w:val="00330FBC"/>
    <w:rsid w:val="00332DA2"/>
    <w:rsid w:val="00333501"/>
    <w:rsid w:val="0033472B"/>
    <w:rsid w:val="003347D9"/>
    <w:rsid w:val="00334B7F"/>
    <w:rsid w:val="00334BDE"/>
    <w:rsid w:val="00334E9F"/>
    <w:rsid w:val="00335057"/>
    <w:rsid w:val="00335797"/>
    <w:rsid w:val="00336A5D"/>
    <w:rsid w:val="00337CE5"/>
    <w:rsid w:val="00341223"/>
    <w:rsid w:val="00342495"/>
    <w:rsid w:val="00342E0B"/>
    <w:rsid w:val="00343793"/>
    <w:rsid w:val="00343804"/>
    <w:rsid w:val="00343A03"/>
    <w:rsid w:val="00343B40"/>
    <w:rsid w:val="00345E44"/>
    <w:rsid w:val="003463CE"/>
    <w:rsid w:val="003464D9"/>
    <w:rsid w:val="003500A5"/>
    <w:rsid w:val="00351173"/>
    <w:rsid w:val="00351CAE"/>
    <w:rsid w:val="00353B2E"/>
    <w:rsid w:val="0035408B"/>
    <w:rsid w:val="00354252"/>
    <w:rsid w:val="003543E3"/>
    <w:rsid w:val="00356A4C"/>
    <w:rsid w:val="00357223"/>
    <w:rsid w:val="00357680"/>
    <w:rsid w:val="0036123C"/>
    <w:rsid w:val="0036160F"/>
    <w:rsid w:val="00361CC4"/>
    <w:rsid w:val="00361EC0"/>
    <w:rsid w:val="00362873"/>
    <w:rsid w:val="003628B7"/>
    <w:rsid w:val="003638C5"/>
    <w:rsid w:val="003647AA"/>
    <w:rsid w:val="003651D2"/>
    <w:rsid w:val="003654F1"/>
    <w:rsid w:val="00365AA1"/>
    <w:rsid w:val="00365DDA"/>
    <w:rsid w:val="003669C0"/>
    <w:rsid w:val="00366EC4"/>
    <w:rsid w:val="00367600"/>
    <w:rsid w:val="00370901"/>
    <w:rsid w:val="00370A82"/>
    <w:rsid w:val="00370AC4"/>
    <w:rsid w:val="00370EDF"/>
    <w:rsid w:val="00371502"/>
    <w:rsid w:val="00371E1D"/>
    <w:rsid w:val="00371F4C"/>
    <w:rsid w:val="003726D2"/>
    <w:rsid w:val="00373252"/>
    <w:rsid w:val="00373446"/>
    <w:rsid w:val="003744D1"/>
    <w:rsid w:val="00374EBD"/>
    <w:rsid w:val="003752C2"/>
    <w:rsid w:val="00375423"/>
    <w:rsid w:val="00375E3B"/>
    <w:rsid w:val="00376F82"/>
    <w:rsid w:val="00377265"/>
    <w:rsid w:val="003775C4"/>
    <w:rsid w:val="00380F07"/>
    <w:rsid w:val="00382D15"/>
    <w:rsid w:val="00383941"/>
    <w:rsid w:val="003846E8"/>
    <w:rsid w:val="00384B2C"/>
    <w:rsid w:val="00384BE4"/>
    <w:rsid w:val="00384C12"/>
    <w:rsid w:val="00384CA7"/>
    <w:rsid w:val="003859C0"/>
    <w:rsid w:val="00385AC7"/>
    <w:rsid w:val="003869B3"/>
    <w:rsid w:val="00386DA8"/>
    <w:rsid w:val="0039001A"/>
    <w:rsid w:val="0039066F"/>
    <w:rsid w:val="003913B9"/>
    <w:rsid w:val="0039189B"/>
    <w:rsid w:val="00391C9B"/>
    <w:rsid w:val="00391D12"/>
    <w:rsid w:val="00392AF8"/>
    <w:rsid w:val="003931DA"/>
    <w:rsid w:val="003936B3"/>
    <w:rsid w:val="0039395E"/>
    <w:rsid w:val="00394E74"/>
    <w:rsid w:val="00394F1B"/>
    <w:rsid w:val="00395A7F"/>
    <w:rsid w:val="0039629B"/>
    <w:rsid w:val="00396A46"/>
    <w:rsid w:val="00396FA6"/>
    <w:rsid w:val="00397636"/>
    <w:rsid w:val="003A1E2E"/>
    <w:rsid w:val="003A35C4"/>
    <w:rsid w:val="003A49AA"/>
    <w:rsid w:val="003A5B89"/>
    <w:rsid w:val="003A5C07"/>
    <w:rsid w:val="003A64F6"/>
    <w:rsid w:val="003A71F5"/>
    <w:rsid w:val="003A72C2"/>
    <w:rsid w:val="003A7588"/>
    <w:rsid w:val="003A769D"/>
    <w:rsid w:val="003B1281"/>
    <w:rsid w:val="003B12CE"/>
    <w:rsid w:val="003B1A28"/>
    <w:rsid w:val="003B220A"/>
    <w:rsid w:val="003B2B8B"/>
    <w:rsid w:val="003B357D"/>
    <w:rsid w:val="003B4BD6"/>
    <w:rsid w:val="003B5496"/>
    <w:rsid w:val="003B5942"/>
    <w:rsid w:val="003B6351"/>
    <w:rsid w:val="003B6372"/>
    <w:rsid w:val="003B7014"/>
    <w:rsid w:val="003B7C4C"/>
    <w:rsid w:val="003C034E"/>
    <w:rsid w:val="003C0FBE"/>
    <w:rsid w:val="003C1095"/>
    <w:rsid w:val="003C3E54"/>
    <w:rsid w:val="003C481F"/>
    <w:rsid w:val="003C510B"/>
    <w:rsid w:val="003C667E"/>
    <w:rsid w:val="003C6998"/>
    <w:rsid w:val="003C6ED1"/>
    <w:rsid w:val="003C788C"/>
    <w:rsid w:val="003D0BD8"/>
    <w:rsid w:val="003D1486"/>
    <w:rsid w:val="003D1B6B"/>
    <w:rsid w:val="003D1BCB"/>
    <w:rsid w:val="003D1CB1"/>
    <w:rsid w:val="003D21BA"/>
    <w:rsid w:val="003D33D0"/>
    <w:rsid w:val="003D3519"/>
    <w:rsid w:val="003D4148"/>
    <w:rsid w:val="003D4AD2"/>
    <w:rsid w:val="003D4D5C"/>
    <w:rsid w:val="003D4FB1"/>
    <w:rsid w:val="003D54FF"/>
    <w:rsid w:val="003D63C2"/>
    <w:rsid w:val="003E0138"/>
    <w:rsid w:val="003E032F"/>
    <w:rsid w:val="003E0F77"/>
    <w:rsid w:val="003E11DB"/>
    <w:rsid w:val="003E153D"/>
    <w:rsid w:val="003E1AD7"/>
    <w:rsid w:val="003E1B05"/>
    <w:rsid w:val="003E1CEC"/>
    <w:rsid w:val="003E1E3C"/>
    <w:rsid w:val="003E2B27"/>
    <w:rsid w:val="003E3D4D"/>
    <w:rsid w:val="003E41CF"/>
    <w:rsid w:val="003E499E"/>
    <w:rsid w:val="003E7262"/>
    <w:rsid w:val="003F0205"/>
    <w:rsid w:val="003F02B9"/>
    <w:rsid w:val="003F1F02"/>
    <w:rsid w:val="003F20C1"/>
    <w:rsid w:val="003F2C9C"/>
    <w:rsid w:val="003F3EAE"/>
    <w:rsid w:val="003F505C"/>
    <w:rsid w:val="003F514E"/>
    <w:rsid w:val="003F5DA1"/>
    <w:rsid w:val="003F66D3"/>
    <w:rsid w:val="003F6B67"/>
    <w:rsid w:val="003F73FD"/>
    <w:rsid w:val="003F7F5A"/>
    <w:rsid w:val="003F7F7B"/>
    <w:rsid w:val="00401EAC"/>
    <w:rsid w:val="00402C9C"/>
    <w:rsid w:val="00402F95"/>
    <w:rsid w:val="0040468A"/>
    <w:rsid w:val="00405A9A"/>
    <w:rsid w:val="00406333"/>
    <w:rsid w:val="004065DF"/>
    <w:rsid w:val="00406C44"/>
    <w:rsid w:val="004075C9"/>
    <w:rsid w:val="00410A60"/>
    <w:rsid w:val="00410BE5"/>
    <w:rsid w:val="00411039"/>
    <w:rsid w:val="004124A6"/>
    <w:rsid w:val="00412552"/>
    <w:rsid w:val="004130F0"/>
    <w:rsid w:val="00413688"/>
    <w:rsid w:val="00416BF8"/>
    <w:rsid w:val="004173F5"/>
    <w:rsid w:val="00417557"/>
    <w:rsid w:val="00417CD8"/>
    <w:rsid w:val="00417E9D"/>
    <w:rsid w:val="0042075F"/>
    <w:rsid w:val="0042364B"/>
    <w:rsid w:val="00423974"/>
    <w:rsid w:val="00425577"/>
    <w:rsid w:val="00425B71"/>
    <w:rsid w:val="004263ED"/>
    <w:rsid w:val="00430AD4"/>
    <w:rsid w:val="00431831"/>
    <w:rsid w:val="00432D36"/>
    <w:rsid w:val="00433690"/>
    <w:rsid w:val="004337DA"/>
    <w:rsid w:val="00434A0B"/>
    <w:rsid w:val="00434B45"/>
    <w:rsid w:val="00434D73"/>
    <w:rsid w:val="00434D81"/>
    <w:rsid w:val="00435085"/>
    <w:rsid w:val="004353A6"/>
    <w:rsid w:val="0043606C"/>
    <w:rsid w:val="00436E95"/>
    <w:rsid w:val="00437689"/>
    <w:rsid w:val="00437BC8"/>
    <w:rsid w:val="00437DED"/>
    <w:rsid w:val="0044003A"/>
    <w:rsid w:val="00440630"/>
    <w:rsid w:val="0044085D"/>
    <w:rsid w:val="00440E77"/>
    <w:rsid w:val="00440E92"/>
    <w:rsid w:val="00440EC0"/>
    <w:rsid w:val="00443403"/>
    <w:rsid w:val="00443449"/>
    <w:rsid w:val="0044383B"/>
    <w:rsid w:val="00443914"/>
    <w:rsid w:val="00443A10"/>
    <w:rsid w:val="00443A6A"/>
    <w:rsid w:val="0044412F"/>
    <w:rsid w:val="00444390"/>
    <w:rsid w:val="004446F3"/>
    <w:rsid w:val="00445A08"/>
    <w:rsid w:val="0044658F"/>
    <w:rsid w:val="00446BE3"/>
    <w:rsid w:val="00446DD3"/>
    <w:rsid w:val="004479C6"/>
    <w:rsid w:val="004501B2"/>
    <w:rsid w:val="00450347"/>
    <w:rsid w:val="00450415"/>
    <w:rsid w:val="0045070C"/>
    <w:rsid w:val="00450A85"/>
    <w:rsid w:val="00450E0F"/>
    <w:rsid w:val="004511F8"/>
    <w:rsid w:val="00451299"/>
    <w:rsid w:val="004521A9"/>
    <w:rsid w:val="0045251E"/>
    <w:rsid w:val="00452A8E"/>
    <w:rsid w:val="00452DE1"/>
    <w:rsid w:val="00452FAB"/>
    <w:rsid w:val="004538FD"/>
    <w:rsid w:val="00453A3B"/>
    <w:rsid w:val="00453DC1"/>
    <w:rsid w:val="00453EB1"/>
    <w:rsid w:val="00454E1A"/>
    <w:rsid w:val="00460958"/>
    <w:rsid w:val="0046107D"/>
    <w:rsid w:val="0046296C"/>
    <w:rsid w:val="00462A59"/>
    <w:rsid w:val="00462C66"/>
    <w:rsid w:val="004637F3"/>
    <w:rsid w:val="00463F1E"/>
    <w:rsid w:val="004657BB"/>
    <w:rsid w:val="004664EA"/>
    <w:rsid w:val="00466C95"/>
    <w:rsid w:val="004670E0"/>
    <w:rsid w:val="00470365"/>
    <w:rsid w:val="004705AA"/>
    <w:rsid w:val="004705EC"/>
    <w:rsid w:val="004706E0"/>
    <w:rsid w:val="0047218C"/>
    <w:rsid w:val="004721EB"/>
    <w:rsid w:val="00474233"/>
    <w:rsid w:val="004746E0"/>
    <w:rsid w:val="00480612"/>
    <w:rsid w:val="00480F2D"/>
    <w:rsid w:val="00481ADF"/>
    <w:rsid w:val="00481C10"/>
    <w:rsid w:val="00483114"/>
    <w:rsid w:val="00483243"/>
    <w:rsid w:val="00483704"/>
    <w:rsid w:val="004838E8"/>
    <w:rsid w:val="00484E79"/>
    <w:rsid w:val="00485113"/>
    <w:rsid w:val="004861FB"/>
    <w:rsid w:val="004872F5"/>
    <w:rsid w:val="00487503"/>
    <w:rsid w:val="0049013D"/>
    <w:rsid w:val="00490653"/>
    <w:rsid w:val="0049120A"/>
    <w:rsid w:val="00492418"/>
    <w:rsid w:val="00492828"/>
    <w:rsid w:val="00493632"/>
    <w:rsid w:val="00494845"/>
    <w:rsid w:val="004953A7"/>
    <w:rsid w:val="00495432"/>
    <w:rsid w:val="00495BAD"/>
    <w:rsid w:val="00495DDA"/>
    <w:rsid w:val="004973E5"/>
    <w:rsid w:val="00497B28"/>
    <w:rsid w:val="004A0390"/>
    <w:rsid w:val="004A0717"/>
    <w:rsid w:val="004A0720"/>
    <w:rsid w:val="004A0A0A"/>
    <w:rsid w:val="004A2815"/>
    <w:rsid w:val="004A3076"/>
    <w:rsid w:val="004A3104"/>
    <w:rsid w:val="004A3310"/>
    <w:rsid w:val="004A343E"/>
    <w:rsid w:val="004A3579"/>
    <w:rsid w:val="004A39F6"/>
    <w:rsid w:val="004A3CD9"/>
    <w:rsid w:val="004A3F40"/>
    <w:rsid w:val="004A449C"/>
    <w:rsid w:val="004A45FB"/>
    <w:rsid w:val="004A4728"/>
    <w:rsid w:val="004A515F"/>
    <w:rsid w:val="004A74B1"/>
    <w:rsid w:val="004A7707"/>
    <w:rsid w:val="004A7823"/>
    <w:rsid w:val="004A7924"/>
    <w:rsid w:val="004B2BE8"/>
    <w:rsid w:val="004B2C08"/>
    <w:rsid w:val="004B37FF"/>
    <w:rsid w:val="004B457E"/>
    <w:rsid w:val="004B4C6B"/>
    <w:rsid w:val="004B53B4"/>
    <w:rsid w:val="004B568C"/>
    <w:rsid w:val="004B662B"/>
    <w:rsid w:val="004B6AC8"/>
    <w:rsid w:val="004B6DA9"/>
    <w:rsid w:val="004B72C6"/>
    <w:rsid w:val="004B7927"/>
    <w:rsid w:val="004C00D8"/>
    <w:rsid w:val="004C0118"/>
    <w:rsid w:val="004C176A"/>
    <w:rsid w:val="004C17B5"/>
    <w:rsid w:val="004C46EB"/>
    <w:rsid w:val="004C4E67"/>
    <w:rsid w:val="004C6AFF"/>
    <w:rsid w:val="004C6FA0"/>
    <w:rsid w:val="004C7A41"/>
    <w:rsid w:val="004C7DAF"/>
    <w:rsid w:val="004D0F0D"/>
    <w:rsid w:val="004D1621"/>
    <w:rsid w:val="004D1D53"/>
    <w:rsid w:val="004D256F"/>
    <w:rsid w:val="004D273D"/>
    <w:rsid w:val="004D3EAE"/>
    <w:rsid w:val="004D41A8"/>
    <w:rsid w:val="004D4333"/>
    <w:rsid w:val="004D43FE"/>
    <w:rsid w:val="004D490C"/>
    <w:rsid w:val="004D56B9"/>
    <w:rsid w:val="004D70DE"/>
    <w:rsid w:val="004E0899"/>
    <w:rsid w:val="004E1142"/>
    <w:rsid w:val="004E136B"/>
    <w:rsid w:val="004E1C69"/>
    <w:rsid w:val="004E3B64"/>
    <w:rsid w:val="004E4624"/>
    <w:rsid w:val="004E4AA5"/>
    <w:rsid w:val="004E4D2A"/>
    <w:rsid w:val="004E50E7"/>
    <w:rsid w:val="004E514E"/>
    <w:rsid w:val="004E52B8"/>
    <w:rsid w:val="004E5575"/>
    <w:rsid w:val="004E60A7"/>
    <w:rsid w:val="004E6F10"/>
    <w:rsid w:val="004E755C"/>
    <w:rsid w:val="004E7795"/>
    <w:rsid w:val="004E77EB"/>
    <w:rsid w:val="004F1F6C"/>
    <w:rsid w:val="004F24D4"/>
    <w:rsid w:val="004F285B"/>
    <w:rsid w:val="004F31FC"/>
    <w:rsid w:val="004F3939"/>
    <w:rsid w:val="004F3A2F"/>
    <w:rsid w:val="004F41B2"/>
    <w:rsid w:val="004F4922"/>
    <w:rsid w:val="004F54D5"/>
    <w:rsid w:val="004F5654"/>
    <w:rsid w:val="004F5BB0"/>
    <w:rsid w:val="004F5ECD"/>
    <w:rsid w:val="004F628C"/>
    <w:rsid w:val="004F7F96"/>
    <w:rsid w:val="00500495"/>
    <w:rsid w:val="00500A4B"/>
    <w:rsid w:val="00501AC3"/>
    <w:rsid w:val="00501D6D"/>
    <w:rsid w:val="005029BE"/>
    <w:rsid w:val="00502CB5"/>
    <w:rsid w:val="0050372B"/>
    <w:rsid w:val="00503D02"/>
    <w:rsid w:val="00504131"/>
    <w:rsid w:val="0050600F"/>
    <w:rsid w:val="005105A7"/>
    <w:rsid w:val="00510B0C"/>
    <w:rsid w:val="00510D11"/>
    <w:rsid w:val="00511222"/>
    <w:rsid w:val="005121EE"/>
    <w:rsid w:val="00512473"/>
    <w:rsid w:val="005125B2"/>
    <w:rsid w:val="00512F7F"/>
    <w:rsid w:val="00513031"/>
    <w:rsid w:val="00516930"/>
    <w:rsid w:val="00517886"/>
    <w:rsid w:val="005178A8"/>
    <w:rsid w:val="0051797A"/>
    <w:rsid w:val="005179B0"/>
    <w:rsid w:val="00517F09"/>
    <w:rsid w:val="00520C05"/>
    <w:rsid w:val="0052127D"/>
    <w:rsid w:val="005212DD"/>
    <w:rsid w:val="005217EF"/>
    <w:rsid w:val="00521B7A"/>
    <w:rsid w:val="005228C4"/>
    <w:rsid w:val="00522F69"/>
    <w:rsid w:val="00523DF5"/>
    <w:rsid w:val="00524DC8"/>
    <w:rsid w:val="00525581"/>
    <w:rsid w:val="00531C78"/>
    <w:rsid w:val="00533276"/>
    <w:rsid w:val="00533E17"/>
    <w:rsid w:val="0053659E"/>
    <w:rsid w:val="00537C72"/>
    <w:rsid w:val="00540556"/>
    <w:rsid w:val="00541409"/>
    <w:rsid w:val="00541B4E"/>
    <w:rsid w:val="00541D83"/>
    <w:rsid w:val="00542574"/>
    <w:rsid w:val="0054271D"/>
    <w:rsid w:val="00543B8F"/>
    <w:rsid w:val="005453A7"/>
    <w:rsid w:val="00545490"/>
    <w:rsid w:val="00545873"/>
    <w:rsid w:val="00546C68"/>
    <w:rsid w:val="00547554"/>
    <w:rsid w:val="00547957"/>
    <w:rsid w:val="00547BFB"/>
    <w:rsid w:val="0055015C"/>
    <w:rsid w:val="005526FF"/>
    <w:rsid w:val="00552C0D"/>
    <w:rsid w:val="00554594"/>
    <w:rsid w:val="0055669F"/>
    <w:rsid w:val="00556922"/>
    <w:rsid w:val="0056137F"/>
    <w:rsid w:val="00562418"/>
    <w:rsid w:val="00562DE0"/>
    <w:rsid w:val="0056394D"/>
    <w:rsid w:val="00564055"/>
    <w:rsid w:val="00564058"/>
    <w:rsid w:val="00564838"/>
    <w:rsid w:val="00564BD7"/>
    <w:rsid w:val="00564D56"/>
    <w:rsid w:val="005656D7"/>
    <w:rsid w:val="00565950"/>
    <w:rsid w:val="00567455"/>
    <w:rsid w:val="0057156C"/>
    <w:rsid w:val="005715E6"/>
    <w:rsid w:val="005730AA"/>
    <w:rsid w:val="00573344"/>
    <w:rsid w:val="00573FBD"/>
    <w:rsid w:val="00574007"/>
    <w:rsid w:val="005746CE"/>
    <w:rsid w:val="00576B91"/>
    <w:rsid w:val="00577D30"/>
    <w:rsid w:val="0058083B"/>
    <w:rsid w:val="00581432"/>
    <w:rsid w:val="005818BF"/>
    <w:rsid w:val="00582125"/>
    <w:rsid w:val="0058246B"/>
    <w:rsid w:val="00582D66"/>
    <w:rsid w:val="00582E9E"/>
    <w:rsid w:val="00582FE8"/>
    <w:rsid w:val="005832A5"/>
    <w:rsid w:val="0058364F"/>
    <w:rsid w:val="00583C12"/>
    <w:rsid w:val="005848A4"/>
    <w:rsid w:val="00584BA9"/>
    <w:rsid w:val="005868AA"/>
    <w:rsid w:val="00586BA2"/>
    <w:rsid w:val="00587642"/>
    <w:rsid w:val="005912D9"/>
    <w:rsid w:val="00591E6B"/>
    <w:rsid w:val="00592F29"/>
    <w:rsid w:val="005938BC"/>
    <w:rsid w:val="00593F4F"/>
    <w:rsid w:val="0059509B"/>
    <w:rsid w:val="0059554E"/>
    <w:rsid w:val="005976A9"/>
    <w:rsid w:val="00597C66"/>
    <w:rsid w:val="00597E08"/>
    <w:rsid w:val="005A0D7C"/>
    <w:rsid w:val="005A11E8"/>
    <w:rsid w:val="005A13C7"/>
    <w:rsid w:val="005A1BF2"/>
    <w:rsid w:val="005A2581"/>
    <w:rsid w:val="005A463E"/>
    <w:rsid w:val="005A64E8"/>
    <w:rsid w:val="005A6854"/>
    <w:rsid w:val="005A7689"/>
    <w:rsid w:val="005A77A0"/>
    <w:rsid w:val="005B2A0D"/>
    <w:rsid w:val="005B2A2E"/>
    <w:rsid w:val="005B3D37"/>
    <w:rsid w:val="005B3E34"/>
    <w:rsid w:val="005B435A"/>
    <w:rsid w:val="005B5981"/>
    <w:rsid w:val="005B5AD7"/>
    <w:rsid w:val="005B6467"/>
    <w:rsid w:val="005B69ED"/>
    <w:rsid w:val="005B72BD"/>
    <w:rsid w:val="005B757D"/>
    <w:rsid w:val="005C00A7"/>
    <w:rsid w:val="005C1436"/>
    <w:rsid w:val="005C1C59"/>
    <w:rsid w:val="005C1DAB"/>
    <w:rsid w:val="005C2303"/>
    <w:rsid w:val="005C2DB4"/>
    <w:rsid w:val="005C34EA"/>
    <w:rsid w:val="005C3AFF"/>
    <w:rsid w:val="005C3E38"/>
    <w:rsid w:val="005C3F15"/>
    <w:rsid w:val="005C4801"/>
    <w:rsid w:val="005C5831"/>
    <w:rsid w:val="005C586D"/>
    <w:rsid w:val="005C6176"/>
    <w:rsid w:val="005C6204"/>
    <w:rsid w:val="005C6892"/>
    <w:rsid w:val="005C7B94"/>
    <w:rsid w:val="005D0851"/>
    <w:rsid w:val="005D0DDB"/>
    <w:rsid w:val="005D18DF"/>
    <w:rsid w:val="005D1A53"/>
    <w:rsid w:val="005D1D19"/>
    <w:rsid w:val="005D1EB9"/>
    <w:rsid w:val="005D378A"/>
    <w:rsid w:val="005D3BF1"/>
    <w:rsid w:val="005D41D9"/>
    <w:rsid w:val="005D49CF"/>
    <w:rsid w:val="005D5354"/>
    <w:rsid w:val="005D5521"/>
    <w:rsid w:val="005D625B"/>
    <w:rsid w:val="005D73CC"/>
    <w:rsid w:val="005D7CDE"/>
    <w:rsid w:val="005E121D"/>
    <w:rsid w:val="005E1D24"/>
    <w:rsid w:val="005E2D17"/>
    <w:rsid w:val="005E31BA"/>
    <w:rsid w:val="005E382A"/>
    <w:rsid w:val="005E41D2"/>
    <w:rsid w:val="005E5B43"/>
    <w:rsid w:val="005E609C"/>
    <w:rsid w:val="005E65A6"/>
    <w:rsid w:val="005E6835"/>
    <w:rsid w:val="005E718E"/>
    <w:rsid w:val="005F068C"/>
    <w:rsid w:val="005F0D4E"/>
    <w:rsid w:val="005F13E0"/>
    <w:rsid w:val="005F1452"/>
    <w:rsid w:val="005F14FE"/>
    <w:rsid w:val="005F1800"/>
    <w:rsid w:val="005F2CBD"/>
    <w:rsid w:val="005F2E4A"/>
    <w:rsid w:val="005F35FC"/>
    <w:rsid w:val="005F3B1D"/>
    <w:rsid w:val="005F3DBD"/>
    <w:rsid w:val="005F3F8C"/>
    <w:rsid w:val="005F4BD1"/>
    <w:rsid w:val="005F5855"/>
    <w:rsid w:val="005F68B5"/>
    <w:rsid w:val="005F6D15"/>
    <w:rsid w:val="005F6E08"/>
    <w:rsid w:val="005F75AD"/>
    <w:rsid w:val="006004EB"/>
    <w:rsid w:val="0060054F"/>
    <w:rsid w:val="00600886"/>
    <w:rsid w:val="0060118A"/>
    <w:rsid w:val="006014A4"/>
    <w:rsid w:val="00601DE2"/>
    <w:rsid w:val="006023C0"/>
    <w:rsid w:val="00602879"/>
    <w:rsid w:val="00602ABD"/>
    <w:rsid w:val="00602B15"/>
    <w:rsid w:val="006048C7"/>
    <w:rsid w:val="00605533"/>
    <w:rsid w:val="00606284"/>
    <w:rsid w:val="0060718B"/>
    <w:rsid w:val="00607E8B"/>
    <w:rsid w:val="00607E99"/>
    <w:rsid w:val="006112E8"/>
    <w:rsid w:val="00611889"/>
    <w:rsid w:val="00611D41"/>
    <w:rsid w:val="0061208B"/>
    <w:rsid w:val="00612556"/>
    <w:rsid w:val="00612694"/>
    <w:rsid w:val="0061319F"/>
    <w:rsid w:val="0061323A"/>
    <w:rsid w:val="00613E21"/>
    <w:rsid w:val="00613F53"/>
    <w:rsid w:val="00615364"/>
    <w:rsid w:val="0061559A"/>
    <w:rsid w:val="006166A2"/>
    <w:rsid w:val="0061772E"/>
    <w:rsid w:val="00620279"/>
    <w:rsid w:val="006204B2"/>
    <w:rsid w:val="006213EF"/>
    <w:rsid w:val="00621479"/>
    <w:rsid w:val="00621942"/>
    <w:rsid w:val="00621C9C"/>
    <w:rsid w:val="006225AA"/>
    <w:rsid w:val="00623173"/>
    <w:rsid w:val="0062545A"/>
    <w:rsid w:val="00625825"/>
    <w:rsid w:val="006263F8"/>
    <w:rsid w:val="006263FC"/>
    <w:rsid w:val="006272C2"/>
    <w:rsid w:val="00627365"/>
    <w:rsid w:val="0062760C"/>
    <w:rsid w:val="006278B2"/>
    <w:rsid w:val="006304B1"/>
    <w:rsid w:val="00630871"/>
    <w:rsid w:val="0063087F"/>
    <w:rsid w:val="00630C42"/>
    <w:rsid w:val="006311AA"/>
    <w:rsid w:val="00631592"/>
    <w:rsid w:val="00632156"/>
    <w:rsid w:val="00633123"/>
    <w:rsid w:val="0063387B"/>
    <w:rsid w:val="00634DF5"/>
    <w:rsid w:val="006354B0"/>
    <w:rsid w:val="006358A4"/>
    <w:rsid w:val="00636A78"/>
    <w:rsid w:val="00637A66"/>
    <w:rsid w:val="006406E8"/>
    <w:rsid w:val="0064123A"/>
    <w:rsid w:val="006417C4"/>
    <w:rsid w:val="00641C23"/>
    <w:rsid w:val="006429B3"/>
    <w:rsid w:val="006434F0"/>
    <w:rsid w:val="00643BC1"/>
    <w:rsid w:val="00643C09"/>
    <w:rsid w:val="00643C99"/>
    <w:rsid w:val="006468B8"/>
    <w:rsid w:val="00646E9D"/>
    <w:rsid w:val="00650758"/>
    <w:rsid w:val="00650B82"/>
    <w:rsid w:val="006510B1"/>
    <w:rsid w:val="00651AF2"/>
    <w:rsid w:val="00652039"/>
    <w:rsid w:val="00652629"/>
    <w:rsid w:val="00652DD6"/>
    <w:rsid w:val="00653395"/>
    <w:rsid w:val="00654606"/>
    <w:rsid w:val="00654B92"/>
    <w:rsid w:val="006550D1"/>
    <w:rsid w:val="00655802"/>
    <w:rsid w:val="00655CDD"/>
    <w:rsid w:val="00657088"/>
    <w:rsid w:val="00657D3F"/>
    <w:rsid w:val="00662042"/>
    <w:rsid w:val="006622D9"/>
    <w:rsid w:val="00662D4D"/>
    <w:rsid w:val="006631B2"/>
    <w:rsid w:val="00663F95"/>
    <w:rsid w:val="00664B25"/>
    <w:rsid w:val="00664B7D"/>
    <w:rsid w:val="00664EA8"/>
    <w:rsid w:val="00664EB2"/>
    <w:rsid w:val="00664FE2"/>
    <w:rsid w:val="00665922"/>
    <w:rsid w:val="00665A76"/>
    <w:rsid w:val="0066695C"/>
    <w:rsid w:val="00667DA3"/>
    <w:rsid w:val="00667EFF"/>
    <w:rsid w:val="006713ED"/>
    <w:rsid w:val="00672838"/>
    <w:rsid w:val="00673425"/>
    <w:rsid w:val="00673D71"/>
    <w:rsid w:val="006744D4"/>
    <w:rsid w:val="00674F64"/>
    <w:rsid w:val="00675492"/>
    <w:rsid w:val="00675D6F"/>
    <w:rsid w:val="00676E17"/>
    <w:rsid w:val="006775AF"/>
    <w:rsid w:val="0067761B"/>
    <w:rsid w:val="0067782D"/>
    <w:rsid w:val="0067788F"/>
    <w:rsid w:val="006809C8"/>
    <w:rsid w:val="00681880"/>
    <w:rsid w:val="006824B1"/>
    <w:rsid w:val="00682735"/>
    <w:rsid w:val="00682B62"/>
    <w:rsid w:val="00682C35"/>
    <w:rsid w:val="0068329C"/>
    <w:rsid w:val="00683348"/>
    <w:rsid w:val="00683A99"/>
    <w:rsid w:val="0068537C"/>
    <w:rsid w:val="00685838"/>
    <w:rsid w:val="006866C7"/>
    <w:rsid w:val="0068674F"/>
    <w:rsid w:val="00686CB3"/>
    <w:rsid w:val="00687A8C"/>
    <w:rsid w:val="00687BB7"/>
    <w:rsid w:val="0069011D"/>
    <w:rsid w:val="00690366"/>
    <w:rsid w:val="00690480"/>
    <w:rsid w:val="00690488"/>
    <w:rsid w:val="006908EA"/>
    <w:rsid w:val="006910CB"/>
    <w:rsid w:val="00692288"/>
    <w:rsid w:val="00692781"/>
    <w:rsid w:val="006931C0"/>
    <w:rsid w:val="00693239"/>
    <w:rsid w:val="00693F5E"/>
    <w:rsid w:val="006947E3"/>
    <w:rsid w:val="006951D1"/>
    <w:rsid w:val="006962A9"/>
    <w:rsid w:val="006968B5"/>
    <w:rsid w:val="006974F8"/>
    <w:rsid w:val="006A217E"/>
    <w:rsid w:val="006A2B2A"/>
    <w:rsid w:val="006A2B66"/>
    <w:rsid w:val="006A2C04"/>
    <w:rsid w:val="006A2F06"/>
    <w:rsid w:val="006A37BE"/>
    <w:rsid w:val="006A4312"/>
    <w:rsid w:val="006A43B1"/>
    <w:rsid w:val="006A4679"/>
    <w:rsid w:val="006A47A3"/>
    <w:rsid w:val="006A49E2"/>
    <w:rsid w:val="006A572E"/>
    <w:rsid w:val="006A6C04"/>
    <w:rsid w:val="006A6D4A"/>
    <w:rsid w:val="006A7789"/>
    <w:rsid w:val="006A7A0B"/>
    <w:rsid w:val="006B02AD"/>
    <w:rsid w:val="006B0D22"/>
    <w:rsid w:val="006B17F6"/>
    <w:rsid w:val="006B20A4"/>
    <w:rsid w:val="006B3036"/>
    <w:rsid w:val="006B364A"/>
    <w:rsid w:val="006B411E"/>
    <w:rsid w:val="006B439B"/>
    <w:rsid w:val="006B464D"/>
    <w:rsid w:val="006B4752"/>
    <w:rsid w:val="006B5899"/>
    <w:rsid w:val="006B7662"/>
    <w:rsid w:val="006B7A00"/>
    <w:rsid w:val="006C0660"/>
    <w:rsid w:val="006C0F03"/>
    <w:rsid w:val="006C13A3"/>
    <w:rsid w:val="006C16A3"/>
    <w:rsid w:val="006C1A0B"/>
    <w:rsid w:val="006C2150"/>
    <w:rsid w:val="006C2367"/>
    <w:rsid w:val="006C2628"/>
    <w:rsid w:val="006C2681"/>
    <w:rsid w:val="006C2FED"/>
    <w:rsid w:val="006C3813"/>
    <w:rsid w:val="006C3A8C"/>
    <w:rsid w:val="006C3B46"/>
    <w:rsid w:val="006C5548"/>
    <w:rsid w:val="006C6098"/>
    <w:rsid w:val="006C649E"/>
    <w:rsid w:val="006D1329"/>
    <w:rsid w:val="006D1606"/>
    <w:rsid w:val="006D2090"/>
    <w:rsid w:val="006D2705"/>
    <w:rsid w:val="006D2DE4"/>
    <w:rsid w:val="006D419C"/>
    <w:rsid w:val="006D42FA"/>
    <w:rsid w:val="006D4E41"/>
    <w:rsid w:val="006D5D7B"/>
    <w:rsid w:val="006D6AB3"/>
    <w:rsid w:val="006D74A7"/>
    <w:rsid w:val="006D77F0"/>
    <w:rsid w:val="006D780E"/>
    <w:rsid w:val="006D7A85"/>
    <w:rsid w:val="006E0725"/>
    <w:rsid w:val="006E0AD0"/>
    <w:rsid w:val="006E13E8"/>
    <w:rsid w:val="006E1570"/>
    <w:rsid w:val="006E2B22"/>
    <w:rsid w:val="006E3EAF"/>
    <w:rsid w:val="006E47B7"/>
    <w:rsid w:val="006E48B6"/>
    <w:rsid w:val="006E5157"/>
    <w:rsid w:val="006E61A8"/>
    <w:rsid w:val="006E6394"/>
    <w:rsid w:val="006E6E38"/>
    <w:rsid w:val="006E6E96"/>
    <w:rsid w:val="006F02E4"/>
    <w:rsid w:val="006F07B8"/>
    <w:rsid w:val="006F089B"/>
    <w:rsid w:val="006F0CF7"/>
    <w:rsid w:val="006F222F"/>
    <w:rsid w:val="006F2F09"/>
    <w:rsid w:val="006F4296"/>
    <w:rsid w:val="006F53FB"/>
    <w:rsid w:val="006F5D8A"/>
    <w:rsid w:val="006F6C01"/>
    <w:rsid w:val="006F7DC1"/>
    <w:rsid w:val="00700801"/>
    <w:rsid w:val="00700A24"/>
    <w:rsid w:val="00701F43"/>
    <w:rsid w:val="0070269F"/>
    <w:rsid w:val="00702DBE"/>
    <w:rsid w:val="00705538"/>
    <w:rsid w:val="00705C57"/>
    <w:rsid w:val="007060E7"/>
    <w:rsid w:val="00706150"/>
    <w:rsid w:val="007063B4"/>
    <w:rsid w:val="00707646"/>
    <w:rsid w:val="00710744"/>
    <w:rsid w:val="00710A2A"/>
    <w:rsid w:val="007110C2"/>
    <w:rsid w:val="00711154"/>
    <w:rsid w:val="00712067"/>
    <w:rsid w:val="0071215B"/>
    <w:rsid w:val="007129CF"/>
    <w:rsid w:val="00712B1A"/>
    <w:rsid w:val="0071446E"/>
    <w:rsid w:val="00714F19"/>
    <w:rsid w:val="007151F1"/>
    <w:rsid w:val="00715C09"/>
    <w:rsid w:val="00716231"/>
    <w:rsid w:val="007166F9"/>
    <w:rsid w:val="00717BB4"/>
    <w:rsid w:val="00720571"/>
    <w:rsid w:val="00721D22"/>
    <w:rsid w:val="00724031"/>
    <w:rsid w:val="0072423F"/>
    <w:rsid w:val="007248F9"/>
    <w:rsid w:val="00724CC7"/>
    <w:rsid w:val="00726003"/>
    <w:rsid w:val="00726234"/>
    <w:rsid w:val="007265BF"/>
    <w:rsid w:val="0072691C"/>
    <w:rsid w:val="00726B87"/>
    <w:rsid w:val="00727DEF"/>
    <w:rsid w:val="00730358"/>
    <w:rsid w:val="00730552"/>
    <w:rsid w:val="007318D4"/>
    <w:rsid w:val="0073190D"/>
    <w:rsid w:val="00732916"/>
    <w:rsid w:val="00740141"/>
    <w:rsid w:val="00740492"/>
    <w:rsid w:val="00740997"/>
    <w:rsid w:val="00742852"/>
    <w:rsid w:val="00742E91"/>
    <w:rsid w:val="007432A6"/>
    <w:rsid w:val="007432CB"/>
    <w:rsid w:val="00743B5D"/>
    <w:rsid w:val="00744319"/>
    <w:rsid w:val="007453B5"/>
    <w:rsid w:val="007458EC"/>
    <w:rsid w:val="00745E11"/>
    <w:rsid w:val="00745FC2"/>
    <w:rsid w:val="007464DC"/>
    <w:rsid w:val="00746AA6"/>
    <w:rsid w:val="00747493"/>
    <w:rsid w:val="007475C9"/>
    <w:rsid w:val="007509C5"/>
    <w:rsid w:val="00750C3E"/>
    <w:rsid w:val="007511A9"/>
    <w:rsid w:val="00752E9E"/>
    <w:rsid w:val="00753AB2"/>
    <w:rsid w:val="007550F0"/>
    <w:rsid w:val="00755B90"/>
    <w:rsid w:val="00756367"/>
    <w:rsid w:val="00756A3E"/>
    <w:rsid w:val="007579F4"/>
    <w:rsid w:val="00757C76"/>
    <w:rsid w:val="00761D4D"/>
    <w:rsid w:val="007623F2"/>
    <w:rsid w:val="007630B9"/>
    <w:rsid w:val="00764288"/>
    <w:rsid w:val="007654C1"/>
    <w:rsid w:val="00765C27"/>
    <w:rsid w:val="00766059"/>
    <w:rsid w:val="007664DA"/>
    <w:rsid w:val="00766B3D"/>
    <w:rsid w:val="0076784B"/>
    <w:rsid w:val="00767A51"/>
    <w:rsid w:val="007727DE"/>
    <w:rsid w:val="00773218"/>
    <w:rsid w:val="007737C4"/>
    <w:rsid w:val="00775E32"/>
    <w:rsid w:val="00776674"/>
    <w:rsid w:val="00777563"/>
    <w:rsid w:val="00777FFB"/>
    <w:rsid w:val="007820BE"/>
    <w:rsid w:val="007837E3"/>
    <w:rsid w:val="00786222"/>
    <w:rsid w:val="007867CA"/>
    <w:rsid w:val="00787A92"/>
    <w:rsid w:val="00790BAD"/>
    <w:rsid w:val="0079218C"/>
    <w:rsid w:val="00794241"/>
    <w:rsid w:val="007942A0"/>
    <w:rsid w:val="00794B5A"/>
    <w:rsid w:val="00795177"/>
    <w:rsid w:val="007955CC"/>
    <w:rsid w:val="00795690"/>
    <w:rsid w:val="0079603E"/>
    <w:rsid w:val="0079667A"/>
    <w:rsid w:val="00797595"/>
    <w:rsid w:val="007A0636"/>
    <w:rsid w:val="007A07D5"/>
    <w:rsid w:val="007A0B8F"/>
    <w:rsid w:val="007A0C16"/>
    <w:rsid w:val="007A14E8"/>
    <w:rsid w:val="007A154F"/>
    <w:rsid w:val="007A1696"/>
    <w:rsid w:val="007A2676"/>
    <w:rsid w:val="007A37F9"/>
    <w:rsid w:val="007A3C81"/>
    <w:rsid w:val="007A48A7"/>
    <w:rsid w:val="007A4999"/>
    <w:rsid w:val="007A5506"/>
    <w:rsid w:val="007A751E"/>
    <w:rsid w:val="007B07C4"/>
    <w:rsid w:val="007B1836"/>
    <w:rsid w:val="007B2845"/>
    <w:rsid w:val="007B2A66"/>
    <w:rsid w:val="007B2BDC"/>
    <w:rsid w:val="007B32CD"/>
    <w:rsid w:val="007B384E"/>
    <w:rsid w:val="007B4AA3"/>
    <w:rsid w:val="007B52BB"/>
    <w:rsid w:val="007B68D8"/>
    <w:rsid w:val="007B6CE6"/>
    <w:rsid w:val="007C0834"/>
    <w:rsid w:val="007C0D78"/>
    <w:rsid w:val="007C14C2"/>
    <w:rsid w:val="007C1539"/>
    <w:rsid w:val="007C1E04"/>
    <w:rsid w:val="007C2643"/>
    <w:rsid w:val="007C2C86"/>
    <w:rsid w:val="007C302C"/>
    <w:rsid w:val="007C42AE"/>
    <w:rsid w:val="007C4D04"/>
    <w:rsid w:val="007C5C6C"/>
    <w:rsid w:val="007C6485"/>
    <w:rsid w:val="007C7CE2"/>
    <w:rsid w:val="007D0F02"/>
    <w:rsid w:val="007D14BE"/>
    <w:rsid w:val="007D1931"/>
    <w:rsid w:val="007D203C"/>
    <w:rsid w:val="007D26FD"/>
    <w:rsid w:val="007D2AD0"/>
    <w:rsid w:val="007D2E0C"/>
    <w:rsid w:val="007D405B"/>
    <w:rsid w:val="007D4EE8"/>
    <w:rsid w:val="007D602C"/>
    <w:rsid w:val="007D6284"/>
    <w:rsid w:val="007D66A0"/>
    <w:rsid w:val="007D7988"/>
    <w:rsid w:val="007E0444"/>
    <w:rsid w:val="007E0609"/>
    <w:rsid w:val="007E0D3D"/>
    <w:rsid w:val="007E3418"/>
    <w:rsid w:val="007E388A"/>
    <w:rsid w:val="007E47CC"/>
    <w:rsid w:val="007E5DA7"/>
    <w:rsid w:val="007E5ECB"/>
    <w:rsid w:val="007E6ECA"/>
    <w:rsid w:val="007E7902"/>
    <w:rsid w:val="007F022C"/>
    <w:rsid w:val="007F06C4"/>
    <w:rsid w:val="007F1A0C"/>
    <w:rsid w:val="007F26E1"/>
    <w:rsid w:val="007F2DA3"/>
    <w:rsid w:val="007F3064"/>
    <w:rsid w:val="007F3851"/>
    <w:rsid w:val="007F3E94"/>
    <w:rsid w:val="007F4973"/>
    <w:rsid w:val="007F5D45"/>
    <w:rsid w:val="007F6873"/>
    <w:rsid w:val="007F71AB"/>
    <w:rsid w:val="008008B2"/>
    <w:rsid w:val="00800917"/>
    <w:rsid w:val="00801238"/>
    <w:rsid w:val="00801C65"/>
    <w:rsid w:val="00801D90"/>
    <w:rsid w:val="0080363F"/>
    <w:rsid w:val="00803E9A"/>
    <w:rsid w:val="00804065"/>
    <w:rsid w:val="008043FA"/>
    <w:rsid w:val="00804A03"/>
    <w:rsid w:val="00805B9D"/>
    <w:rsid w:val="00806A47"/>
    <w:rsid w:val="00811ADD"/>
    <w:rsid w:val="0081290C"/>
    <w:rsid w:val="008136F5"/>
    <w:rsid w:val="00814271"/>
    <w:rsid w:val="008163D3"/>
    <w:rsid w:val="00816D5C"/>
    <w:rsid w:val="00817A74"/>
    <w:rsid w:val="00820FFB"/>
    <w:rsid w:val="0082136B"/>
    <w:rsid w:val="00821AFE"/>
    <w:rsid w:val="0082226F"/>
    <w:rsid w:val="008224FD"/>
    <w:rsid w:val="00822878"/>
    <w:rsid w:val="00824024"/>
    <w:rsid w:val="0082466B"/>
    <w:rsid w:val="00824773"/>
    <w:rsid w:val="00824806"/>
    <w:rsid w:val="00824BAB"/>
    <w:rsid w:val="00826340"/>
    <w:rsid w:val="00826C32"/>
    <w:rsid w:val="0082705C"/>
    <w:rsid w:val="008273FE"/>
    <w:rsid w:val="0082760B"/>
    <w:rsid w:val="00827A60"/>
    <w:rsid w:val="00827D94"/>
    <w:rsid w:val="008305AF"/>
    <w:rsid w:val="008308D5"/>
    <w:rsid w:val="0083173E"/>
    <w:rsid w:val="0083193E"/>
    <w:rsid w:val="00832B9A"/>
    <w:rsid w:val="008348D3"/>
    <w:rsid w:val="0083540D"/>
    <w:rsid w:val="00835532"/>
    <w:rsid w:val="00835A45"/>
    <w:rsid w:val="00835CCC"/>
    <w:rsid w:val="0083699E"/>
    <w:rsid w:val="00836EB6"/>
    <w:rsid w:val="008373C2"/>
    <w:rsid w:val="00840194"/>
    <w:rsid w:val="008405CE"/>
    <w:rsid w:val="008407D3"/>
    <w:rsid w:val="00840B6A"/>
    <w:rsid w:val="00840CB7"/>
    <w:rsid w:val="00841003"/>
    <w:rsid w:val="00842862"/>
    <w:rsid w:val="0084300E"/>
    <w:rsid w:val="008433B1"/>
    <w:rsid w:val="008446E2"/>
    <w:rsid w:val="00844893"/>
    <w:rsid w:val="00844A48"/>
    <w:rsid w:val="008458EA"/>
    <w:rsid w:val="008463DF"/>
    <w:rsid w:val="0084768A"/>
    <w:rsid w:val="00847E63"/>
    <w:rsid w:val="0085045B"/>
    <w:rsid w:val="0085093D"/>
    <w:rsid w:val="00850988"/>
    <w:rsid w:val="00851DD5"/>
    <w:rsid w:val="00852CB3"/>
    <w:rsid w:val="00852CEC"/>
    <w:rsid w:val="00854A58"/>
    <w:rsid w:val="00854F8B"/>
    <w:rsid w:val="0085686C"/>
    <w:rsid w:val="00857B03"/>
    <w:rsid w:val="00860B8D"/>
    <w:rsid w:val="00860D7D"/>
    <w:rsid w:val="00861570"/>
    <w:rsid w:val="00861F91"/>
    <w:rsid w:val="0086205D"/>
    <w:rsid w:val="00864C34"/>
    <w:rsid w:val="0086537E"/>
    <w:rsid w:val="00870156"/>
    <w:rsid w:val="008710C1"/>
    <w:rsid w:val="0087134E"/>
    <w:rsid w:val="00871D90"/>
    <w:rsid w:val="008725FB"/>
    <w:rsid w:val="008729E6"/>
    <w:rsid w:val="008730CF"/>
    <w:rsid w:val="00873C29"/>
    <w:rsid w:val="00873F03"/>
    <w:rsid w:val="0087441E"/>
    <w:rsid w:val="00874CC0"/>
    <w:rsid w:val="00875321"/>
    <w:rsid w:val="00875CF1"/>
    <w:rsid w:val="00875ECC"/>
    <w:rsid w:val="00876212"/>
    <w:rsid w:val="0087707E"/>
    <w:rsid w:val="00877428"/>
    <w:rsid w:val="008777FC"/>
    <w:rsid w:val="0088049E"/>
    <w:rsid w:val="00881533"/>
    <w:rsid w:val="00881C12"/>
    <w:rsid w:val="008824D7"/>
    <w:rsid w:val="00882B3D"/>
    <w:rsid w:val="00883119"/>
    <w:rsid w:val="00883FBB"/>
    <w:rsid w:val="0088423C"/>
    <w:rsid w:val="008858CB"/>
    <w:rsid w:val="00886111"/>
    <w:rsid w:val="00886B86"/>
    <w:rsid w:val="0088729D"/>
    <w:rsid w:val="008878C3"/>
    <w:rsid w:val="00887E11"/>
    <w:rsid w:val="00890793"/>
    <w:rsid w:val="0089086C"/>
    <w:rsid w:val="00891B03"/>
    <w:rsid w:val="00893AAB"/>
    <w:rsid w:val="00893AC7"/>
    <w:rsid w:val="00894287"/>
    <w:rsid w:val="0089490C"/>
    <w:rsid w:val="00894BFD"/>
    <w:rsid w:val="00894C1F"/>
    <w:rsid w:val="00894E7B"/>
    <w:rsid w:val="00894ECD"/>
    <w:rsid w:val="00895053"/>
    <w:rsid w:val="00895093"/>
    <w:rsid w:val="0089513C"/>
    <w:rsid w:val="008959F4"/>
    <w:rsid w:val="008960A6"/>
    <w:rsid w:val="00896158"/>
    <w:rsid w:val="00896AA8"/>
    <w:rsid w:val="008A0ACE"/>
    <w:rsid w:val="008A0EB1"/>
    <w:rsid w:val="008A4347"/>
    <w:rsid w:val="008A4769"/>
    <w:rsid w:val="008A5B33"/>
    <w:rsid w:val="008A5DAC"/>
    <w:rsid w:val="008A61F0"/>
    <w:rsid w:val="008A6551"/>
    <w:rsid w:val="008A7177"/>
    <w:rsid w:val="008B034B"/>
    <w:rsid w:val="008B0565"/>
    <w:rsid w:val="008B172F"/>
    <w:rsid w:val="008B173E"/>
    <w:rsid w:val="008B197E"/>
    <w:rsid w:val="008B29C1"/>
    <w:rsid w:val="008B29EF"/>
    <w:rsid w:val="008B3312"/>
    <w:rsid w:val="008B363A"/>
    <w:rsid w:val="008B37F0"/>
    <w:rsid w:val="008B428B"/>
    <w:rsid w:val="008B44E3"/>
    <w:rsid w:val="008B4979"/>
    <w:rsid w:val="008B4E4D"/>
    <w:rsid w:val="008B54AE"/>
    <w:rsid w:val="008B623F"/>
    <w:rsid w:val="008B669D"/>
    <w:rsid w:val="008C19C4"/>
    <w:rsid w:val="008C1FA9"/>
    <w:rsid w:val="008C1FC4"/>
    <w:rsid w:val="008C2737"/>
    <w:rsid w:val="008C2B91"/>
    <w:rsid w:val="008C3A44"/>
    <w:rsid w:val="008C422D"/>
    <w:rsid w:val="008C46C8"/>
    <w:rsid w:val="008C4A0F"/>
    <w:rsid w:val="008C5B4C"/>
    <w:rsid w:val="008C5E72"/>
    <w:rsid w:val="008C72C2"/>
    <w:rsid w:val="008D041A"/>
    <w:rsid w:val="008D0508"/>
    <w:rsid w:val="008D1A05"/>
    <w:rsid w:val="008D23AD"/>
    <w:rsid w:val="008D2D67"/>
    <w:rsid w:val="008D33F1"/>
    <w:rsid w:val="008D44B5"/>
    <w:rsid w:val="008D4B59"/>
    <w:rsid w:val="008D5C8A"/>
    <w:rsid w:val="008E03BD"/>
    <w:rsid w:val="008E0AE5"/>
    <w:rsid w:val="008E11D2"/>
    <w:rsid w:val="008E1320"/>
    <w:rsid w:val="008E1575"/>
    <w:rsid w:val="008E1A17"/>
    <w:rsid w:val="008E33BA"/>
    <w:rsid w:val="008E33E1"/>
    <w:rsid w:val="008E59A1"/>
    <w:rsid w:val="008E6865"/>
    <w:rsid w:val="008E69A2"/>
    <w:rsid w:val="008F17E5"/>
    <w:rsid w:val="008F1AFA"/>
    <w:rsid w:val="008F1DAC"/>
    <w:rsid w:val="008F37A3"/>
    <w:rsid w:val="008F4FFE"/>
    <w:rsid w:val="008F506D"/>
    <w:rsid w:val="008F592E"/>
    <w:rsid w:val="008F6178"/>
    <w:rsid w:val="008F625F"/>
    <w:rsid w:val="008F68EB"/>
    <w:rsid w:val="008F69BD"/>
    <w:rsid w:val="008F73C7"/>
    <w:rsid w:val="00900DFB"/>
    <w:rsid w:val="00901080"/>
    <w:rsid w:val="009020CE"/>
    <w:rsid w:val="00902234"/>
    <w:rsid w:val="009024AF"/>
    <w:rsid w:val="00904B18"/>
    <w:rsid w:val="00904C65"/>
    <w:rsid w:val="00906B06"/>
    <w:rsid w:val="009103CC"/>
    <w:rsid w:val="0091189B"/>
    <w:rsid w:val="00911ECA"/>
    <w:rsid w:val="0091212E"/>
    <w:rsid w:val="00912FF9"/>
    <w:rsid w:val="0091330B"/>
    <w:rsid w:val="009136FA"/>
    <w:rsid w:val="00914476"/>
    <w:rsid w:val="00914FBA"/>
    <w:rsid w:val="009150B1"/>
    <w:rsid w:val="009151BF"/>
    <w:rsid w:val="009155B0"/>
    <w:rsid w:val="00915826"/>
    <w:rsid w:val="00915B3D"/>
    <w:rsid w:val="00916B60"/>
    <w:rsid w:val="00917882"/>
    <w:rsid w:val="00920806"/>
    <w:rsid w:val="00920E89"/>
    <w:rsid w:val="00920F59"/>
    <w:rsid w:val="0092271B"/>
    <w:rsid w:val="009237B5"/>
    <w:rsid w:val="009242DE"/>
    <w:rsid w:val="009243E0"/>
    <w:rsid w:val="00924980"/>
    <w:rsid w:val="00924D25"/>
    <w:rsid w:val="00925B99"/>
    <w:rsid w:val="0092624B"/>
    <w:rsid w:val="00926295"/>
    <w:rsid w:val="009267E5"/>
    <w:rsid w:val="00926C51"/>
    <w:rsid w:val="009276BB"/>
    <w:rsid w:val="00927E85"/>
    <w:rsid w:val="00930015"/>
    <w:rsid w:val="00930DCD"/>
    <w:rsid w:val="00930F70"/>
    <w:rsid w:val="009322C8"/>
    <w:rsid w:val="00932613"/>
    <w:rsid w:val="00932C5D"/>
    <w:rsid w:val="0093342A"/>
    <w:rsid w:val="00933EDA"/>
    <w:rsid w:val="0093434E"/>
    <w:rsid w:val="0093455F"/>
    <w:rsid w:val="00935787"/>
    <w:rsid w:val="009366CA"/>
    <w:rsid w:val="009368E7"/>
    <w:rsid w:val="00936CED"/>
    <w:rsid w:val="00937978"/>
    <w:rsid w:val="00937B95"/>
    <w:rsid w:val="0094019A"/>
    <w:rsid w:val="0094024B"/>
    <w:rsid w:val="00941DB4"/>
    <w:rsid w:val="009424AA"/>
    <w:rsid w:val="009425DA"/>
    <w:rsid w:val="00943873"/>
    <w:rsid w:val="00943BD3"/>
    <w:rsid w:val="00944C01"/>
    <w:rsid w:val="00945743"/>
    <w:rsid w:val="009461A6"/>
    <w:rsid w:val="00947745"/>
    <w:rsid w:val="009478ED"/>
    <w:rsid w:val="00947AFF"/>
    <w:rsid w:val="00950FCD"/>
    <w:rsid w:val="009513C6"/>
    <w:rsid w:val="00951A33"/>
    <w:rsid w:val="009530D0"/>
    <w:rsid w:val="00953A0C"/>
    <w:rsid w:val="009549B6"/>
    <w:rsid w:val="00954F16"/>
    <w:rsid w:val="009554F5"/>
    <w:rsid w:val="00955505"/>
    <w:rsid w:val="00955C48"/>
    <w:rsid w:val="009560C0"/>
    <w:rsid w:val="009563C7"/>
    <w:rsid w:val="00956575"/>
    <w:rsid w:val="00956C97"/>
    <w:rsid w:val="0095765B"/>
    <w:rsid w:val="00957975"/>
    <w:rsid w:val="009614E1"/>
    <w:rsid w:val="0096163B"/>
    <w:rsid w:val="00961DC7"/>
    <w:rsid w:val="00961E03"/>
    <w:rsid w:val="0096221B"/>
    <w:rsid w:val="00962630"/>
    <w:rsid w:val="0096411E"/>
    <w:rsid w:val="0096465B"/>
    <w:rsid w:val="009649C0"/>
    <w:rsid w:val="00964A81"/>
    <w:rsid w:val="009654B3"/>
    <w:rsid w:val="00965CC1"/>
    <w:rsid w:val="0096640D"/>
    <w:rsid w:val="0096643A"/>
    <w:rsid w:val="00966F16"/>
    <w:rsid w:val="00967FAF"/>
    <w:rsid w:val="00970E41"/>
    <w:rsid w:val="00970E84"/>
    <w:rsid w:val="00970EE1"/>
    <w:rsid w:val="009717A5"/>
    <w:rsid w:val="00972A5B"/>
    <w:rsid w:val="0097319B"/>
    <w:rsid w:val="009731DE"/>
    <w:rsid w:val="00973953"/>
    <w:rsid w:val="00974E9E"/>
    <w:rsid w:val="009751A1"/>
    <w:rsid w:val="00975C7F"/>
    <w:rsid w:val="00976A5E"/>
    <w:rsid w:val="00980057"/>
    <w:rsid w:val="00980BCD"/>
    <w:rsid w:val="00980F65"/>
    <w:rsid w:val="00981498"/>
    <w:rsid w:val="009817C9"/>
    <w:rsid w:val="0098264A"/>
    <w:rsid w:val="009832A1"/>
    <w:rsid w:val="00984354"/>
    <w:rsid w:val="00984CC3"/>
    <w:rsid w:val="00985637"/>
    <w:rsid w:val="00986852"/>
    <w:rsid w:val="00987C86"/>
    <w:rsid w:val="00987D6A"/>
    <w:rsid w:val="00987E14"/>
    <w:rsid w:val="00991101"/>
    <w:rsid w:val="00991857"/>
    <w:rsid w:val="00991993"/>
    <w:rsid w:val="009919CA"/>
    <w:rsid w:val="00992162"/>
    <w:rsid w:val="00993235"/>
    <w:rsid w:val="009944FD"/>
    <w:rsid w:val="009946C9"/>
    <w:rsid w:val="009961D4"/>
    <w:rsid w:val="0099674D"/>
    <w:rsid w:val="00996AFD"/>
    <w:rsid w:val="0099718A"/>
    <w:rsid w:val="009A04AE"/>
    <w:rsid w:val="009A1EA0"/>
    <w:rsid w:val="009A2E5F"/>
    <w:rsid w:val="009A30AF"/>
    <w:rsid w:val="009A30B6"/>
    <w:rsid w:val="009A3514"/>
    <w:rsid w:val="009A3944"/>
    <w:rsid w:val="009A3B77"/>
    <w:rsid w:val="009A4244"/>
    <w:rsid w:val="009A4885"/>
    <w:rsid w:val="009A4BBC"/>
    <w:rsid w:val="009A5D89"/>
    <w:rsid w:val="009A6210"/>
    <w:rsid w:val="009A6320"/>
    <w:rsid w:val="009A6AB4"/>
    <w:rsid w:val="009A6AB7"/>
    <w:rsid w:val="009B00E0"/>
    <w:rsid w:val="009B17FB"/>
    <w:rsid w:val="009B420B"/>
    <w:rsid w:val="009B444B"/>
    <w:rsid w:val="009B4BFD"/>
    <w:rsid w:val="009B4DE9"/>
    <w:rsid w:val="009B6E5C"/>
    <w:rsid w:val="009B6FB8"/>
    <w:rsid w:val="009B78EA"/>
    <w:rsid w:val="009B79E6"/>
    <w:rsid w:val="009C011A"/>
    <w:rsid w:val="009C03BE"/>
    <w:rsid w:val="009C07A3"/>
    <w:rsid w:val="009C11DE"/>
    <w:rsid w:val="009C1665"/>
    <w:rsid w:val="009C2228"/>
    <w:rsid w:val="009C280E"/>
    <w:rsid w:val="009C3A0C"/>
    <w:rsid w:val="009C50E8"/>
    <w:rsid w:val="009C56A5"/>
    <w:rsid w:val="009C5C1D"/>
    <w:rsid w:val="009C5FE8"/>
    <w:rsid w:val="009C65D4"/>
    <w:rsid w:val="009C7111"/>
    <w:rsid w:val="009C7FD3"/>
    <w:rsid w:val="009D053A"/>
    <w:rsid w:val="009D2458"/>
    <w:rsid w:val="009D25A1"/>
    <w:rsid w:val="009D397A"/>
    <w:rsid w:val="009D3AF4"/>
    <w:rsid w:val="009D3E65"/>
    <w:rsid w:val="009D483A"/>
    <w:rsid w:val="009D5661"/>
    <w:rsid w:val="009D59FD"/>
    <w:rsid w:val="009D5DE9"/>
    <w:rsid w:val="009D5E7C"/>
    <w:rsid w:val="009D75A1"/>
    <w:rsid w:val="009D78DA"/>
    <w:rsid w:val="009D7BCD"/>
    <w:rsid w:val="009D7E62"/>
    <w:rsid w:val="009E00C2"/>
    <w:rsid w:val="009E0D9E"/>
    <w:rsid w:val="009E11E0"/>
    <w:rsid w:val="009E18EE"/>
    <w:rsid w:val="009E2FC2"/>
    <w:rsid w:val="009E44B3"/>
    <w:rsid w:val="009E4EA6"/>
    <w:rsid w:val="009E532C"/>
    <w:rsid w:val="009E5623"/>
    <w:rsid w:val="009E69BD"/>
    <w:rsid w:val="009E6D9C"/>
    <w:rsid w:val="009E7692"/>
    <w:rsid w:val="009E79D7"/>
    <w:rsid w:val="009E7AB1"/>
    <w:rsid w:val="009F0C8D"/>
    <w:rsid w:val="009F0EB7"/>
    <w:rsid w:val="009F1A4C"/>
    <w:rsid w:val="009F1ADC"/>
    <w:rsid w:val="009F3209"/>
    <w:rsid w:val="009F4601"/>
    <w:rsid w:val="009F476B"/>
    <w:rsid w:val="009F47D0"/>
    <w:rsid w:val="009F6766"/>
    <w:rsid w:val="009F6A61"/>
    <w:rsid w:val="009F6B24"/>
    <w:rsid w:val="009F6D0D"/>
    <w:rsid w:val="009F7681"/>
    <w:rsid w:val="00A00BA5"/>
    <w:rsid w:val="00A0234E"/>
    <w:rsid w:val="00A0454E"/>
    <w:rsid w:val="00A062B8"/>
    <w:rsid w:val="00A06650"/>
    <w:rsid w:val="00A07184"/>
    <w:rsid w:val="00A1002E"/>
    <w:rsid w:val="00A101AC"/>
    <w:rsid w:val="00A10219"/>
    <w:rsid w:val="00A1032F"/>
    <w:rsid w:val="00A10A83"/>
    <w:rsid w:val="00A10EDB"/>
    <w:rsid w:val="00A11750"/>
    <w:rsid w:val="00A1177E"/>
    <w:rsid w:val="00A11836"/>
    <w:rsid w:val="00A12516"/>
    <w:rsid w:val="00A12EBD"/>
    <w:rsid w:val="00A1393F"/>
    <w:rsid w:val="00A1429D"/>
    <w:rsid w:val="00A14989"/>
    <w:rsid w:val="00A1519F"/>
    <w:rsid w:val="00A15CD4"/>
    <w:rsid w:val="00A1653A"/>
    <w:rsid w:val="00A1685D"/>
    <w:rsid w:val="00A17D61"/>
    <w:rsid w:val="00A2096A"/>
    <w:rsid w:val="00A20F52"/>
    <w:rsid w:val="00A212FD"/>
    <w:rsid w:val="00A225CF"/>
    <w:rsid w:val="00A267A6"/>
    <w:rsid w:val="00A26A11"/>
    <w:rsid w:val="00A278AD"/>
    <w:rsid w:val="00A30280"/>
    <w:rsid w:val="00A30BDF"/>
    <w:rsid w:val="00A30F56"/>
    <w:rsid w:val="00A32127"/>
    <w:rsid w:val="00A3231D"/>
    <w:rsid w:val="00A3234D"/>
    <w:rsid w:val="00A3290D"/>
    <w:rsid w:val="00A33AFE"/>
    <w:rsid w:val="00A33C80"/>
    <w:rsid w:val="00A33FAA"/>
    <w:rsid w:val="00A34131"/>
    <w:rsid w:val="00A34722"/>
    <w:rsid w:val="00A35208"/>
    <w:rsid w:val="00A35A0A"/>
    <w:rsid w:val="00A35CD2"/>
    <w:rsid w:val="00A371A5"/>
    <w:rsid w:val="00A37725"/>
    <w:rsid w:val="00A37B27"/>
    <w:rsid w:val="00A409EE"/>
    <w:rsid w:val="00A40CC7"/>
    <w:rsid w:val="00A412AB"/>
    <w:rsid w:val="00A42C75"/>
    <w:rsid w:val="00A43B19"/>
    <w:rsid w:val="00A450DA"/>
    <w:rsid w:val="00A461FB"/>
    <w:rsid w:val="00A4696F"/>
    <w:rsid w:val="00A5107E"/>
    <w:rsid w:val="00A511C1"/>
    <w:rsid w:val="00A51253"/>
    <w:rsid w:val="00A51988"/>
    <w:rsid w:val="00A519CC"/>
    <w:rsid w:val="00A51B29"/>
    <w:rsid w:val="00A51C3C"/>
    <w:rsid w:val="00A52775"/>
    <w:rsid w:val="00A5329E"/>
    <w:rsid w:val="00A55E2F"/>
    <w:rsid w:val="00A565AE"/>
    <w:rsid w:val="00A56720"/>
    <w:rsid w:val="00A60BB5"/>
    <w:rsid w:val="00A61326"/>
    <w:rsid w:val="00A61673"/>
    <w:rsid w:val="00A61F0B"/>
    <w:rsid w:val="00A61F29"/>
    <w:rsid w:val="00A62996"/>
    <w:rsid w:val="00A62EA0"/>
    <w:rsid w:val="00A6313C"/>
    <w:rsid w:val="00A631C3"/>
    <w:rsid w:val="00A64A55"/>
    <w:rsid w:val="00A64DDA"/>
    <w:rsid w:val="00A65010"/>
    <w:rsid w:val="00A65031"/>
    <w:rsid w:val="00A6562D"/>
    <w:rsid w:val="00A65B55"/>
    <w:rsid w:val="00A65E46"/>
    <w:rsid w:val="00A66BF3"/>
    <w:rsid w:val="00A6779A"/>
    <w:rsid w:val="00A679BF"/>
    <w:rsid w:val="00A7067F"/>
    <w:rsid w:val="00A73A5D"/>
    <w:rsid w:val="00A73B42"/>
    <w:rsid w:val="00A73D0C"/>
    <w:rsid w:val="00A74411"/>
    <w:rsid w:val="00A74589"/>
    <w:rsid w:val="00A75119"/>
    <w:rsid w:val="00A75244"/>
    <w:rsid w:val="00A75461"/>
    <w:rsid w:val="00A75466"/>
    <w:rsid w:val="00A75BF8"/>
    <w:rsid w:val="00A75C20"/>
    <w:rsid w:val="00A76733"/>
    <w:rsid w:val="00A769FB"/>
    <w:rsid w:val="00A76F8D"/>
    <w:rsid w:val="00A775FC"/>
    <w:rsid w:val="00A7792A"/>
    <w:rsid w:val="00A77F9A"/>
    <w:rsid w:val="00A806AA"/>
    <w:rsid w:val="00A81528"/>
    <w:rsid w:val="00A81743"/>
    <w:rsid w:val="00A81F2C"/>
    <w:rsid w:val="00A820CB"/>
    <w:rsid w:val="00A82A83"/>
    <w:rsid w:val="00A83477"/>
    <w:rsid w:val="00A839E6"/>
    <w:rsid w:val="00A8472C"/>
    <w:rsid w:val="00A8542C"/>
    <w:rsid w:val="00A85514"/>
    <w:rsid w:val="00A877A7"/>
    <w:rsid w:val="00A878D3"/>
    <w:rsid w:val="00A8798A"/>
    <w:rsid w:val="00A90CB5"/>
    <w:rsid w:val="00A912EB"/>
    <w:rsid w:val="00A922B8"/>
    <w:rsid w:val="00A92516"/>
    <w:rsid w:val="00A927D3"/>
    <w:rsid w:val="00A92F77"/>
    <w:rsid w:val="00A9314D"/>
    <w:rsid w:val="00A9503F"/>
    <w:rsid w:val="00A95D85"/>
    <w:rsid w:val="00A95FDD"/>
    <w:rsid w:val="00A96A8C"/>
    <w:rsid w:val="00A970C5"/>
    <w:rsid w:val="00AA00EA"/>
    <w:rsid w:val="00AA128A"/>
    <w:rsid w:val="00AA15D5"/>
    <w:rsid w:val="00AA16F8"/>
    <w:rsid w:val="00AA23B1"/>
    <w:rsid w:val="00AA32CE"/>
    <w:rsid w:val="00AA564C"/>
    <w:rsid w:val="00AA616F"/>
    <w:rsid w:val="00AA7E57"/>
    <w:rsid w:val="00AB080F"/>
    <w:rsid w:val="00AB0CBF"/>
    <w:rsid w:val="00AB1BAE"/>
    <w:rsid w:val="00AB1CEA"/>
    <w:rsid w:val="00AB1F9A"/>
    <w:rsid w:val="00AB2036"/>
    <w:rsid w:val="00AB384F"/>
    <w:rsid w:val="00AB3C56"/>
    <w:rsid w:val="00AB4736"/>
    <w:rsid w:val="00AB4830"/>
    <w:rsid w:val="00AB4C3D"/>
    <w:rsid w:val="00AB4DBF"/>
    <w:rsid w:val="00AB51B3"/>
    <w:rsid w:val="00AB56CB"/>
    <w:rsid w:val="00AB6DC9"/>
    <w:rsid w:val="00AC060C"/>
    <w:rsid w:val="00AC077F"/>
    <w:rsid w:val="00AC0DD7"/>
    <w:rsid w:val="00AC107A"/>
    <w:rsid w:val="00AC3622"/>
    <w:rsid w:val="00AC38A2"/>
    <w:rsid w:val="00AC3A29"/>
    <w:rsid w:val="00AC419A"/>
    <w:rsid w:val="00AC4641"/>
    <w:rsid w:val="00AC5412"/>
    <w:rsid w:val="00AC566B"/>
    <w:rsid w:val="00AC6D45"/>
    <w:rsid w:val="00AC715B"/>
    <w:rsid w:val="00AC7D19"/>
    <w:rsid w:val="00AD028A"/>
    <w:rsid w:val="00AD07D0"/>
    <w:rsid w:val="00AD0B98"/>
    <w:rsid w:val="00AD109C"/>
    <w:rsid w:val="00AD1BC4"/>
    <w:rsid w:val="00AD2B47"/>
    <w:rsid w:val="00AD3026"/>
    <w:rsid w:val="00AD32DB"/>
    <w:rsid w:val="00AD49B0"/>
    <w:rsid w:val="00AD5C68"/>
    <w:rsid w:val="00AD6650"/>
    <w:rsid w:val="00AD7600"/>
    <w:rsid w:val="00AD773C"/>
    <w:rsid w:val="00AE006E"/>
    <w:rsid w:val="00AE06C5"/>
    <w:rsid w:val="00AE1D75"/>
    <w:rsid w:val="00AE2591"/>
    <w:rsid w:val="00AE25B8"/>
    <w:rsid w:val="00AE2997"/>
    <w:rsid w:val="00AE2B04"/>
    <w:rsid w:val="00AE2C5B"/>
    <w:rsid w:val="00AE4AB4"/>
    <w:rsid w:val="00AE517F"/>
    <w:rsid w:val="00AE53A0"/>
    <w:rsid w:val="00AE54C6"/>
    <w:rsid w:val="00AE5885"/>
    <w:rsid w:val="00AE6A4A"/>
    <w:rsid w:val="00AE6AB6"/>
    <w:rsid w:val="00AE6C2D"/>
    <w:rsid w:val="00AE74E6"/>
    <w:rsid w:val="00AE78CA"/>
    <w:rsid w:val="00AE79EF"/>
    <w:rsid w:val="00AF0577"/>
    <w:rsid w:val="00AF0A11"/>
    <w:rsid w:val="00AF1749"/>
    <w:rsid w:val="00AF1872"/>
    <w:rsid w:val="00AF1F5B"/>
    <w:rsid w:val="00AF2A2E"/>
    <w:rsid w:val="00AF2D4A"/>
    <w:rsid w:val="00AF64C1"/>
    <w:rsid w:val="00AF703F"/>
    <w:rsid w:val="00AF7076"/>
    <w:rsid w:val="00AF7336"/>
    <w:rsid w:val="00AF767A"/>
    <w:rsid w:val="00B00202"/>
    <w:rsid w:val="00B002D2"/>
    <w:rsid w:val="00B00A40"/>
    <w:rsid w:val="00B01776"/>
    <w:rsid w:val="00B01802"/>
    <w:rsid w:val="00B019C9"/>
    <w:rsid w:val="00B02DB7"/>
    <w:rsid w:val="00B036A8"/>
    <w:rsid w:val="00B03EC0"/>
    <w:rsid w:val="00B0477F"/>
    <w:rsid w:val="00B060A5"/>
    <w:rsid w:val="00B06170"/>
    <w:rsid w:val="00B06BA2"/>
    <w:rsid w:val="00B07DA4"/>
    <w:rsid w:val="00B103B4"/>
    <w:rsid w:val="00B11468"/>
    <w:rsid w:val="00B1240B"/>
    <w:rsid w:val="00B12AB1"/>
    <w:rsid w:val="00B13CA4"/>
    <w:rsid w:val="00B1502E"/>
    <w:rsid w:val="00B15C99"/>
    <w:rsid w:val="00B15EE2"/>
    <w:rsid w:val="00B1626B"/>
    <w:rsid w:val="00B16E23"/>
    <w:rsid w:val="00B17B2F"/>
    <w:rsid w:val="00B211D8"/>
    <w:rsid w:val="00B21ABD"/>
    <w:rsid w:val="00B25611"/>
    <w:rsid w:val="00B257A1"/>
    <w:rsid w:val="00B2667E"/>
    <w:rsid w:val="00B26D34"/>
    <w:rsid w:val="00B277AB"/>
    <w:rsid w:val="00B27B7E"/>
    <w:rsid w:val="00B27EAF"/>
    <w:rsid w:val="00B301AE"/>
    <w:rsid w:val="00B306CB"/>
    <w:rsid w:val="00B30B85"/>
    <w:rsid w:val="00B30D5A"/>
    <w:rsid w:val="00B3166F"/>
    <w:rsid w:val="00B32BDB"/>
    <w:rsid w:val="00B32EB5"/>
    <w:rsid w:val="00B3378B"/>
    <w:rsid w:val="00B33CE0"/>
    <w:rsid w:val="00B35049"/>
    <w:rsid w:val="00B356EF"/>
    <w:rsid w:val="00B35955"/>
    <w:rsid w:val="00B35B32"/>
    <w:rsid w:val="00B35DC7"/>
    <w:rsid w:val="00B35E0F"/>
    <w:rsid w:val="00B3654B"/>
    <w:rsid w:val="00B379CE"/>
    <w:rsid w:val="00B37CAD"/>
    <w:rsid w:val="00B4058C"/>
    <w:rsid w:val="00B4105A"/>
    <w:rsid w:val="00B412A5"/>
    <w:rsid w:val="00B4153B"/>
    <w:rsid w:val="00B41679"/>
    <w:rsid w:val="00B41712"/>
    <w:rsid w:val="00B41A51"/>
    <w:rsid w:val="00B43666"/>
    <w:rsid w:val="00B449A7"/>
    <w:rsid w:val="00B45014"/>
    <w:rsid w:val="00B463FF"/>
    <w:rsid w:val="00B47F51"/>
    <w:rsid w:val="00B47FBF"/>
    <w:rsid w:val="00B50129"/>
    <w:rsid w:val="00B504E0"/>
    <w:rsid w:val="00B50FC3"/>
    <w:rsid w:val="00B51522"/>
    <w:rsid w:val="00B52493"/>
    <w:rsid w:val="00B52F95"/>
    <w:rsid w:val="00B5329B"/>
    <w:rsid w:val="00B555EE"/>
    <w:rsid w:val="00B55C20"/>
    <w:rsid w:val="00B561CC"/>
    <w:rsid w:val="00B5686C"/>
    <w:rsid w:val="00B56C49"/>
    <w:rsid w:val="00B5778C"/>
    <w:rsid w:val="00B6277D"/>
    <w:rsid w:val="00B62857"/>
    <w:rsid w:val="00B63AB2"/>
    <w:rsid w:val="00B63F65"/>
    <w:rsid w:val="00B64DB2"/>
    <w:rsid w:val="00B64DD1"/>
    <w:rsid w:val="00B651C8"/>
    <w:rsid w:val="00B65287"/>
    <w:rsid w:val="00B6571A"/>
    <w:rsid w:val="00B6626D"/>
    <w:rsid w:val="00B66794"/>
    <w:rsid w:val="00B66A7E"/>
    <w:rsid w:val="00B66C1A"/>
    <w:rsid w:val="00B70520"/>
    <w:rsid w:val="00B70E06"/>
    <w:rsid w:val="00B71EBD"/>
    <w:rsid w:val="00B74EBF"/>
    <w:rsid w:val="00B75A09"/>
    <w:rsid w:val="00B76424"/>
    <w:rsid w:val="00B7696D"/>
    <w:rsid w:val="00B77760"/>
    <w:rsid w:val="00B80015"/>
    <w:rsid w:val="00B801A9"/>
    <w:rsid w:val="00B8021D"/>
    <w:rsid w:val="00B82129"/>
    <w:rsid w:val="00B82CD1"/>
    <w:rsid w:val="00B8315B"/>
    <w:rsid w:val="00B8584F"/>
    <w:rsid w:val="00B86535"/>
    <w:rsid w:val="00B865B3"/>
    <w:rsid w:val="00B873DA"/>
    <w:rsid w:val="00B87875"/>
    <w:rsid w:val="00B90A9B"/>
    <w:rsid w:val="00B912C8"/>
    <w:rsid w:val="00B914AE"/>
    <w:rsid w:val="00B917CA"/>
    <w:rsid w:val="00B919A9"/>
    <w:rsid w:val="00B91ACA"/>
    <w:rsid w:val="00B93468"/>
    <w:rsid w:val="00B9376E"/>
    <w:rsid w:val="00B93EF3"/>
    <w:rsid w:val="00B940A4"/>
    <w:rsid w:val="00B94C4D"/>
    <w:rsid w:val="00B95909"/>
    <w:rsid w:val="00B97483"/>
    <w:rsid w:val="00B977C8"/>
    <w:rsid w:val="00BA08B2"/>
    <w:rsid w:val="00BA0A82"/>
    <w:rsid w:val="00BA109E"/>
    <w:rsid w:val="00BA17B1"/>
    <w:rsid w:val="00BA1AD8"/>
    <w:rsid w:val="00BA1F1B"/>
    <w:rsid w:val="00BA26F8"/>
    <w:rsid w:val="00BA29A1"/>
    <w:rsid w:val="00BA2F17"/>
    <w:rsid w:val="00BA44B6"/>
    <w:rsid w:val="00BA4DD6"/>
    <w:rsid w:val="00BA5338"/>
    <w:rsid w:val="00BA55A4"/>
    <w:rsid w:val="00BA7F92"/>
    <w:rsid w:val="00BA7FAB"/>
    <w:rsid w:val="00BB01D1"/>
    <w:rsid w:val="00BB046D"/>
    <w:rsid w:val="00BB0CEF"/>
    <w:rsid w:val="00BB0D90"/>
    <w:rsid w:val="00BB1587"/>
    <w:rsid w:val="00BB1703"/>
    <w:rsid w:val="00BB2D4E"/>
    <w:rsid w:val="00BB2EEB"/>
    <w:rsid w:val="00BB31BD"/>
    <w:rsid w:val="00BB3ABB"/>
    <w:rsid w:val="00BB3BBE"/>
    <w:rsid w:val="00BB4DAB"/>
    <w:rsid w:val="00BB6A7F"/>
    <w:rsid w:val="00BB713C"/>
    <w:rsid w:val="00BB7353"/>
    <w:rsid w:val="00BC11EF"/>
    <w:rsid w:val="00BC2B7E"/>
    <w:rsid w:val="00BC3345"/>
    <w:rsid w:val="00BC5063"/>
    <w:rsid w:val="00BC5251"/>
    <w:rsid w:val="00BC55FD"/>
    <w:rsid w:val="00BC6BC0"/>
    <w:rsid w:val="00BC7C0B"/>
    <w:rsid w:val="00BD09D2"/>
    <w:rsid w:val="00BD0E63"/>
    <w:rsid w:val="00BD1853"/>
    <w:rsid w:val="00BD2B1A"/>
    <w:rsid w:val="00BD2CD4"/>
    <w:rsid w:val="00BD3D15"/>
    <w:rsid w:val="00BD40BA"/>
    <w:rsid w:val="00BD5873"/>
    <w:rsid w:val="00BD5EA5"/>
    <w:rsid w:val="00BD6659"/>
    <w:rsid w:val="00BD759E"/>
    <w:rsid w:val="00BE1368"/>
    <w:rsid w:val="00BE15BA"/>
    <w:rsid w:val="00BE1F15"/>
    <w:rsid w:val="00BE2D39"/>
    <w:rsid w:val="00BE345D"/>
    <w:rsid w:val="00BE38B1"/>
    <w:rsid w:val="00BE38FF"/>
    <w:rsid w:val="00BE41C2"/>
    <w:rsid w:val="00BE44D8"/>
    <w:rsid w:val="00BE44F1"/>
    <w:rsid w:val="00BE4541"/>
    <w:rsid w:val="00BE46E5"/>
    <w:rsid w:val="00BE4A72"/>
    <w:rsid w:val="00BE4E3C"/>
    <w:rsid w:val="00BE57EE"/>
    <w:rsid w:val="00BE5857"/>
    <w:rsid w:val="00BE607E"/>
    <w:rsid w:val="00BE64C4"/>
    <w:rsid w:val="00BE6F11"/>
    <w:rsid w:val="00BE7D2C"/>
    <w:rsid w:val="00BF0095"/>
    <w:rsid w:val="00BF043A"/>
    <w:rsid w:val="00BF22A5"/>
    <w:rsid w:val="00BF2CC0"/>
    <w:rsid w:val="00BF2DB0"/>
    <w:rsid w:val="00BF3376"/>
    <w:rsid w:val="00BF3530"/>
    <w:rsid w:val="00BF630C"/>
    <w:rsid w:val="00BF6D1F"/>
    <w:rsid w:val="00C000E6"/>
    <w:rsid w:val="00C017EF"/>
    <w:rsid w:val="00C01FC9"/>
    <w:rsid w:val="00C02506"/>
    <w:rsid w:val="00C032F5"/>
    <w:rsid w:val="00C05022"/>
    <w:rsid w:val="00C065BC"/>
    <w:rsid w:val="00C07CA5"/>
    <w:rsid w:val="00C10331"/>
    <w:rsid w:val="00C1100D"/>
    <w:rsid w:val="00C121B0"/>
    <w:rsid w:val="00C13A83"/>
    <w:rsid w:val="00C149B6"/>
    <w:rsid w:val="00C1599F"/>
    <w:rsid w:val="00C16649"/>
    <w:rsid w:val="00C17B83"/>
    <w:rsid w:val="00C2065B"/>
    <w:rsid w:val="00C20CC5"/>
    <w:rsid w:val="00C216ED"/>
    <w:rsid w:val="00C22014"/>
    <w:rsid w:val="00C225ED"/>
    <w:rsid w:val="00C22657"/>
    <w:rsid w:val="00C22814"/>
    <w:rsid w:val="00C2325C"/>
    <w:rsid w:val="00C23C44"/>
    <w:rsid w:val="00C23F05"/>
    <w:rsid w:val="00C24580"/>
    <w:rsid w:val="00C24842"/>
    <w:rsid w:val="00C24C00"/>
    <w:rsid w:val="00C263DC"/>
    <w:rsid w:val="00C273FA"/>
    <w:rsid w:val="00C278F6"/>
    <w:rsid w:val="00C27F62"/>
    <w:rsid w:val="00C27FDE"/>
    <w:rsid w:val="00C315A8"/>
    <w:rsid w:val="00C3275B"/>
    <w:rsid w:val="00C335C3"/>
    <w:rsid w:val="00C339AF"/>
    <w:rsid w:val="00C36081"/>
    <w:rsid w:val="00C36192"/>
    <w:rsid w:val="00C36564"/>
    <w:rsid w:val="00C368A4"/>
    <w:rsid w:val="00C36C58"/>
    <w:rsid w:val="00C3779D"/>
    <w:rsid w:val="00C410A7"/>
    <w:rsid w:val="00C41292"/>
    <w:rsid w:val="00C413A5"/>
    <w:rsid w:val="00C41B11"/>
    <w:rsid w:val="00C41BB9"/>
    <w:rsid w:val="00C428FB"/>
    <w:rsid w:val="00C42B68"/>
    <w:rsid w:val="00C443BF"/>
    <w:rsid w:val="00C457C8"/>
    <w:rsid w:val="00C45CDE"/>
    <w:rsid w:val="00C46584"/>
    <w:rsid w:val="00C46A0F"/>
    <w:rsid w:val="00C4767B"/>
    <w:rsid w:val="00C47FC5"/>
    <w:rsid w:val="00C50A51"/>
    <w:rsid w:val="00C50F29"/>
    <w:rsid w:val="00C5352A"/>
    <w:rsid w:val="00C536F4"/>
    <w:rsid w:val="00C53A48"/>
    <w:rsid w:val="00C53C47"/>
    <w:rsid w:val="00C53FAB"/>
    <w:rsid w:val="00C53FEE"/>
    <w:rsid w:val="00C54C67"/>
    <w:rsid w:val="00C559A5"/>
    <w:rsid w:val="00C56962"/>
    <w:rsid w:val="00C56F8C"/>
    <w:rsid w:val="00C57134"/>
    <w:rsid w:val="00C602AC"/>
    <w:rsid w:val="00C60667"/>
    <w:rsid w:val="00C61FD5"/>
    <w:rsid w:val="00C641F2"/>
    <w:rsid w:val="00C6434F"/>
    <w:rsid w:val="00C644FD"/>
    <w:rsid w:val="00C6493B"/>
    <w:rsid w:val="00C64AA0"/>
    <w:rsid w:val="00C665F0"/>
    <w:rsid w:val="00C67B57"/>
    <w:rsid w:val="00C67ED2"/>
    <w:rsid w:val="00C71C58"/>
    <w:rsid w:val="00C71EAA"/>
    <w:rsid w:val="00C72453"/>
    <w:rsid w:val="00C74B37"/>
    <w:rsid w:val="00C7611E"/>
    <w:rsid w:val="00C773D6"/>
    <w:rsid w:val="00C80372"/>
    <w:rsid w:val="00C803E5"/>
    <w:rsid w:val="00C803EA"/>
    <w:rsid w:val="00C825F4"/>
    <w:rsid w:val="00C83304"/>
    <w:rsid w:val="00C83708"/>
    <w:rsid w:val="00C83795"/>
    <w:rsid w:val="00C847E7"/>
    <w:rsid w:val="00C84D63"/>
    <w:rsid w:val="00C84D9F"/>
    <w:rsid w:val="00C856F6"/>
    <w:rsid w:val="00C85D7C"/>
    <w:rsid w:val="00C86294"/>
    <w:rsid w:val="00C87165"/>
    <w:rsid w:val="00C90010"/>
    <w:rsid w:val="00C9098D"/>
    <w:rsid w:val="00C911A5"/>
    <w:rsid w:val="00C91770"/>
    <w:rsid w:val="00C92B09"/>
    <w:rsid w:val="00C93480"/>
    <w:rsid w:val="00C93B0E"/>
    <w:rsid w:val="00C93F6E"/>
    <w:rsid w:val="00C9415D"/>
    <w:rsid w:val="00C942DA"/>
    <w:rsid w:val="00C94999"/>
    <w:rsid w:val="00C95647"/>
    <w:rsid w:val="00C96D53"/>
    <w:rsid w:val="00C97FB9"/>
    <w:rsid w:val="00CA0066"/>
    <w:rsid w:val="00CA0923"/>
    <w:rsid w:val="00CA0989"/>
    <w:rsid w:val="00CA1EBD"/>
    <w:rsid w:val="00CA279F"/>
    <w:rsid w:val="00CA404D"/>
    <w:rsid w:val="00CA4B1E"/>
    <w:rsid w:val="00CA4D24"/>
    <w:rsid w:val="00CA55E7"/>
    <w:rsid w:val="00CA7FC0"/>
    <w:rsid w:val="00CB09E3"/>
    <w:rsid w:val="00CB0A3C"/>
    <w:rsid w:val="00CB0E66"/>
    <w:rsid w:val="00CB13A4"/>
    <w:rsid w:val="00CB3181"/>
    <w:rsid w:val="00CB3808"/>
    <w:rsid w:val="00CB5813"/>
    <w:rsid w:val="00CB5F95"/>
    <w:rsid w:val="00CB6045"/>
    <w:rsid w:val="00CB62BC"/>
    <w:rsid w:val="00CB62D7"/>
    <w:rsid w:val="00CB662F"/>
    <w:rsid w:val="00CB69F9"/>
    <w:rsid w:val="00CB6C19"/>
    <w:rsid w:val="00CB7796"/>
    <w:rsid w:val="00CB7908"/>
    <w:rsid w:val="00CB7966"/>
    <w:rsid w:val="00CB7BCE"/>
    <w:rsid w:val="00CB7DEC"/>
    <w:rsid w:val="00CC084C"/>
    <w:rsid w:val="00CC08EE"/>
    <w:rsid w:val="00CC11B6"/>
    <w:rsid w:val="00CC1ED8"/>
    <w:rsid w:val="00CC23A4"/>
    <w:rsid w:val="00CC43C6"/>
    <w:rsid w:val="00CC4BEA"/>
    <w:rsid w:val="00CC4F04"/>
    <w:rsid w:val="00CC59B0"/>
    <w:rsid w:val="00CC5FAF"/>
    <w:rsid w:val="00CC645F"/>
    <w:rsid w:val="00CC6CE2"/>
    <w:rsid w:val="00CD05C2"/>
    <w:rsid w:val="00CD0E6A"/>
    <w:rsid w:val="00CD0F9A"/>
    <w:rsid w:val="00CD1D2F"/>
    <w:rsid w:val="00CD2562"/>
    <w:rsid w:val="00CD339D"/>
    <w:rsid w:val="00CD35E6"/>
    <w:rsid w:val="00CD3ADF"/>
    <w:rsid w:val="00CD5474"/>
    <w:rsid w:val="00CD63C9"/>
    <w:rsid w:val="00CD64AB"/>
    <w:rsid w:val="00CD66A5"/>
    <w:rsid w:val="00CD6715"/>
    <w:rsid w:val="00CD6734"/>
    <w:rsid w:val="00CD756D"/>
    <w:rsid w:val="00CE08FE"/>
    <w:rsid w:val="00CE099A"/>
    <w:rsid w:val="00CE0E97"/>
    <w:rsid w:val="00CE0EDC"/>
    <w:rsid w:val="00CE22CF"/>
    <w:rsid w:val="00CE37CE"/>
    <w:rsid w:val="00CE47CA"/>
    <w:rsid w:val="00CE4DB8"/>
    <w:rsid w:val="00CE4FE2"/>
    <w:rsid w:val="00CE5359"/>
    <w:rsid w:val="00CE5D77"/>
    <w:rsid w:val="00CE683C"/>
    <w:rsid w:val="00CE6E48"/>
    <w:rsid w:val="00CE72E7"/>
    <w:rsid w:val="00CF1278"/>
    <w:rsid w:val="00CF1448"/>
    <w:rsid w:val="00CF1AAE"/>
    <w:rsid w:val="00CF2E14"/>
    <w:rsid w:val="00CF34D7"/>
    <w:rsid w:val="00CF363D"/>
    <w:rsid w:val="00CF3796"/>
    <w:rsid w:val="00CF4315"/>
    <w:rsid w:val="00CF6915"/>
    <w:rsid w:val="00CF6E88"/>
    <w:rsid w:val="00D00D55"/>
    <w:rsid w:val="00D01226"/>
    <w:rsid w:val="00D01C96"/>
    <w:rsid w:val="00D022DE"/>
    <w:rsid w:val="00D024B7"/>
    <w:rsid w:val="00D037E3"/>
    <w:rsid w:val="00D0482E"/>
    <w:rsid w:val="00D0497A"/>
    <w:rsid w:val="00D05BAF"/>
    <w:rsid w:val="00D0629E"/>
    <w:rsid w:val="00D070C3"/>
    <w:rsid w:val="00D075B3"/>
    <w:rsid w:val="00D07AD7"/>
    <w:rsid w:val="00D10B86"/>
    <w:rsid w:val="00D11257"/>
    <w:rsid w:val="00D1131E"/>
    <w:rsid w:val="00D12256"/>
    <w:rsid w:val="00D123DD"/>
    <w:rsid w:val="00D13E4E"/>
    <w:rsid w:val="00D147C8"/>
    <w:rsid w:val="00D14A06"/>
    <w:rsid w:val="00D14AAC"/>
    <w:rsid w:val="00D14BE0"/>
    <w:rsid w:val="00D15343"/>
    <w:rsid w:val="00D153CE"/>
    <w:rsid w:val="00D15728"/>
    <w:rsid w:val="00D159DD"/>
    <w:rsid w:val="00D15E8A"/>
    <w:rsid w:val="00D165E4"/>
    <w:rsid w:val="00D16C59"/>
    <w:rsid w:val="00D205DF"/>
    <w:rsid w:val="00D21B0D"/>
    <w:rsid w:val="00D21BBD"/>
    <w:rsid w:val="00D2244E"/>
    <w:rsid w:val="00D229C3"/>
    <w:rsid w:val="00D22E15"/>
    <w:rsid w:val="00D23BE4"/>
    <w:rsid w:val="00D23C01"/>
    <w:rsid w:val="00D23C06"/>
    <w:rsid w:val="00D24340"/>
    <w:rsid w:val="00D244D0"/>
    <w:rsid w:val="00D269FE"/>
    <w:rsid w:val="00D26C2E"/>
    <w:rsid w:val="00D2742B"/>
    <w:rsid w:val="00D30251"/>
    <w:rsid w:val="00D312F6"/>
    <w:rsid w:val="00D31BC4"/>
    <w:rsid w:val="00D31F96"/>
    <w:rsid w:val="00D32034"/>
    <w:rsid w:val="00D32268"/>
    <w:rsid w:val="00D32372"/>
    <w:rsid w:val="00D32585"/>
    <w:rsid w:val="00D32E7F"/>
    <w:rsid w:val="00D33626"/>
    <w:rsid w:val="00D3402F"/>
    <w:rsid w:val="00D34885"/>
    <w:rsid w:val="00D35928"/>
    <w:rsid w:val="00D371FE"/>
    <w:rsid w:val="00D3779D"/>
    <w:rsid w:val="00D40106"/>
    <w:rsid w:val="00D401A3"/>
    <w:rsid w:val="00D41E48"/>
    <w:rsid w:val="00D41F78"/>
    <w:rsid w:val="00D42E75"/>
    <w:rsid w:val="00D441EA"/>
    <w:rsid w:val="00D45A45"/>
    <w:rsid w:val="00D474AD"/>
    <w:rsid w:val="00D4755C"/>
    <w:rsid w:val="00D5094C"/>
    <w:rsid w:val="00D50AA3"/>
    <w:rsid w:val="00D50ABE"/>
    <w:rsid w:val="00D50C74"/>
    <w:rsid w:val="00D510E3"/>
    <w:rsid w:val="00D51AB7"/>
    <w:rsid w:val="00D51EF2"/>
    <w:rsid w:val="00D522F8"/>
    <w:rsid w:val="00D53C08"/>
    <w:rsid w:val="00D53C3A"/>
    <w:rsid w:val="00D53D61"/>
    <w:rsid w:val="00D5458D"/>
    <w:rsid w:val="00D54FEB"/>
    <w:rsid w:val="00D55D05"/>
    <w:rsid w:val="00D55D19"/>
    <w:rsid w:val="00D6013C"/>
    <w:rsid w:val="00D608EA"/>
    <w:rsid w:val="00D60CF3"/>
    <w:rsid w:val="00D628AF"/>
    <w:rsid w:val="00D630A2"/>
    <w:rsid w:val="00D632A8"/>
    <w:rsid w:val="00D6427C"/>
    <w:rsid w:val="00D642A4"/>
    <w:rsid w:val="00D64A77"/>
    <w:rsid w:val="00D64B97"/>
    <w:rsid w:val="00D651A2"/>
    <w:rsid w:val="00D65D96"/>
    <w:rsid w:val="00D669FD"/>
    <w:rsid w:val="00D66E93"/>
    <w:rsid w:val="00D67555"/>
    <w:rsid w:val="00D67906"/>
    <w:rsid w:val="00D700E5"/>
    <w:rsid w:val="00D70B09"/>
    <w:rsid w:val="00D70DB9"/>
    <w:rsid w:val="00D71113"/>
    <w:rsid w:val="00D71712"/>
    <w:rsid w:val="00D71E5D"/>
    <w:rsid w:val="00D71F24"/>
    <w:rsid w:val="00D7207D"/>
    <w:rsid w:val="00D73336"/>
    <w:rsid w:val="00D73FD4"/>
    <w:rsid w:val="00D74808"/>
    <w:rsid w:val="00D7486C"/>
    <w:rsid w:val="00D757D7"/>
    <w:rsid w:val="00D761E1"/>
    <w:rsid w:val="00D763F3"/>
    <w:rsid w:val="00D767AA"/>
    <w:rsid w:val="00D767E3"/>
    <w:rsid w:val="00D77801"/>
    <w:rsid w:val="00D80071"/>
    <w:rsid w:val="00D810A7"/>
    <w:rsid w:val="00D819F2"/>
    <w:rsid w:val="00D82643"/>
    <w:rsid w:val="00D82B02"/>
    <w:rsid w:val="00D84C9A"/>
    <w:rsid w:val="00D84CFE"/>
    <w:rsid w:val="00D84F38"/>
    <w:rsid w:val="00D85CCF"/>
    <w:rsid w:val="00D86ADD"/>
    <w:rsid w:val="00D86BAB"/>
    <w:rsid w:val="00D877F2"/>
    <w:rsid w:val="00D90025"/>
    <w:rsid w:val="00D91E96"/>
    <w:rsid w:val="00D91F9B"/>
    <w:rsid w:val="00D92583"/>
    <w:rsid w:val="00D92E60"/>
    <w:rsid w:val="00D949F3"/>
    <w:rsid w:val="00D94EE8"/>
    <w:rsid w:val="00D95499"/>
    <w:rsid w:val="00D978A9"/>
    <w:rsid w:val="00DA0DFD"/>
    <w:rsid w:val="00DA11D9"/>
    <w:rsid w:val="00DA1944"/>
    <w:rsid w:val="00DA37F5"/>
    <w:rsid w:val="00DA3889"/>
    <w:rsid w:val="00DA3D4F"/>
    <w:rsid w:val="00DA42F1"/>
    <w:rsid w:val="00DA5784"/>
    <w:rsid w:val="00DA5AB7"/>
    <w:rsid w:val="00DA5C06"/>
    <w:rsid w:val="00DA67DC"/>
    <w:rsid w:val="00DA6F4B"/>
    <w:rsid w:val="00DA7D10"/>
    <w:rsid w:val="00DA7FDF"/>
    <w:rsid w:val="00DB0390"/>
    <w:rsid w:val="00DB1171"/>
    <w:rsid w:val="00DB140C"/>
    <w:rsid w:val="00DB1B2C"/>
    <w:rsid w:val="00DB1B42"/>
    <w:rsid w:val="00DB2965"/>
    <w:rsid w:val="00DB3DF9"/>
    <w:rsid w:val="00DB4969"/>
    <w:rsid w:val="00DB59D4"/>
    <w:rsid w:val="00DB64E0"/>
    <w:rsid w:val="00DB7313"/>
    <w:rsid w:val="00DB7F93"/>
    <w:rsid w:val="00DC16CC"/>
    <w:rsid w:val="00DC1B99"/>
    <w:rsid w:val="00DC3D2B"/>
    <w:rsid w:val="00DC493C"/>
    <w:rsid w:val="00DC578F"/>
    <w:rsid w:val="00DC62B2"/>
    <w:rsid w:val="00DC723D"/>
    <w:rsid w:val="00DD0314"/>
    <w:rsid w:val="00DD035D"/>
    <w:rsid w:val="00DD0381"/>
    <w:rsid w:val="00DD0AC2"/>
    <w:rsid w:val="00DD2BE0"/>
    <w:rsid w:val="00DD3099"/>
    <w:rsid w:val="00DD3210"/>
    <w:rsid w:val="00DD4692"/>
    <w:rsid w:val="00DD554F"/>
    <w:rsid w:val="00DD5BF1"/>
    <w:rsid w:val="00DD63E3"/>
    <w:rsid w:val="00DD6716"/>
    <w:rsid w:val="00DD7793"/>
    <w:rsid w:val="00DD7BCF"/>
    <w:rsid w:val="00DE1172"/>
    <w:rsid w:val="00DE1EE4"/>
    <w:rsid w:val="00DE2017"/>
    <w:rsid w:val="00DE22C6"/>
    <w:rsid w:val="00DE3143"/>
    <w:rsid w:val="00DE3298"/>
    <w:rsid w:val="00DE3F17"/>
    <w:rsid w:val="00DE4D74"/>
    <w:rsid w:val="00DE4F84"/>
    <w:rsid w:val="00DE5417"/>
    <w:rsid w:val="00DE54AB"/>
    <w:rsid w:val="00DE75DC"/>
    <w:rsid w:val="00DE7B1C"/>
    <w:rsid w:val="00DE7C13"/>
    <w:rsid w:val="00DF00DF"/>
    <w:rsid w:val="00DF07B8"/>
    <w:rsid w:val="00DF0FC0"/>
    <w:rsid w:val="00DF1C59"/>
    <w:rsid w:val="00DF1F0B"/>
    <w:rsid w:val="00DF227D"/>
    <w:rsid w:val="00DF3034"/>
    <w:rsid w:val="00DF3532"/>
    <w:rsid w:val="00DF3A78"/>
    <w:rsid w:val="00DF4B1D"/>
    <w:rsid w:val="00DF5551"/>
    <w:rsid w:val="00DF5FA1"/>
    <w:rsid w:val="00DF67DE"/>
    <w:rsid w:val="00DF7988"/>
    <w:rsid w:val="00DF7D47"/>
    <w:rsid w:val="00E009FE"/>
    <w:rsid w:val="00E00A01"/>
    <w:rsid w:val="00E00CAF"/>
    <w:rsid w:val="00E0107C"/>
    <w:rsid w:val="00E011D7"/>
    <w:rsid w:val="00E0132B"/>
    <w:rsid w:val="00E019D4"/>
    <w:rsid w:val="00E03C8F"/>
    <w:rsid w:val="00E03D83"/>
    <w:rsid w:val="00E04446"/>
    <w:rsid w:val="00E04A97"/>
    <w:rsid w:val="00E0501B"/>
    <w:rsid w:val="00E0539F"/>
    <w:rsid w:val="00E05DD3"/>
    <w:rsid w:val="00E06107"/>
    <w:rsid w:val="00E074B6"/>
    <w:rsid w:val="00E078B6"/>
    <w:rsid w:val="00E10476"/>
    <w:rsid w:val="00E11780"/>
    <w:rsid w:val="00E1194A"/>
    <w:rsid w:val="00E12464"/>
    <w:rsid w:val="00E12509"/>
    <w:rsid w:val="00E12853"/>
    <w:rsid w:val="00E12E67"/>
    <w:rsid w:val="00E14800"/>
    <w:rsid w:val="00E14B63"/>
    <w:rsid w:val="00E154CF"/>
    <w:rsid w:val="00E15E3A"/>
    <w:rsid w:val="00E15F2F"/>
    <w:rsid w:val="00E165A3"/>
    <w:rsid w:val="00E178E1"/>
    <w:rsid w:val="00E178EA"/>
    <w:rsid w:val="00E201A9"/>
    <w:rsid w:val="00E203D6"/>
    <w:rsid w:val="00E20922"/>
    <w:rsid w:val="00E217E9"/>
    <w:rsid w:val="00E2209B"/>
    <w:rsid w:val="00E223EF"/>
    <w:rsid w:val="00E23519"/>
    <w:rsid w:val="00E23A99"/>
    <w:rsid w:val="00E23DEE"/>
    <w:rsid w:val="00E25B0A"/>
    <w:rsid w:val="00E2738B"/>
    <w:rsid w:val="00E306F5"/>
    <w:rsid w:val="00E30EA5"/>
    <w:rsid w:val="00E31AF9"/>
    <w:rsid w:val="00E31D49"/>
    <w:rsid w:val="00E31E44"/>
    <w:rsid w:val="00E31F10"/>
    <w:rsid w:val="00E344DC"/>
    <w:rsid w:val="00E35643"/>
    <w:rsid w:val="00E35C0F"/>
    <w:rsid w:val="00E363E9"/>
    <w:rsid w:val="00E36E10"/>
    <w:rsid w:val="00E3749A"/>
    <w:rsid w:val="00E3793D"/>
    <w:rsid w:val="00E37E36"/>
    <w:rsid w:val="00E37E9A"/>
    <w:rsid w:val="00E41BAA"/>
    <w:rsid w:val="00E420FD"/>
    <w:rsid w:val="00E4212D"/>
    <w:rsid w:val="00E421DE"/>
    <w:rsid w:val="00E4251B"/>
    <w:rsid w:val="00E435F8"/>
    <w:rsid w:val="00E437F8"/>
    <w:rsid w:val="00E43995"/>
    <w:rsid w:val="00E44438"/>
    <w:rsid w:val="00E45163"/>
    <w:rsid w:val="00E453FA"/>
    <w:rsid w:val="00E45E8B"/>
    <w:rsid w:val="00E46BFB"/>
    <w:rsid w:val="00E4747E"/>
    <w:rsid w:val="00E51053"/>
    <w:rsid w:val="00E5127C"/>
    <w:rsid w:val="00E512CD"/>
    <w:rsid w:val="00E51937"/>
    <w:rsid w:val="00E53600"/>
    <w:rsid w:val="00E53722"/>
    <w:rsid w:val="00E5418B"/>
    <w:rsid w:val="00E550CC"/>
    <w:rsid w:val="00E55553"/>
    <w:rsid w:val="00E56A3A"/>
    <w:rsid w:val="00E6043D"/>
    <w:rsid w:val="00E6051A"/>
    <w:rsid w:val="00E62AD7"/>
    <w:rsid w:val="00E63922"/>
    <w:rsid w:val="00E63F68"/>
    <w:rsid w:val="00E6675F"/>
    <w:rsid w:val="00E66C1E"/>
    <w:rsid w:val="00E6739F"/>
    <w:rsid w:val="00E67473"/>
    <w:rsid w:val="00E677F0"/>
    <w:rsid w:val="00E67E99"/>
    <w:rsid w:val="00E70E61"/>
    <w:rsid w:val="00E71099"/>
    <w:rsid w:val="00E73076"/>
    <w:rsid w:val="00E730AD"/>
    <w:rsid w:val="00E7374E"/>
    <w:rsid w:val="00E743E1"/>
    <w:rsid w:val="00E74AAB"/>
    <w:rsid w:val="00E75407"/>
    <w:rsid w:val="00E754CA"/>
    <w:rsid w:val="00E75CC2"/>
    <w:rsid w:val="00E770FB"/>
    <w:rsid w:val="00E77161"/>
    <w:rsid w:val="00E808B3"/>
    <w:rsid w:val="00E82C87"/>
    <w:rsid w:val="00E82FBB"/>
    <w:rsid w:val="00E83342"/>
    <w:rsid w:val="00E83852"/>
    <w:rsid w:val="00E85205"/>
    <w:rsid w:val="00E85D39"/>
    <w:rsid w:val="00E8674D"/>
    <w:rsid w:val="00E868FA"/>
    <w:rsid w:val="00E8739C"/>
    <w:rsid w:val="00E87DC6"/>
    <w:rsid w:val="00E91621"/>
    <w:rsid w:val="00E91C2E"/>
    <w:rsid w:val="00E92508"/>
    <w:rsid w:val="00E92628"/>
    <w:rsid w:val="00E934A4"/>
    <w:rsid w:val="00E93620"/>
    <w:rsid w:val="00E954B2"/>
    <w:rsid w:val="00E96274"/>
    <w:rsid w:val="00E97769"/>
    <w:rsid w:val="00E977B6"/>
    <w:rsid w:val="00E97825"/>
    <w:rsid w:val="00EA02D6"/>
    <w:rsid w:val="00EA1D06"/>
    <w:rsid w:val="00EA1F09"/>
    <w:rsid w:val="00EA21D8"/>
    <w:rsid w:val="00EA245C"/>
    <w:rsid w:val="00EA25CB"/>
    <w:rsid w:val="00EA2FE5"/>
    <w:rsid w:val="00EA3886"/>
    <w:rsid w:val="00EA47F3"/>
    <w:rsid w:val="00EA5F51"/>
    <w:rsid w:val="00EA7627"/>
    <w:rsid w:val="00EA7E47"/>
    <w:rsid w:val="00EB185F"/>
    <w:rsid w:val="00EB20CF"/>
    <w:rsid w:val="00EB433E"/>
    <w:rsid w:val="00EB46E5"/>
    <w:rsid w:val="00EB5345"/>
    <w:rsid w:val="00EB5E12"/>
    <w:rsid w:val="00EB5FFE"/>
    <w:rsid w:val="00EB7996"/>
    <w:rsid w:val="00EC0C06"/>
    <w:rsid w:val="00EC116F"/>
    <w:rsid w:val="00EC1E71"/>
    <w:rsid w:val="00EC1F54"/>
    <w:rsid w:val="00EC3116"/>
    <w:rsid w:val="00EC4169"/>
    <w:rsid w:val="00EC5A68"/>
    <w:rsid w:val="00EC5B21"/>
    <w:rsid w:val="00EC5BB0"/>
    <w:rsid w:val="00EC7153"/>
    <w:rsid w:val="00EC7435"/>
    <w:rsid w:val="00EC7ECC"/>
    <w:rsid w:val="00ED06C0"/>
    <w:rsid w:val="00ED1E3B"/>
    <w:rsid w:val="00ED252E"/>
    <w:rsid w:val="00ED35DD"/>
    <w:rsid w:val="00ED5238"/>
    <w:rsid w:val="00ED5261"/>
    <w:rsid w:val="00ED6745"/>
    <w:rsid w:val="00ED757E"/>
    <w:rsid w:val="00ED7CC3"/>
    <w:rsid w:val="00ED7EE6"/>
    <w:rsid w:val="00EE0034"/>
    <w:rsid w:val="00EE1DCD"/>
    <w:rsid w:val="00EE2428"/>
    <w:rsid w:val="00EE24EA"/>
    <w:rsid w:val="00EE30DB"/>
    <w:rsid w:val="00EE3745"/>
    <w:rsid w:val="00EE4007"/>
    <w:rsid w:val="00EE40CD"/>
    <w:rsid w:val="00EE4125"/>
    <w:rsid w:val="00EE445D"/>
    <w:rsid w:val="00EE4797"/>
    <w:rsid w:val="00EE4AD3"/>
    <w:rsid w:val="00EE6B4D"/>
    <w:rsid w:val="00EE6D7B"/>
    <w:rsid w:val="00EE7424"/>
    <w:rsid w:val="00EF0352"/>
    <w:rsid w:val="00EF1792"/>
    <w:rsid w:val="00EF2430"/>
    <w:rsid w:val="00EF26CD"/>
    <w:rsid w:val="00EF29AB"/>
    <w:rsid w:val="00EF33C2"/>
    <w:rsid w:val="00EF4ED7"/>
    <w:rsid w:val="00EF5205"/>
    <w:rsid w:val="00EF5E39"/>
    <w:rsid w:val="00EF6F8C"/>
    <w:rsid w:val="00EF768C"/>
    <w:rsid w:val="00F00225"/>
    <w:rsid w:val="00F0059B"/>
    <w:rsid w:val="00F00648"/>
    <w:rsid w:val="00F0299F"/>
    <w:rsid w:val="00F033AC"/>
    <w:rsid w:val="00F038EC"/>
    <w:rsid w:val="00F03D3F"/>
    <w:rsid w:val="00F03F26"/>
    <w:rsid w:val="00F04644"/>
    <w:rsid w:val="00F04E59"/>
    <w:rsid w:val="00F055B3"/>
    <w:rsid w:val="00F05E81"/>
    <w:rsid w:val="00F06454"/>
    <w:rsid w:val="00F0678E"/>
    <w:rsid w:val="00F067F3"/>
    <w:rsid w:val="00F06AEA"/>
    <w:rsid w:val="00F0763C"/>
    <w:rsid w:val="00F111C0"/>
    <w:rsid w:val="00F11450"/>
    <w:rsid w:val="00F1177D"/>
    <w:rsid w:val="00F12004"/>
    <w:rsid w:val="00F1339B"/>
    <w:rsid w:val="00F139BA"/>
    <w:rsid w:val="00F13DB8"/>
    <w:rsid w:val="00F13FD6"/>
    <w:rsid w:val="00F16C48"/>
    <w:rsid w:val="00F1716B"/>
    <w:rsid w:val="00F2009C"/>
    <w:rsid w:val="00F200B1"/>
    <w:rsid w:val="00F2015F"/>
    <w:rsid w:val="00F20C6B"/>
    <w:rsid w:val="00F211B7"/>
    <w:rsid w:val="00F214A9"/>
    <w:rsid w:val="00F222E0"/>
    <w:rsid w:val="00F2258B"/>
    <w:rsid w:val="00F22BEB"/>
    <w:rsid w:val="00F249A0"/>
    <w:rsid w:val="00F24ECD"/>
    <w:rsid w:val="00F2583D"/>
    <w:rsid w:val="00F25BA1"/>
    <w:rsid w:val="00F25F7E"/>
    <w:rsid w:val="00F264B5"/>
    <w:rsid w:val="00F264C5"/>
    <w:rsid w:val="00F26EF6"/>
    <w:rsid w:val="00F27377"/>
    <w:rsid w:val="00F27FAB"/>
    <w:rsid w:val="00F3094B"/>
    <w:rsid w:val="00F3112E"/>
    <w:rsid w:val="00F31B63"/>
    <w:rsid w:val="00F31BF7"/>
    <w:rsid w:val="00F329AE"/>
    <w:rsid w:val="00F3550E"/>
    <w:rsid w:val="00F361A2"/>
    <w:rsid w:val="00F36E0B"/>
    <w:rsid w:val="00F408C2"/>
    <w:rsid w:val="00F40D4A"/>
    <w:rsid w:val="00F411D3"/>
    <w:rsid w:val="00F42ADB"/>
    <w:rsid w:val="00F43020"/>
    <w:rsid w:val="00F43579"/>
    <w:rsid w:val="00F43ECA"/>
    <w:rsid w:val="00F44775"/>
    <w:rsid w:val="00F44790"/>
    <w:rsid w:val="00F45FF1"/>
    <w:rsid w:val="00F47A4E"/>
    <w:rsid w:val="00F500C2"/>
    <w:rsid w:val="00F514F9"/>
    <w:rsid w:val="00F51D20"/>
    <w:rsid w:val="00F521F9"/>
    <w:rsid w:val="00F52D7A"/>
    <w:rsid w:val="00F53C06"/>
    <w:rsid w:val="00F54043"/>
    <w:rsid w:val="00F54ADB"/>
    <w:rsid w:val="00F54FC2"/>
    <w:rsid w:val="00F5524C"/>
    <w:rsid w:val="00F556FA"/>
    <w:rsid w:val="00F562E7"/>
    <w:rsid w:val="00F577E4"/>
    <w:rsid w:val="00F60841"/>
    <w:rsid w:val="00F62498"/>
    <w:rsid w:val="00F62ED5"/>
    <w:rsid w:val="00F635DD"/>
    <w:rsid w:val="00F63C3B"/>
    <w:rsid w:val="00F71565"/>
    <w:rsid w:val="00F71CF6"/>
    <w:rsid w:val="00F72854"/>
    <w:rsid w:val="00F728D2"/>
    <w:rsid w:val="00F72EE8"/>
    <w:rsid w:val="00F732FC"/>
    <w:rsid w:val="00F73F48"/>
    <w:rsid w:val="00F741EF"/>
    <w:rsid w:val="00F74C64"/>
    <w:rsid w:val="00F7503C"/>
    <w:rsid w:val="00F75823"/>
    <w:rsid w:val="00F76861"/>
    <w:rsid w:val="00F77471"/>
    <w:rsid w:val="00F774F0"/>
    <w:rsid w:val="00F77D3F"/>
    <w:rsid w:val="00F81C12"/>
    <w:rsid w:val="00F820AA"/>
    <w:rsid w:val="00F82C9A"/>
    <w:rsid w:val="00F83161"/>
    <w:rsid w:val="00F8452A"/>
    <w:rsid w:val="00F84E88"/>
    <w:rsid w:val="00F85916"/>
    <w:rsid w:val="00F85C76"/>
    <w:rsid w:val="00F85FC0"/>
    <w:rsid w:val="00F86BDB"/>
    <w:rsid w:val="00F86FFA"/>
    <w:rsid w:val="00F871DD"/>
    <w:rsid w:val="00F872C2"/>
    <w:rsid w:val="00F92592"/>
    <w:rsid w:val="00F933FF"/>
    <w:rsid w:val="00F936EC"/>
    <w:rsid w:val="00F9388E"/>
    <w:rsid w:val="00F948CA"/>
    <w:rsid w:val="00F95287"/>
    <w:rsid w:val="00F957E0"/>
    <w:rsid w:val="00F96B8D"/>
    <w:rsid w:val="00F96E46"/>
    <w:rsid w:val="00F9719B"/>
    <w:rsid w:val="00F97A1B"/>
    <w:rsid w:val="00FA03BA"/>
    <w:rsid w:val="00FA163C"/>
    <w:rsid w:val="00FA2D96"/>
    <w:rsid w:val="00FA3EBF"/>
    <w:rsid w:val="00FA404B"/>
    <w:rsid w:val="00FA4EF7"/>
    <w:rsid w:val="00FA5AC3"/>
    <w:rsid w:val="00FA5ACE"/>
    <w:rsid w:val="00FA6073"/>
    <w:rsid w:val="00FA7252"/>
    <w:rsid w:val="00FA74B3"/>
    <w:rsid w:val="00FB00FD"/>
    <w:rsid w:val="00FB053C"/>
    <w:rsid w:val="00FB08DD"/>
    <w:rsid w:val="00FB1DD0"/>
    <w:rsid w:val="00FB1F1C"/>
    <w:rsid w:val="00FB2EAD"/>
    <w:rsid w:val="00FB3407"/>
    <w:rsid w:val="00FB39E2"/>
    <w:rsid w:val="00FB3CD0"/>
    <w:rsid w:val="00FB4687"/>
    <w:rsid w:val="00FB5206"/>
    <w:rsid w:val="00FB55FF"/>
    <w:rsid w:val="00FB5704"/>
    <w:rsid w:val="00FB5F6B"/>
    <w:rsid w:val="00FB663D"/>
    <w:rsid w:val="00FC0192"/>
    <w:rsid w:val="00FC0F67"/>
    <w:rsid w:val="00FC1781"/>
    <w:rsid w:val="00FC1FEC"/>
    <w:rsid w:val="00FC20CD"/>
    <w:rsid w:val="00FC27DA"/>
    <w:rsid w:val="00FC444B"/>
    <w:rsid w:val="00FC482A"/>
    <w:rsid w:val="00FC5A11"/>
    <w:rsid w:val="00FC5BD9"/>
    <w:rsid w:val="00FC6694"/>
    <w:rsid w:val="00FC6CEB"/>
    <w:rsid w:val="00FD0AA4"/>
    <w:rsid w:val="00FD107E"/>
    <w:rsid w:val="00FD18FC"/>
    <w:rsid w:val="00FD251C"/>
    <w:rsid w:val="00FD2666"/>
    <w:rsid w:val="00FD2E23"/>
    <w:rsid w:val="00FD3553"/>
    <w:rsid w:val="00FD5615"/>
    <w:rsid w:val="00FD57FE"/>
    <w:rsid w:val="00FD6EE2"/>
    <w:rsid w:val="00FD79A1"/>
    <w:rsid w:val="00FE040E"/>
    <w:rsid w:val="00FE390A"/>
    <w:rsid w:val="00FE3AE0"/>
    <w:rsid w:val="00FE3E8D"/>
    <w:rsid w:val="00FE3E91"/>
    <w:rsid w:val="00FE4171"/>
    <w:rsid w:val="00FE4E33"/>
    <w:rsid w:val="00FE59E6"/>
    <w:rsid w:val="00FE5C00"/>
    <w:rsid w:val="00FE62EC"/>
    <w:rsid w:val="00FE689B"/>
    <w:rsid w:val="00FE71FB"/>
    <w:rsid w:val="00FE74B6"/>
    <w:rsid w:val="00FE7BBE"/>
    <w:rsid w:val="00FF130C"/>
    <w:rsid w:val="00FF2411"/>
    <w:rsid w:val="00FF26E8"/>
    <w:rsid w:val="00FF2A3D"/>
    <w:rsid w:val="00FF2D11"/>
    <w:rsid w:val="00FF2D4B"/>
    <w:rsid w:val="00FF39BA"/>
    <w:rsid w:val="00FF47B6"/>
    <w:rsid w:val="00FF4850"/>
    <w:rsid w:val="00FF5529"/>
    <w:rsid w:val="00FF5F3A"/>
    <w:rsid w:val="00FF6E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15DF0"/>
  <w15:docId w15:val="{6C1309EC-1AEA-49ED-89C2-D8C666BF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F4C"/>
    <w:pPr>
      <w:jc w:val="both"/>
    </w:pPr>
    <w:rPr>
      <w:rFonts w:asciiTheme="minorHAnsi" w:hAnsiTheme="minorHAnsi"/>
      <w:sz w:val="18"/>
    </w:rPr>
  </w:style>
  <w:style w:type="paragraph" w:styleId="Heading1">
    <w:name w:val="heading 1"/>
    <w:basedOn w:val="Normal"/>
    <w:next w:val="BodyText"/>
    <w:qFormat/>
    <w:rsid w:val="007D6284"/>
    <w:pPr>
      <w:keepNext/>
      <w:spacing w:before="120" w:after="120" w:line="288" w:lineRule="auto"/>
      <w:outlineLvl w:val="0"/>
    </w:pPr>
    <w:rPr>
      <w:rFonts w:cs="Arial"/>
      <w:b/>
      <w:caps/>
    </w:rPr>
  </w:style>
  <w:style w:type="paragraph" w:styleId="Heading2">
    <w:name w:val="heading 2"/>
    <w:basedOn w:val="Normal"/>
    <w:next w:val="Normal"/>
    <w:qFormat/>
    <w:rsid w:val="006406E8"/>
    <w:pPr>
      <w:keepNext/>
      <w:outlineLvl w:val="1"/>
    </w:pPr>
    <w:rPr>
      <w:b/>
      <w:sz w:val="36"/>
    </w:rPr>
  </w:style>
  <w:style w:type="paragraph" w:styleId="Heading3">
    <w:name w:val="heading 3"/>
    <w:basedOn w:val="Normal"/>
    <w:next w:val="Normal"/>
    <w:qFormat/>
    <w:rsid w:val="006406E8"/>
    <w:pPr>
      <w:keepNext/>
      <w:outlineLvl w:val="2"/>
    </w:pPr>
    <w:rPr>
      <w:sz w:val="24"/>
    </w:rPr>
  </w:style>
  <w:style w:type="paragraph" w:styleId="Heading4">
    <w:name w:val="heading 4"/>
    <w:basedOn w:val="Normal"/>
    <w:next w:val="Normal"/>
    <w:qFormat/>
    <w:rsid w:val="006406E8"/>
    <w:pPr>
      <w:keepNext/>
      <w:outlineLvl w:val="3"/>
    </w:pPr>
    <w:rPr>
      <w:b/>
      <w:bCs/>
      <w:sz w:val="24"/>
      <w:u w:val="single"/>
    </w:rPr>
  </w:style>
  <w:style w:type="paragraph" w:styleId="Heading5">
    <w:name w:val="heading 5"/>
    <w:basedOn w:val="Normal"/>
    <w:next w:val="Normal"/>
    <w:qFormat/>
    <w:rsid w:val="006406E8"/>
    <w:pPr>
      <w:keepNext/>
      <w:tabs>
        <w:tab w:val="left" w:pos="6379"/>
        <w:tab w:val="left" w:pos="6804"/>
      </w:tabs>
      <w:outlineLvl w:val="4"/>
    </w:pPr>
    <w:rPr>
      <w:i/>
    </w:rPr>
  </w:style>
  <w:style w:type="paragraph" w:styleId="Heading6">
    <w:name w:val="heading 6"/>
    <w:basedOn w:val="Normal"/>
    <w:next w:val="Normal"/>
    <w:qFormat/>
    <w:rsid w:val="006406E8"/>
    <w:pPr>
      <w:keepNext/>
      <w:outlineLvl w:val="5"/>
    </w:pPr>
    <w:rPr>
      <w:sz w:val="24"/>
      <w:u w:val="single"/>
    </w:rPr>
  </w:style>
  <w:style w:type="paragraph" w:styleId="Heading7">
    <w:name w:val="heading 7"/>
    <w:basedOn w:val="Normal"/>
    <w:next w:val="Normal"/>
    <w:qFormat/>
    <w:rsid w:val="006406E8"/>
    <w:pPr>
      <w:keepNext/>
      <w:outlineLvl w:val="6"/>
    </w:pPr>
    <w:rPr>
      <w:sz w:val="24"/>
    </w:rPr>
  </w:style>
  <w:style w:type="paragraph" w:styleId="Heading8">
    <w:name w:val="heading 8"/>
    <w:basedOn w:val="Normal"/>
    <w:next w:val="Normal"/>
    <w:qFormat/>
    <w:rsid w:val="006406E8"/>
    <w:pPr>
      <w:keepNext/>
      <w:outlineLvl w:val="7"/>
    </w:pPr>
    <w:rPr>
      <w:i/>
      <w:iCs/>
      <w:sz w:val="24"/>
    </w:rPr>
  </w:style>
  <w:style w:type="paragraph" w:styleId="Heading9">
    <w:name w:val="heading 9"/>
    <w:basedOn w:val="Normal"/>
    <w:next w:val="Normal"/>
    <w:qFormat/>
    <w:rsid w:val="006406E8"/>
    <w:pPr>
      <w:keepNext/>
      <w:spacing w:before="60"/>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1F4C"/>
    <w:pPr>
      <w:spacing w:before="120" w:after="120" w:line="288" w:lineRule="auto"/>
    </w:pPr>
    <w:rPr>
      <w:rFonts w:cs="Arial"/>
    </w:rPr>
  </w:style>
  <w:style w:type="paragraph" w:styleId="Title">
    <w:name w:val="Title"/>
    <w:basedOn w:val="Normal"/>
    <w:qFormat/>
    <w:rsid w:val="006406E8"/>
    <w:pPr>
      <w:jc w:val="center"/>
    </w:pPr>
    <w:rPr>
      <w:b/>
      <w:sz w:val="24"/>
      <w:u w:val="single"/>
    </w:rPr>
  </w:style>
  <w:style w:type="paragraph" w:customStyle="1" w:styleId="Corpsdetexte21">
    <w:name w:val="Corps de texte 21"/>
    <w:basedOn w:val="Normal"/>
    <w:rsid w:val="006406E8"/>
    <w:pPr>
      <w:ind w:left="360"/>
    </w:pPr>
    <w:rPr>
      <w:sz w:val="24"/>
    </w:rPr>
  </w:style>
  <w:style w:type="paragraph" w:customStyle="1" w:styleId="Retraitcorpsdetexte21">
    <w:name w:val="Retrait corps de texte 21"/>
    <w:basedOn w:val="Normal"/>
    <w:rsid w:val="006406E8"/>
    <w:pPr>
      <w:spacing w:before="120"/>
      <w:ind w:left="357"/>
    </w:pPr>
    <w:rPr>
      <w:sz w:val="24"/>
    </w:rPr>
  </w:style>
  <w:style w:type="paragraph" w:styleId="DocumentMap">
    <w:name w:val="Document Map"/>
    <w:basedOn w:val="Normal"/>
    <w:semiHidden/>
    <w:rsid w:val="006406E8"/>
    <w:pPr>
      <w:shd w:val="clear" w:color="auto" w:fill="000080"/>
    </w:pPr>
    <w:rPr>
      <w:rFonts w:ascii="Tahoma" w:hAnsi="Tahoma"/>
    </w:rPr>
  </w:style>
  <w:style w:type="paragraph" w:styleId="BodyText2">
    <w:name w:val="Body Text 2"/>
    <w:basedOn w:val="Normal"/>
    <w:link w:val="BodyText2Char"/>
    <w:rsid w:val="006406E8"/>
    <w:rPr>
      <w:sz w:val="24"/>
    </w:rPr>
  </w:style>
  <w:style w:type="character" w:customStyle="1" w:styleId="BodyText2Char">
    <w:name w:val="Body Text 2 Char"/>
    <w:link w:val="BodyText2"/>
    <w:rsid w:val="00667DA3"/>
    <w:rPr>
      <w:sz w:val="24"/>
    </w:rPr>
  </w:style>
  <w:style w:type="paragraph" w:styleId="BodyText3">
    <w:name w:val="Body Text 3"/>
    <w:basedOn w:val="Normal"/>
    <w:rsid w:val="006406E8"/>
    <w:pPr>
      <w:ind w:right="-567"/>
    </w:pPr>
    <w:rPr>
      <w:sz w:val="24"/>
    </w:rPr>
  </w:style>
  <w:style w:type="paragraph" w:styleId="BodyTextIndent">
    <w:name w:val="Body Text Indent"/>
    <w:basedOn w:val="Normal"/>
    <w:rsid w:val="006406E8"/>
    <w:pPr>
      <w:ind w:left="1416"/>
    </w:pPr>
    <w:rPr>
      <w:sz w:val="24"/>
    </w:rPr>
  </w:style>
  <w:style w:type="paragraph" w:styleId="BodyTextIndent2">
    <w:name w:val="Body Text Indent 2"/>
    <w:basedOn w:val="Normal"/>
    <w:rsid w:val="006406E8"/>
    <w:pPr>
      <w:ind w:left="360"/>
    </w:pPr>
    <w:rPr>
      <w:sz w:val="24"/>
    </w:rPr>
  </w:style>
  <w:style w:type="paragraph" w:styleId="BlockText">
    <w:name w:val="Block Text"/>
    <w:basedOn w:val="Normal"/>
    <w:rsid w:val="006406E8"/>
    <w:pPr>
      <w:ind w:left="1140" w:right="142"/>
    </w:pPr>
    <w:rPr>
      <w:sz w:val="24"/>
    </w:rPr>
  </w:style>
  <w:style w:type="paragraph" w:styleId="Footer">
    <w:name w:val="footer"/>
    <w:basedOn w:val="Normal"/>
    <w:link w:val="FooterChar"/>
    <w:uiPriority w:val="99"/>
    <w:rsid w:val="006406E8"/>
    <w:pPr>
      <w:tabs>
        <w:tab w:val="center" w:pos="4536"/>
        <w:tab w:val="right" w:pos="9072"/>
      </w:tabs>
    </w:pPr>
  </w:style>
  <w:style w:type="character" w:customStyle="1" w:styleId="FooterChar">
    <w:name w:val="Footer Char"/>
    <w:basedOn w:val="DefaultParagraphFont"/>
    <w:link w:val="Footer"/>
    <w:uiPriority w:val="99"/>
    <w:rsid w:val="00914476"/>
  </w:style>
  <w:style w:type="character" w:styleId="PageNumber">
    <w:name w:val="page number"/>
    <w:basedOn w:val="DefaultParagraphFont"/>
    <w:rsid w:val="006406E8"/>
  </w:style>
  <w:style w:type="paragraph" w:styleId="BodyTextIndent3">
    <w:name w:val="Body Text Indent 3"/>
    <w:basedOn w:val="Normal"/>
    <w:rsid w:val="006406E8"/>
    <w:pPr>
      <w:ind w:left="567"/>
    </w:pPr>
    <w:rPr>
      <w:sz w:val="24"/>
    </w:rPr>
  </w:style>
  <w:style w:type="paragraph" w:styleId="FootnoteText">
    <w:name w:val="footnote text"/>
    <w:basedOn w:val="Normal"/>
    <w:link w:val="FootnoteTextChar"/>
    <w:uiPriority w:val="99"/>
    <w:rsid w:val="009B78EA"/>
    <w:rPr>
      <w:sz w:val="14"/>
      <w:szCs w:val="14"/>
    </w:rPr>
  </w:style>
  <w:style w:type="character" w:customStyle="1" w:styleId="FootnoteTextChar">
    <w:name w:val="Footnote Text Char"/>
    <w:basedOn w:val="DefaultParagraphFont"/>
    <w:link w:val="FootnoteText"/>
    <w:uiPriority w:val="99"/>
    <w:rsid w:val="009B78EA"/>
    <w:rPr>
      <w:rFonts w:asciiTheme="minorHAnsi" w:hAnsiTheme="minorHAnsi"/>
      <w:sz w:val="14"/>
      <w:szCs w:val="14"/>
    </w:rPr>
  </w:style>
  <w:style w:type="character" w:styleId="FootnoteReference">
    <w:name w:val="footnote reference"/>
    <w:uiPriority w:val="99"/>
    <w:semiHidden/>
    <w:rsid w:val="006406E8"/>
    <w:rPr>
      <w:vertAlign w:val="superscript"/>
    </w:rPr>
  </w:style>
  <w:style w:type="paragraph" w:styleId="Header">
    <w:name w:val="header"/>
    <w:basedOn w:val="Normal"/>
    <w:rsid w:val="006406E8"/>
    <w:pPr>
      <w:tabs>
        <w:tab w:val="center" w:pos="4536"/>
        <w:tab w:val="right" w:pos="9072"/>
      </w:tabs>
    </w:pPr>
  </w:style>
  <w:style w:type="paragraph" w:styleId="BalloonText">
    <w:name w:val="Balloon Text"/>
    <w:basedOn w:val="Normal"/>
    <w:semiHidden/>
    <w:rsid w:val="006406E8"/>
    <w:rPr>
      <w:rFonts w:ascii="Tahoma" w:hAnsi="Tahoma" w:cs="Tahoma"/>
      <w:sz w:val="16"/>
      <w:szCs w:val="16"/>
    </w:rPr>
  </w:style>
  <w:style w:type="paragraph" w:styleId="ListParagraph">
    <w:name w:val="List Paragraph"/>
    <w:basedOn w:val="Normal"/>
    <w:uiPriority w:val="34"/>
    <w:qFormat/>
    <w:rsid w:val="00A631C3"/>
    <w:pPr>
      <w:ind w:left="567"/>
    </w:pPr>
  </w:style>
  <w:style w:type="character" w:styleId="Hyperlink">
    <w:name w:val="Hyperlink"/>
    <w:uiPriority w:val="99"/>
    <w:rsid w:val="000266E7"/>
    <w:rPr>
      <w:color w:val="0000FF"/>
      <w:u w:val="single"/>
    </w:rPr>
  </w:style>
  <w:style w:type="character" w:styleId="FollowedHyperlink">
    <w:name w:val="FollowedHyperlink"/>
    <w:rsid w:val="000266E7"/>
    <w:rPr>
      <w:color w:val="800080"/>
      <w:u w:val="single"/>
    </w:rPr>
  </w:style>
  <w:style w:type="character" w:styleId="CommentReference">
    <w:name w:val="annotation reference"/>
    <w:rsid w:val="003869B3"/>
    <w:rPr>
      <w:sz w:val="16"/>
      <w:szCs w:val="16"/>
    </w:rPr>
  </w:style>
  <w:style w:type="paragraph" w:styleId="CommentText">
    <w:name w:val="annotation text"/>
    <w:basedOn w:val="Normal"/>
    <w:link w:val="CommentTextChar"/>
    <w:rsid w:val="003869B3"/>
  </w:style>
  <w:style w:type="character" w:customStyle="1" w:styleId="CommentTextChar">
    <w:name w:val="Comment Text Char"/>
    <w:basedOn w:val="DefaultParagraphFont"/>
    <w:link w:val="CommentText"/>
    <w:rsid w:val="003869B3"/>
  </w:style>
  <w:style w:type="paragraph" w:styleId="CommentSubject">
    <w:name w:val="annotation subject"/>
    <w:basedOn w:val="CommentText"/>
    <w:next w:val="CommentText"/>
    <w:link w:val="CommentSubjectChar"/>
    <w:rsid w:val="003869B3"/>
    <w:rPr>
      <w:b/>
      <w:bCs/>
    </w:rPr>
  </w:style>
  <w:style w:type="character" w:customStyle="1" w:styleId="CommentSubjectChar">
    <w:name w:val="Comment Subject Char"/>
    <w:link w:val="CommentSubject"/>
    <w:rsid w:val="003869B3"/>
    <w:rPr>
      <w:b/>
      <w:bCs/>
    </w:rPr>
  </w:style>
  <w:style w:type="table" w:styleId="TableGrid">
    <w:name w:val="Table Grid"/>
    <w:basedOn w:val="TableNormal"/>
    <w:rsid w:val="00CD63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914476"/>
  </w:style>
  <w:style w:type="character" w:customStyle="1" w:styleId="EndnoteTextChar">
    <w:name w:val="Endnote Text Char"/>
    <w:basedOn w:val="DefaultParagraphFont"/>
    <w:link w:val="EndnoteText"/>
    <w:rsid w:val="00914476"/>
  </w:style>
  <w:style w:type="character" w:styleId="EndnoteReference">
    <w:name w:val="endnote reference"/>
    <w:rsid w:val="00914476"/>
    <w:rPr>
      <w:vertAlign w:val="superscript"/>
    </w:rPr>
  </w:style>
  <w:style w:type="character" w:customStyle="1" w:styleId="apple-converted-space">
    <w:name w:val="apple-converted-space"/>
    <w:basedOn w:val="DefaultParagraphFont"/>
    <w:rsid w:val="00264F0A"/>
  </w:style>
  <w:style w:type="paragraph" w:customStyle="1" w:styleId="Default">
    <w:name w:val="Default"/>
    <w:rsid w:val="009D2458"/>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4A0720"/>
    <w:pPr>
      <w:widowControl w:val="0"/>
    </w:pPr>
    <w:rPr>
      <w:rFonts w:eastAsiaTheme="minorHAnsi" w:cstheme="minorBidi"/>
      <w:sz w:val="22"/>
      <w:szCs w:val="22"/>
      <w:lang w:eastAsia="en-US"/>
    </w:rPr>
  </w:style>
  <w:style w:type="table" w:styleId="LightShading-Accent1">
    <w:name w:val="Light Shading Accent 1"/>
    <w:basedOn w:val="TableNormal"/>
    <w:uiPriority w:val="60"/>
    <w:rsid w:val="00365AA1"/>
    <w:rPr>
      <w:color w:val="005381" w:themeColor="accent1" w:themeShade="BF"/>
    </w:rPr>
    <w:tblPr>
      <w:tblStyleRowBandSize w:val="1"/>
      <w:tblStyleColBandSize w:val="1"/>
      <w:tblBorders>
        <w:top w:val="single" w:sz="8" w:space="0" w:color="0070AD" w:themeColor="accent1"/>
        <w:bottom w:val="single" w:sz="8" w:space="0" w:color="0070AD" w:themeColor="accent1"/>
      </w:tblBorders>
    </w:tblPr>
    <w:tblStylePr w:type="firstRow">
      <w:pPr>
        <w:spacing w:before="0" w:after="0" w:line="240" w:lineRule="auto"/>
      </w:pPr>
      <w:rPr>
        <w:b/>
        <w:bCs/>
      </w:rPr>
      <w:tblPr/>
      <w:tcPr>
        <w:tcBorders>
          <w:top w:val="single" w:sz="8" w:space="0" w:color="0070AD" w:themeColor="accent1"/>
          <w:left w:val="nil"/>
          <w:bottom w:val="single" w:sz="8" w:space="0" w:color="0070AD" w:themeColor="accent1"/>
          <w:right w:val="nil"/>
          <w:insideH w:val="nil"/>
          <w:insideV w:val="nil"/>
        </w:tcBorders>
      </w:tcPr>
    </w:tblStylePr>
    <w:tblStylePr w:type="lastRow">
      <w:pPr>
        <w:spacing w:before="0" w:after="0" w:line="240" w:lineRule="auto"/>
      </w:pPr>
      <w:rPr>
        <w:b/>
        <w:bCs/>
      </w:rPr>
      <w:tblPr/>
      <w:tcPr>
        <w:tcBorders>
          <w:top w:val="single" w:sz="8" w:space="0" w:color="0070AD" w:themeColor="accent1"/>
          <w:left w:val="nil"/>
          <w:bottom w:val="single" w:sz="8" w:space="0" w:color="0070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1FF" w:themeFill="accent1" w:themeFillTint="3F"/>
      </w:tcPr>
    </w:tblStylePr>
    <w:tblStylePr w:type="band1Horz">
      <w:tblPr/>
      <w:tcPr>
        <w:tcBorders>
          <w:left w:val="nil"/>
          <w:right w:val="nil"/>
          <w:insideH w:val="nil"/>
          <w:insideV w:val="nil"/>
        </w:tcBorders>
        <w:shd w:val="clear" w:color="auto" w:fill="ABE1FF" w:themeFill="accent1" w:themeFillTint="3F"/>
      </w:tcPr>
    </w:tblStylePr>
  </w:style>
  <w:style w:type="paragraph" w:styleId="Revision">
    <w:name w:val="Revision"/>
    <w:hidden/>
    <w:uiPriority w:val="99"/>
    <w:semiHidden/>
    <w:rsid w:val="009614E1"/>
  </w:style>
  <w:style w:type="paragraph" w:customStyle="1" w:styleId="section">
    <w:name w:val="section"/>
    <w:basedOn w:val="Normal"/>
    <w:link w:val="sectionChar"/>
    <w:qFormat/>
    <w:rsid w:val="00CD0E6A"/>
    <w:pPr>
      <w:keepNext/>
      <w:spacing w:before="360" w:after="120" w:line="288" w:lineRule="auto"/>
    </w:pPr>
    <w:rPr>
      <w:rFonts w:ascii="Arial" w:hAnsi="Arial" w:cs="Arial"/>
      <w:b/>
    </w:rPr>
  </w:style>
  <w:style w:type="character" w:customStyle="1" w:styleId="sectionChar">
    <w:name w:val="section Char"/>
    <w:basedOn w:val="DefaultParagraphFont"/>
    <w:link w:val="section"/>
    <w:rsid w:val="00CD0E6A"/>
    <w:rPr>
      <w:rFonts w:ascii="Arial" w:hAnsi="Arial" w:cs="Arial"/>
      <w:b/>
    </w:rPr>
  </w:style>
  <w:style w:type="character" w:customStyle="1" w:styleId="Style">
    <w:name w:val="Style"/>
    <w:basedOn w:val="FootnoteReference"/>
    <w:rsid w:val="009B78EA"/>
    <w:rPr>
      <w:rFonts w:asciiTheme="minorHAnsi" w:hAnsiTheme="minorHAnsi"/>
      <w:b w:val="0"/>
      <w:bCs/>
      <w:sz w:val="18"/>
      <w:vertAlign w:val="superscript"/>
    </w:rPr>
  </w:style>
  <w:style w:type="paragraph" w:customStyle="1" w:styleId="ChapitrePR">
    <w:name w:val="Chapitre PR"/>
    <w:basedOn w:val="Normal"/>
    <w:link w:val="ChapitrePRChar"/>
    <w:qFormat/>
    <w:rsid w:val="00C91770"/>
    <w:pPr>
      <w:keepNext/>
      <w:spacing w:before="120" w:after="120"/>
    </w:pPr>
    <w:rPr>
      <w:rFonts w:ascii="Arial" w:hAnsi="Arial" w:cs="Arial"/>
      <w:b/>
      <w:sz w:val="20"/>
    </w:rPr>
  </w:style>
  <w:style w:type="character" w:customStyle="1" w:styleId="ChapitrePRChar">
    <w:name w:val="Chapitre PR Char"/>
    <w:basedOn w:val="DefaultParagraphFont"/>
    <w:link w:val="ChapitrePR"/>
    <w:rsid w:val="00C91770"/>
    <w:rPr>
      <w:rFonts w:ascii="Arial" w:hAnsi="Arial" w:cs="Arial"/>
      <w:b/>
    </w:rPr>
  </w:style>
  <w:style w:type="character" w:customStyle="1" w:styleId="UnresolvedMention1">
    <w:name w:val="Unresolved Mention1"/>
    <w:basedOn w:val="DefaultParagraphFont"/>
    <w:uiPriority w:val="99"/>
    <w:semiHidden/>
    <w:unhideWhenUsed/>
    <w:rsid w:val="009B4DE9"/>
    <w:rPr>
      <w:color w:val="808080"/>
      <w:shd w:val="clear" w:color="auto" w:fill="E6E6E6"/>
    </w:rPr>
  </w:style>
  <w:style w:type="paragraph" w:customStyle="1" w:styleId="AnnexePR">
    <w:name w:val="Annexe PR"/>
    <w:basedOn w:val="Normal"/>
    <w:link w:val="AnnexePRChar"/>
    <w:qFormat/>
    <w:rsid w:val="003E11DB"/>
    <w:pPr>
      <w:spacing w:before="120" w:after="120"/>
    </w:pPr>
    <w:rPr>
      <w:rFonts w:ascii="Arial" w:hAnsi="Arial" w:cs="Arial"/>
      <w:b/>
    </w:rPr>
  </w:style>
  <w:style w:type="character" w:customStyle="1" w:styleId="AnnexePRChar">
    <w:name w:val="Annexe PR Char"/>
    <w:basedOn w:val="DefaultParagraphFont"/>
    <w:link w:val="AnnexePR"/>
    <w:rsid w:val="003E11DB"/>
    <w:rPr>
      <w:rFonts w:ascii="Arial" w:hAnsi="Arial" w:cs="Arial"/>
      <w:b/>
      <w:sz w:val="18"/>
    </w:rPr>
  </w:style>
  <w:style w:type="character" w:styleId="UnresolvedMention">
    <w:name w:val="Unresolved Mention"/>
    <w:basedOn w:val="DefaultParagraphFont"/>
    <w:uiPriority w:val="99"/>
    <w:semiHidden/>
    <w:unhideWhenUsed/>
    <w:rsid w:val="00936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383">
      <w:bodyDiv w:val="1"/>
      <w:marLeft w:val="0"/>
      <w:marRight w:val="0"/>
      <w:marTop w:val="0"/>
      <w:marBottom w:val="0"/>
      <w:divBdr>
        <w:top w:val="none" w:sz="0" w:space="0" w:color="auto"/>
        <w:left w:val="none" w:sz="0" w:space="0" w:color="auto"/>
        <w:bottom w:val="none" w:sz="0" w:space="0" w:color="auto"/>
        <w:right w:val="none" w:sz="0" w:space="0" w:color="auto"/>
      </w:divBdr>
    </w:div>
    <w:div w:id="116607035">
      <w:bodyDiv w:val="1"/>
      <w:marLeft w:val="0"/>
      <w:marRight w:val="0"/>
      <w:marTop w:val="0"/>
      <w:marBottom w:val="0"/>
      <w:divBdr>
        <w:top w:val="none" w:sz="0" w:space="0" w:color="auto"/>
        <w:left w:val="none" w:sz="0" w:space="0" w:color="auto"/>
        <w:bottom w:val="none" w:sz="0" w:space="0" w:color="auto"/>
        <w:right w:val="none" w:sz="0" w:space="0" w:color="auto"/>
      </w:divBdr>
    </w:div>
    <w:div w:id="127431030">
      <w:bodyDiv w:val="1"/>
      <w:marLeft w:val="0"/>
      <w:marRight w:val="0"/>
      <w:marTop w:val="0"/>
      <w:marBottom w:val="0"/>
      <w:divBdr>
        <w:top w:val="none" w:sz="0" w:space="0" w:color="auto"/>
        <w:left w:val="none" w:sz="0" w:space="0" w:color="auto"/>
        <w:bottom w:val="none" w:sz="0" w:space="0" w:color="auto"/>
        <w:right w:val="none" w:sz="0" w:space="0" w:color="auto"/>
      </w:divBdr>
    </w:div>
    <w:div w:id="145586774">
      <w:bodyDiv w:val="1"/>
      <w:marLeft w:val="0"/>
      <w:marRight w:val="0"/>
      <w:marTop w:val="0"/>
      <w:marBottom w:val="0"/>
      <w:divBdr>
        <w:top w:val="none" w:sz="0" w:space="0" w:color="auto"/>
        <w:left w:val="none" w:sz="0" w:space="0" w:color="auto"/>
        <w:bottom w:val="none" w:sz="0" w:space="0" w:color="auto"/>
        <w:right w:val="none" w:sz="0" w:space="0" w:color="auto"/>
      </w:divBdr>
    </w:div>
    <w:div w:id="225144753">
      <w:bodyDiv w:val="1"/>
      <w:marLeft w:val="0"/>
      <w:marRight w:val="0"/>
      <w:marTop w:val="0"/>
      <w:marBottom w:val="0"/>
      <w:divBdr>
        <w:top w:val="none" w:sz="0" w:space="0" w:color="auto"/>
        <w:left w:val="none" w:sz="0" w:space="0" w:color="auto"/>
        <w:bottom w:val="none" w:sz="0" w:space="0" w:color="auto"/>
        <w:right w:val="none" w:sz="0" w:space="0" w:color="auto"/>
      </w:divBdr>
    </w:div>
    <w:div w:id="239952436">
      <w:bodyDiv w:val="1"/>
      <w:marLeft w:val="0"/>
      <w:marRight w:val="0"/>
      <w:marTop w:val="0"/>
      <w:marBottom w:val="0"/>
      <w:divBdr>
        <w:top w:val="none" w:sz="0" w:space="0" w:color="auto"/>
        <w:left w:val="none" w:sz="0" w:space="0" w:color="auto"/>
        <w:bottom w:val="none" w:sz="0" w:space="0" w:color="auto"/>
        <w:right w:val="none" w:sz="0" w:space="0" w:color="auto"/>
      </w:divBdr>
    </w:div>
    <w:div w:id="264580570">
      <w:bodyDiv w:val="1"/>
      <w:marLeft w:val="0"/>
      <w:marRight w:val="0"/>
      <w:marTop w:val="0"/>
      <w:marBottom w:val="0"/>
      <w:divBdr>
        <w:top w:val="none" w:sz="0" w:space="0" w:color="auto"/>
        <w:left w:val="none" w:sz="0" w:space="0" w:color="auto"/>
        <w:bottom w:val="none" w:sz="0" w:space="0" w:color="auto"/>
        <w:right w:val="none" w:sz="0" w:space="0" w:color="auto"/>
      </w:divBdr>
    </w:div>
    <w:div w:id="443498099">
      <w:bodyDiv w:val="1"/>
      <w:marLeft w:val="0"/>
      <w:marRight w:val="0"/>
      <w:marTop w:val="0"/>
      <w:marBottom w:val="0"/>
      <w:divBdr>
        <w:top w:val="none" w:sz="0" w:space="0" w:color="auto"/>
        <w:left w:val="none" w:sz="0" w:space="0" w:color="auto"/>
        <w:bottom w:val="none" w:sz="0" w:space="0" w:color="auto"/>
        <w:right w:val="none" w:sz="0" w:space="0" w:color="auto"/>
      </w:divBdr>
    </w:div>
    <w:div w:id="460617359">
      <w:bodyDiv w:val="1"/>
      <w:marLeft w:val="0"/>
      <w:marRight w:val="0"/>
      <w:marTop w:val="0"/>
      <w:marBottom w:val="0"/>
      <w:divBdr>
        <w:top w:val="none" w:sz="0" w:space="0" w:color="auto"/>
        <w:left w:val="none" w:sz="0" w:space="0" w:color="auto"/>
        <w:bottom w:val="none" w:sz="0" w:space="0" w:color="auto"/>
        <w:right w:val="none" w:sz="0" w:space="0" w:color="auto"/>
      </w:divBdr>
    </w:div>
    <w:div w:id="542644184">
      <w:bodyDiv w:val="1"/>
      <w:marLeft w:val="0"/>
      <w:marRight w:val="0"/>
      <w:marTop w:val="0"/>
      <w:marBottom w:val="0"/>
      <w:divBdr>
        <w:top w:val="none" w:sz="0" w:space="0" w:color="auto"/>
        <w:left w:val="none" w:sz="0" w:space="0" w:color="auto"/>
        <w:bottom w:val="none" w:sz="0" w:space="0" w:color="auto"/>
        <w:right w:val="none" w:sz="0" w:space="0" w:color="auto"/>
      </w:divBdr>
    </w:div>
    <w:div w:id="560487218">
      <w:bodyDiv w:val="1"/>
      <w:marLeft w:val="0"/>
      <w:marRight w:val="0"/>
      <w:marTop w:val="0"/>
      <w:marBottom w:val="0"/>
      <w:divBdr>
        <w:top w:val="none" w:sz="0" w:space="0" w:color="auto"/>
        <w:left w:val="none" w:sz="0" w:space="0" w:color="auto"/>
        <w:bottom w:val="none" w:sz="0" w:space="0" w:color="auto"/>
        <w:right w:val="none" w:sz="0" w:space="0" w:color="auto"/>
      </w:divBdr>
    </w:div>
    <w:div w:id="666903068">
      <w:bodyDiv w:val="1"/>
      <w:marLeft w:val="0"/>
      <w:marRight w:val="0"/>
      <w:marTop w:val="0"/>
      <w:marBottom w:val="0"/>
      <w:divBdr>
        <w:top w:val="none" w:sz="0" w:space="0" w:color="auto"/>
        <w:left w:val="none" w:sz="0" w:space="0" w:color="auto"/>
        <w:bottom w:val="none" w:sz="0" w:space="0" w:color="auto"/>
        <w:right w:val="none" w:sz="0" w:space="0" w:color="auto"/>
      </w:divBdr>
    </w:div>
    <w:div w:id="725448705">
      <w:bodyDiv w:val="1"/>
      <w:marLeft w:val="0"/>
      <w:marRight w:val="0"/>
      <w:marTop w:val="0"/>
      <w:marBottom w:val="0"/>
      <w:divBdr>
        <w:top w:val="none" w:sz="0" w:space="0" w:color="auto"/>
        <w:left w:val="none" w:sz="0" w:space="0" w:color="auto"/>
        <w:bottom w:val="none" w:sz="0" w:space="0" w:color="auto"/>
        <w:right w:val="none" w:sz="0" w:space="0" w:color="auto"/>
      </w:divBdr>
    </w:div>
    <w:div w:id="757100603">
      <w:bodyDiv w:val="1"/>
      <w:marLeft w:val="0"/>
      <w:marRight w:val="0"/>
      <w:marTop w:val="0"/>
      <w:marBottom w:val="0"/>
      <w:divBdr>
        <w:top w:val="none" w:sz="0" w:space="0" w:color="auto"/>
        <w:left w:val="none" w:sz="0" w:space="0" w:color="auto"/>
        <w:bottom w:val="none" w:sz="0" w:space="0" w:color="auto"/>
        <w:right w:val="none" w:sz="0" w:space="0" w:color="auto"/>
      </w:divBdr>
    </w:div>
    <w:div w:id="808330190">
      <w:bodyDiv w:val="1"/>
      <w:marLeft w:val="0"/>
      <w:marRight w:val="0"/>
      <w:marTop w:val="0"/>
      <w:marBottom w:val="0"/>
      <w:divBdr>
        <w:top w:val="none" w:sz="0" w:space="0" w:color="auto"/>
        <w:left w:val="none" w:sz="0" w:space="0" w:color="auto"/>
        <w:bottom w:val="none" w:sz="0" w:space="0" w:color="auto"/>
        <w:right w:val="none" w:sz="0" w:space="0" w:color="auto"/>
      </w:divBdr>
    </w:div>
    <w:div w:id="927157205">
      <w:bodyDiv w:val="1"/>
      <w:marLeft w:val="0"/>
      <w:marRight w:val="0"/>
      <w:marTop w:val="0"/>
      <w:marBottom w:val="0"/>
      <w:divBdr>
        <w:top w:val="none" w:sz="0" w:space="0" w:color="auto"/>
        <w:left w:val="none" w:sz="0" w:space="0" w:color="auto"/>
        <w:bottom w:val="none" w:sz="0" w:space="0" w:color="auto"/>
        <w:right w:val="none" w:sz="0" w:space="0" w:color="auto"/>
      </w:divBdr>
    </w:div>
    <w:div w:id="970792990">
      <w:bodyDiv w:val="1"/>
      <w:marLeft w:val="0"/>
      <w:marRight w:val="0"/>
      <w:marTop w:val="0"/>
      <w:marBottom w:val="0"/>
      <w:divBdr>
        <w:top w:val="none" w:sz="0" w:space="0" w:color="auto"/>
        <w:left w:val="none" w:sz="0" w:space="0" w:color="auto"/>
        <w:bottom w:val="none" w:sz="0" w:space="0" w:color="auto"/>
        <w:right w:val="none" w:sz="0" w:space="0" w:color="auto"/>
      </w:divBdr>
    </w:div>
    <w:div w:id="972324830">
      <w:bodyDiv w:val="1"/>
      <w:marLeft w:val="0"/>
      <w:marRight w:val="0"/>
      <w:marTop w:val="0"/>
      <w:marBottom w:val="0"/>
      <w:divBdr>
        <w:top w:val="none" w:sz="0" w:space="0" w:color="auto"/>
        <w:left w:val="none" w:sz="0" w:space="0" w:color="auto"/>
        <w:bottom w:val="none" w:sz="0" w:space="0" w:color="auto"/>
        <w:right w:val="none" w:sz="0" w:space="0" w:color="auto"/>
      </w:divBdr>
    </w:div>
    <w:div w:id="986275660">
      <w:bodyDiv w:val="1"/>
      <w:marLeft w:val="0"/>
      <w:marRight w:val="0"/>
      <w:marTop w:val="0"/>
      <w:marBottom w:val="0"/>
      <w:divBdr>
        <w:top w:val="none" w:sz="0" w:space="0" w:color="auto"/>
        <w:left w:val="none" w:sz="0" w:space="0" w:color="auto"/>
        <w:bottom w:val="none" w:sz="0" w:space="0" w:color="auto"/>
        <w:right w:val="none" w:sz="0" w:space="0" w:color="auto"/>
      </w:divBdr>
    </w:div>
    <w:div w:id="1025787417">
      <w:bodyDiv w:val="1"/>
      <w:marLeft w:val="0"/>
      <w:marRight w:val="0"/>
      <w:marTop w:val="0"/>
      <w:marBottom w:val="0"/>
      <w:divBdr>
        <w:top w:val="none" w:sz="0" w:space="0" w:color="auto"/>
        <w:left w:val="none" w:sz="0" w:space="0" w:color="auto"/>
        <w:bottom w:val="none" w:sz="0" w:space="0" w:color="auto"/>
        <w:right w:val="none" w:sz="0" w:space="0" w:color="auto"/>
      </w:divBdr>
    </w:div>
    <w:div w:id="1065445724">
      <w:bodyDiv w:val="1"/>
      <w:marLeft w:val="0"/>
      <w:marRight w:val="0"/>
      <w:marTop w:val="0"/>
      <w:marBottom w:val="0"/>
      <w:divBdr>
        <w:top w:val="none" w:sz="0" w:space="0" w:color="auto"/>
        <w:left w:val="none" w:sz="0" w:space="0" w:color="auto"/>
        <w:bottom w:val="none" w:sz="0" w:space="0" w:color="auto"/>
        <w:right w:val="none" w:sz="0" w:space="0" w:color="auto"/>
      </w:divBdr>
    </w:div>
    <w:div w:id="1175803170">
      <w:bodyDiv w:val="1"/>
      <w:marLeft w:val="0"/>
      <w:marRight w:val="0"/>
      <w:marTop w:val="0"/>
      <w:marBottom w:val="0"/>
      <w:divBdr>
        <w:top w:val="none" w:sz="0" w:space="0" w:color="auto"/>
        <w:left w:val="none" w:sz="0" w:space="0" w:color="auto"/>
        <w:bottom w:val="none" w:sz="0" w:space="0" w:color="auto"/>
        <w:right w:val="none" w:sz="0" w:space="0" w:color="auto"/>
      </w:divBdr>
    </w:div>
    <w:div w:id="1192458702">
      <w:bodyDiv w:val="1"/>
      <w:marLeft w:val="0"/>
      <w:marRight w:val="0"/>
      <w:marTop w:val="0"/>
      <w:marBottom w:val="0"/>
      <w:divBdr>
        <w:top w:val="none" w:sz="0" w:space="0" w:color="auto"/>
        <w:left w:val="none" w:sz="0" w:space="0" w:color="auto"/>
        <w:bottom w:val="none" w:sz="0" w:space="0" w:color="auto"/>
        <w:right w:val="none" w:sz="0" w:space="0" w:color="auto"/>
      </w:divBdr>
    </w:div>
    <w:div w:id="1392120437">
      <w:bodyDiv w:val="1"/>
      <w:marLeft w:val="0"/>
      <w:marRight w:val="0"/>
      <w:marTop w:val="0"/>
      <w:marBottom w:val="0"/>
      <w:divBdr>
        <w:top w:val="none" w:sz="0" w:space="0" w:color="auto"/>
        <w:left w:val="none" w:sz="0" w:space="0" w:color="auto"/>
        <w:bottom w:val="none" w:sz="0" w:space="0" w:color="auto"/>
        <w:right w:val="none" w:sz="0" w:space="0" w:color="auto"/>
      </w:divBdr>
    </w:div>
    <w:div w:id="1608582757">
      <w:bodyDiv w:val="1"/>
      <w:marLeft w:val="0"/>
      <w:marRight w:val="0"/>
      <w:marTop w:val="0"/>
      <w:marBottom w:val="0"/>
      <w:divBdr>
        <w:top w:val="none" w:sz="0" w:space="0" w:color="auto"/>
        <w:left w:val="none" w:sz="0" w:space="0" w:color="auto"/>
        <w:bottom w:val="none" w:sz="0" w:space="0" w:color="auto"/>
        <w:right w:val="none" w:sz="0" w:space="0" w:color="auto"/>
      </w:divBdr>
    </w:div>
    <w:div w:id="1623878280">
      <w:bodyDiv w:val="1"/>
      <w:marLeft w:val="0"/>
      <w:marRight w:val="0"/>
      <w:marTop w:val="0"/>
      <w:marBottom w:val="0"/>
      <w:divBdr>
        <w:top w:val="none" w:sz="0" w:space="0" w:color="auto"/>
        <w:left w:val="none" w:sz="0" w:space="0" w:color="auto"/>
        <w:bottom w:val="none" w:sz="0" w:space="0" w:color="auto"/>
        <w:right w:val="none" w:sz="0" w:space="0" w:color="auto"/>
      </w:divBdr>
    </w:div>
    <w:div w:id="1725987332">
      <w:bodyDiv w:val="1"/>
      <w:marLeft w:val="0"/>
      <w:marRight w:val="0"/>
      <w:marTop w:val="0"/>
      <w:marBottom w:val="0"/>
      <w:divBdr>
        <w:top w:val="none" w:sz="0" w:space="0" w:color="auto"/>
        <w:left w:val="none" w:sz="0" w:space="0" w:color="auto"/>
        <w:bottom w:val="none" w:sz="0" w:space="0" w:color="auto"/>
        <w:right w:val="none" w:sz="0" w:space="0" w:color="auto"/>
      </w:divBdr>
    </w:div>
    <w:div w:id="1755012846">
      <w:bodyDiv w:val="1"/>
      <w:marLeft w:val="0"/>
      <w:marRight w:val="0"/>
      <w:marTop w:val="0"/>
      <w:marBottom w:val="0"/>
      <w:divBdr>
        <w:top w:val="none" w:sz="0" w:space="0" w:color="auto"/>
        <w:left w:val="none" w:sz="0" w:space="0" w:color="auto"/>
        <w:bottom w:val="none" w:sz="0" w:space="0" w:color="auto"/>
        <w:right w:val="none" w:sz="0" w:space="0" w:color="auto"/>
      </w:divBdr>
    </w:div>
    <w:div w:id="1768236276">
      <w:bodyDiv w:val="1"/>
      <w:marLeft w:val="0"/>
      <w:marRight w:val="0"/>
      <w:marTop w:val="0"/>
      <w:marBottom w:val="0"/>
      <w:divBdr>
        <w:top w:val="none" w:sz="0" w:space="0" w:color="auto"/>
        <w:left w:val="none" w:sz="0" w:space="0" w:color="auto"/>
        <w:bottom w:val="none" w:sz="0" w:space="0" w:color="auto"/>
        <w:right w:val="none" w:sz="0" w:space="0" w:color="auto"/>
      </w:divBdr>
    </w:div>
    <w:div w:id="1773743039">
      <w:bodyDiv w:val="1"/>
      <w:marLeft w:val="0"/>
      <w:marRight w:val="0"/>
      <w:marTop w:val="0"/>
      <w:marBottom w:val="0"/>
      <w:divBdr>
        <w:top w:val="none" w:sz="0" w:space="0" w:color="auto"/>
        <w:left w:val="none" w:sz="0" w:space="0" w:color="auto"/>
        <w:bottom w:val="none" w:sz="0" w:space="0" w:color="auto"/>
        <w:right w:val="none" w:sz="0" w:space="0" w:color="auto"/>
      </w:divBdr>
    </w:div>
    <w:div w:id="1796213095">
      <w:bodyDiv w:val="1"/>
      <w:marLeft w:val="0"/>
      <w:marRight w:val="0"/>
      <w:marTop w:val="0"/>
      <w:marBottom w:val="0"/>
      <w:divBdr>
        <w:top w:val="none" w:sz="0" w:space="0" w:color="auto"/>
        <w:left w:val="none" w:sz="0" w:space="0" w:color="auto"/>
        <w:bottom w:val="none" w:sz="0" w:space="0" w:color="auto"/>
        <w:right w:val="none" w:sz="0" w:space="0" w:color="auto"/>
      </w:divBdr>
    </w:div>
    <w:div w:id="1855073647">
      <w:bodyDiv w:val="1"/>
      <w:marLeft w:val="0"/>
      <w:marRight w:val="0"/>
      <w:marTop w:val="0"/>
      <w:marBottom w:val="0"/>
      <w:divBdr>
        <w:top w:val="none" w:sz="0" w:space="0" w:color="auto"/>
        <w:left w:val="none" w:sz="0" w:space="0" w:color="auto"/>
        <w:bottom w:val="none" w:sz="0" w:space="0" w:color="auto"/>
        <w:right w:val="none" w:sz="0" w:space="0" w:color="auto"/>
      </w:divBdr>
    </w:div>
    <w:div w:id="20404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pgemin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vestors.capgemini.com/en/financial-resul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ge.media-server.com/mmc/p/ee343qz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apgemini 2017_Cover slides">
  <a:themeElements>
    <a:clrScheme name="Custom 1">
      <a:dk1>
        <a:srgbClr val="000000"/>
      </a:dk1>
      <a:lt1>
        <a:sysClr val="window" lastClr="FFFFFF"/>
      </a:lt1>
      <a:dk2>
        <a:srgbClr val="12ABDB"/>
      </a:dk2>
      <a:lt2>
        <a:srgbClr val="EDEDED"/>
      </a:lt2>
      <a:accent1>
        <a:srgbClr val="0070AD"/>
      </a:accent1>
      <a:accent2>
        <a:srgbClr val="12ABDB"/>
      </a:accent2>
      <a:accent3>
        <a:srgbClr val="2B0A3D"/>
      </a:accent3>
      <a:accent4>
        <a:srgbClr val="FF304C"/>
      </a:accent4>
      <a:accent5>
        <a:srgbClr val="95E616"/>
      </a:accent5>
      <a:accent6>
        <a:srgbClr val="C2CF00"/>
      </a:accent6>
      <a:hlink>
        <a:srgbClr val="005481"/>
      </a:hlink>
      <a:folHlink>
        <a:srgbClr val="861763"/>
      </a:folHlink>
    </a:clrScheme>
    <a:fontScheme name="Capgemin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ésentation1" id="{F4EDDD86-B8A8-46E1-81BA-C40220CF151C}" vid="{D76BB8BF-901C-4709-A70B-B9D859909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14740A9E01B64582A1811E8C0386F7" ma:contentTypeVersion="0" ma:contentTypeDescription="Create a new document." ma:contentTypeScope="" ma:versionID="e8f1e4ae0e0cd8ad2869bddaf7cd024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8B34-2B0C-459D-A54D-3A42D5BB5A27}">
  <ds:schemaRefs>
    <ds:schemaRef ds:uri="http://schemas.microsoft.com/sharepoint/v3/contenttype/forms"/>
  </ds:schemaRefs>
</ds:datastoreItem>
</file>

<file path=customXml/itemProps2.xml><?xml version="1.0" encoding="utf-8"?>
<ds:datastoreItem xmlns:ds="http://schemas.openxmlformats.org/officeDocument/2006/customXml" ds:itemID="{25A5087C-2D39-4C65-8E5F-97414933F4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F14A2-C746-42E5-B188-E0BA192CC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24AF07-3BE2-49C6-8A7E-3F552E4F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4200</Words>
  <Characters>22263</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FY08</vt:lpstr>
      <vt:lpstr>FY08</vt:lpstr>
    </vt:vector>
  </TitlesOfParts>
  <Company>CAPGEMINI</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FY08</dc:title>
  <dc:subject/>
  <dc:creator>CAPGEMINI</dc:creator>
  <cp:keywords/>
  <dc:description/>
  <cp:lastModifiedBy>Resare, Gunilla</cp:lastModifiedBy>
  <cp:revision>2</cp:revision>
  <cp:lastPrinted>2019-07-29T13:10:00Z</cp:lastPrinted>
  <dcterms:created xsi:type="dcterms:W3CDTF">2019-07-30T10:41:00Z</dcterms:created>
  <dcterms:modified xsi:type="dcterms:W3CDTF">2019-07-30T10:41:00Z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0x0101004214740A9E01B64582A1811E8C0386F7</vt:lpwstr>
  </property>
</Properties>
</file>