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F14F" w14:textId="436F22ED" w:rsidR="006B5AB6" w:rsidRPr="005206A5" w:rsidRDefault="00084B71">
      <w:pPr>
        <w:rPr>
          <w:rFonts w:cstheme="minorHAnsi"/>
          <w:bCs/>
          <w:color w:val="C00000"/>
          <w:sz w:val="22"/>
          <w:szCs w:val="21"/>
        </w:rPr>
      </w:pPr>
      <w:r w:rsidRPr="005206A5">
        <w:rPr>
          <w:rFonts w:cstheme="minorHAnsi"/>
          <w:bCs/>
          <w:sz w:val="22"/>
          <w:szCs w:val="21"/>
        </w:rPr>
        <w:t>Press</w:t>
      </w:r>
      <w:r w:rsidR="006B5AB6" w:rsidRPr="005206A5">
        <w:rPr>
          <w:rFonts w:cstheme="minorHAnsi"/>
          <w:bCs/>
          <w:sz w:val="22"/>
          <w:szCs w:val="21"/>
        </w:rPr>
        <w:t>release</w:t>
      </w:r>
      <w:r w:rsidR="006B5AB6" w:rsidRPr="005206A5">
        <w:rPr>
          <w:rFonts w:cstheme="minorHAnsi"/>
          <w:bCs/>
          <w:sz w:val="22"/>
          <w:szCs w:val="21"/>
        </w:rPr>
        <w:tab/>
      </w:r>
      <w:r w:rsidR="006B5AB6" w:rsidRPr="005206A5">
        <w:rPr>
          <w:rFonts w:cstheme="minorHAnsi"/>
          <w:bCs/>
          <w:sz w:val="22"/>
          <w:szCs w:val="21"/>
        </w:rPr>
        <w:tab/>
      </w:r>
      <w:r w:rsidR="006B5AB6" w:rsidRPr="005206A5">
        <w:rPr>
          <w:rFonts w:cstheme="minorHAnsi"/>
          <w:bCs/>
          <w:sz w:val="22"/>
          <w:szCs w:val="21"/>
        </w:rPr>
        <w:tab/>
      </w:r>
      <w:r w:rsidR="006B5AB6" w:rsidRPr="005206A5">
        <w:rPr>
          <w:rFonts w:cstheme="minorHAnsi"/>
          <w:bCs/>
          <w:sz w:val="22"/>
          <w:szCs w:val="21"/>
        </w:rPr>
        <w:tab/>
      </w:r>
      <w:r w:rsidRPr="005206A5">
        <w:rPr>
          <w:rFonts w:cstheme="minorHAnsi"/>
          <w:bCs/>
          <w:sz w:val="22"/>
          <w:szCs w:val="21"/>
        </w:rPr>
        <w:tab/>
      </w:r>
      <w:r w:rsidR="006B5AB6" w:rsidRPr="005206A5">
        <w:rPr>
          <w:rFonts w:cstheme="minorHAnsi"/>
          <w:bCs/>
          <w:sz w:val="22"/>
          <w:szCs w:val="21"/>
        </w:rPr>
        <w:t>Stenkullen 201</w:t>
      </w:r>
      <w:r w:rsidR="00CB764C">
        <w:rPr>
          <w:rFonts w:cstheme="minorHAnsi"/>
          <w:bCs/>
          <w:sz w:val="22"/>
          <w:szCs w:val="21"/>
        </w:rPr>
        <w:t>9-09-27</w:t>
      </w:r>
      <w:bookmarkStart w:id="0" w:name="_GoBack"/>
      <w:bookmarkEnd w:id="0"/>
    </w:p>
    <w:p w14:paraId="45D510CE" w14:textId="77777777" w:rsidR="006B5AB6" w:rsidRPr="00084B71" w:rsidRDefault="006B5AB6">
      <w:pPr>
        <w:rPr>
          <w:rFonts w:cstheme="minorHAnsi"/>
          <w:b/>
          <w:bCs/>
          <w:sz w:val="21"/>
          <w:szCs w:val="21"/>
        </w:rPr>
      </w:pPr>
    </w:p>
    <w:p w14:paraId="19F29604" w14:textId="7D4616AF" w:rsidR="0031380C" w:rsidRPr="00084B71" w:rsidRDefault="0037722A">
      <w:pPr>
        <w:rPr>
          <w:rFonts w:cstheme="minorHAnsi"/>
          <w:b/>
          <w:bCs/>
          <w:sz w:val="48"/>
          <w:szCs w:val="52"/>
        </w:rPr>
      </w:pPr>
      <w:r>
        <w:rPr>
          <w:rFonts w:cstheme="minorHAnsi"/>
          <w:b/>
          <w:bCs/>
          <w:sz w:val="48"/>
          <w:szCs w:val="52"/>
        </w:rPr>
        <w:t>N</w:t>
      </w:r>
      <w:r w:rsidR="00201ECF">
        <w:rPr>
          <w:rFonts w:cstheme="minorHAnsi"/>
          <w:b/>
          <w:bCs/>
          <w:sz w:val="48"/>
          <w:szCs w:val="52"/>
        </w:rPr>
        <w:t>y</w:t>
      </w:r>
      <w:r>
        <w:rPr>
          <w:rFonts w:cstheme="minorHAnsi"/>
          <w:b/>
          <w:bCs/>
          <w:sz w:val="48"/>
          <w:szCs w:val="52"/>
        </w:rPr>
        <w:t xml:space="preserve"> generation motorsågar med lägre </w:t>
      </w:r>
      <w:r w:rsidRPr="00FF523B">
        <w:rPr>
          <w:rFonts w:cstheme="minorHAnsi"/>
          <w:b/>
          <w:bCs/>
          <w:sz w:val="48"/>
          <w:szCs w:val="52"/>
        </w:rPr>
        <w:t>utsläpp</w:t>
      </w:r>
    </w:p>
    <w:p w14:paraId="0A71CF81" w14:textId="77777777" w:rsidR="00346446" w:rsidRPr="00084B71" w:rsidRDefault="00346446">
      <w:pPr>
        <w:rPr>
          <w:rFonts w:cstheme="minorHAnsi"/>
        </w:rPr>
      </w:pPr>
    </w:p>
    <w:p w14:paraId="55C8CAEF" w14:textId="7BEAA496" w:rsidR="00634718" w:rsidRDefault="00DC6C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STIHL lanserar en ny generation motorsågar som uppfyller </w:t>
      </w:r>
      <w:r w:rsidR="008A1779">
        <w:rPr>
          <w:rFonts w:cstheme="minorHAnsi"/>
          <w:b/>
          <w:bCs/>
        </w:rPr>
        <w:t>utsläppskrav enligt</w:t>
      </w:r>
      <w:r>
        <w:rPr>
          <w:rFonts w:cstheme="minorHAnsi"/>
          <w:b/>
          <w:bCs/>
        </w:rPr>
        <w:t xml:space="preserve"> EU5 och har därmed lägre utsläpp än föregångarna. MS 151 och MS 194 är två nya smidiga </w:t>
      </w:r>
      <w:r w:rsidR="003452D3">
        <w:rPr>
          <w:rFonts w:cstheme="minorHAnsi"/>
          <w:b/>
          <w:bCs/>
        </w:rPr>
        <w:t>motorsågar med</w:t>
      </w:r>
      <w:r w:rsidR="00904198">
        <w:rPr>
          <w:rFonts w:cstheme="minorHAnsi"/>
          <w:b/>
          <w:bCs/>
        </w:rPr>
        <w:t xml:space="preserve"> låg vikt</w:t>
      </w:r>
      <w:r w:rsidR="006E14ED">
        <w:rPr>
          <w:rFonts w:cstheme="minorHAnsi"/>
          <w:b/>
          <w:bCs/>
        </w:rPr>
        <w:t xml:space="preserve"> </w:t>
      </w:r>
      <w:r w:rsidR="00813920">
        <w:rPr>
          <w:rFonts w:cstheme="minorHAnsi"/>
          <w:b/>
          <w:bCs/>
        </w:rPr>
        <w:t xml:space="preserve">medan </w:t>
      </w:r>
      <w:r>
        <w:rPr>
          <w:rFonts w:cstheme="minorHAnsi"/>
          <w:b/>
          <w:bCs/>
        </w:rPr>
        <w:t xml:space="preserve">MS 201 </w:t>
      </w:r>
      <w:r w:rsidR="00813920">
        <w:rPr>
          <w:rFonts w:cstheme="minorHAnsi"/>
          <w:b/>
          <w:bCs/>
        </w:rPr>
        <w:t>släpps som en uppdaterad modell</w:t>
      </w:r>
      <w:r w:rsidR="00634718">
        <w:rPr>
          <w:rFonts w:cstheme="minorHAnsi"/>
          <w:b/>
          <w:bCs/>
        </w:rPr>
        <w:t xml:space="preserve">. Den nya generationen </w:t>
      </w:r>
      <w:r w:rsidR="00E342A9">
        <w:rPr>
          <w:rFonts w:cstheme="minorHAnsi"/>
          <w:b/>
          <w:bCs/>
        </w:rPr>
        <w:t xml:space="preserve">har mer kraft </w:t>
      </w:r>
      <w:r w:rsidR="00FB255A">
        <w:rPr>
          <w:rFonts w:cstheme="minorHAnsi"/>
          <w:b/>
          <w:bCs/>
        </w:rPr>
        <w:t>och</w:t>
      </w:r>
      <w:r w:rsidR="00724232">
        <w:rPr>
          <w:rFonts w:cstheme="minorHAnsi"/>
          <w:b/>
          <w:bCs/>
        </w:rPr>
        <w:t xml:space="preserve"> ett </w:t>
      </w:r>
      <w:r w:rsidR="00636649">
        <w:rPr>
          <w:rFonts w:cstheme="minorHAnsi"/>
          <w:b/>
          <w:bCs/>
        </w:rPr>
        <w:t>utökat</w:t>
      </w:r>
      <w:r w:rsidR="00724232">
        <w:rPr>
          <w:rFonts w:cstheme="minorHAnsi"/>
          <w:b/>
          <w:bCs/>
        </w:rPr>
        <w:t xml:space="preserve"> vridmomen</w:t>
      </w:r>
      <w:r w:rsidR="00E342A9">
        <w:rPr>
          <w:rFonts w:cstheme="minorHAnsi"/>
          <w:b/>
          <w:bCs/>
        </w:rPr>
        <w:t xml:space="preserve">t </w:t>
      </w:r>
      <w:r w:rsidR="003452D3">
        <w:rPr>
          <w:rFonts w:cstheme="minorHAnsi"/>
          <w:b/>
          <w:bCs/>
        </w:rPr>
        <w:t>och</w:t>
      </w:r>
      <w:r w:rsidR="00E342A9">
        <w:rPr>
          <w:rFonts w:cstheme="minorHAnsi"/>
          <w:b/>
          <w:bCs/>
        </w:rPr>
        <w:t xml:space="preserve"> är smidiga</w:t>
      </w:r>
      <w:r w:rsidR="007F0784">
        <w:rPr>
          <w:rFonts w:cstheme="minorHAnsi"/>
          <w:b/>
          <w:bCs/>
        </w:rPr>
        <w:t xml:space="preserve"> att hantera</w:t>
      </w:r>
      <w:r w:rsidR="00E342A9">
        <w:rPr>
          <w:rFonts w:cstheme="minorHAnsi"/>
          <w:b/>
          <w:bCs/>
        </w:rPr>
        <w:t xml:space="preserve">. </w:t>
      </w:r>
    </w:p>
    <w:p w14:paraId="04EF4F61" w14:textId="77777777" w:rsidR="00634718" w:rsidRDefault="00634718">
      <w:pPr>
        <w:rPr>
          <w:rFonts w:cstheme="minorHAnsi"/>
          <w:b/>
          <w:bCs/>
        </w:rPr>
      </w:pPr>
    </w:p>
    <w:p w14:paraId="28A24554" w14:textId="339C557D" w:rsidR="00FD5A09" w:rsidRDefault="005D1BB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De nya motorsågarna MS 151</w:t>
      </w:r>
      <w:r w:rsidR="009E2137">
        <w:rPr>
          <w:rFonts w:cstheme="minorHAnsi"/>
          <w:color w:val="000000" w:themeColor="text1"/>
        </w:rPr>
        <w:t xml:space="preserve"> och</w:t>
      </w:r>
      <w:r>
        <w:rPr>
          <w:rFonts w:cstheme="minorHAnsi"/>
          <w:color w:val="000000" w:themeColor="text1"/>
        </w:rPr>
        <w:t xml:space="preserve"> MS 194 </w:t>
      </w:r>
      <w:r w:rsidR="009E2137">
        <w:rPr>
          <w:rFonts w:cstheme="minorHAnsi"/>
          <w:color w:val="000000" w:themeColor="text1"/>
        </w:rPr>
        <w:t xml:space="preserve">har mer kraft </w:t>
      </w:r>
      <w:r w:rsidR="008454C8">
        <w:rPr>
          <w:rFonts w:cstheme="minorHAnsi"/>
          <w:color w:val="000000" w:themeColor="text1"/>
        </w:rPr>
        <w:t xml:space="preserve">och ett utökat vridmoment jämfört med föregångarna MS 150 och MS 193. </w:t>
      </w:r>
      <w:r w:rsidR="00CB2E68">
        <w:rPr>
          <w:rFonts w:cstheme="minorHAnsi"/>
          <w:color w:val="000000" w:themeColor="text1"/>
        </w:rPr>
        <w:t xml:space="preserve">Det utökade vridmomentet tillsammans med den låga vikten gör att motorsågarna är smidiga att manövrera. </w:t>
      </w:r>
      <w:r w:rsidR="00DC2616">
        <w:rPr>
          <w:rFonts w:cstheme="minorHAnsi"/>
          <w:color w:val="000000" w:themeColor="text1"/>
        </w:rPr>
        <w:t xml:space="preserve">MS 201 </w:t>
      </w:r>
      <w:r w:rsidR="00BF43FF">
        <w:rPr>
          <w:rFonts w:cstheme="minorHAnsi"/>
          <w:color w:val="000000" w:themeColor="text1"/>
        </w:rPr>
        <w:t>lanseras</w:t>
      </w:r>
      <w:r w:rsidR="00DC2616">
        <w:rPr>
          <w:rFonts w:cstheme="minorHAnsi"/>
          <w:color w:val="000000" w:themeColor="text1"/>
        </w:rPr>
        <w:t xml:space="preserve"> som en uppdaterad modell</w:t>
      </w:r>
      <w:r w:rsidR="00CB2E68">
        <w:rPr>
          <w:rFonts w:cstheme="minorHAnsi"/>
          <w:color w:val="000000" w:themeColor="text1"/>
        </w:rPr>
        <w:t xml:space="preserve"> och har nu även M-Tronic 3.0. </w:t>
      </w:r>
      <w:r w:rsidR="00DC2616">
        <w:rPr>
          <w:rFonts w:cstheme="minorHAnsi"/>
          <w:color w:val="000000" w:themeColor="text1"/>
        </w:rPr>
        <w:t xml:space="preserve"> </w:t>
      </w:r>
    </w:p>
    <w:p w14:paraId="21A3D45D" w14:textId="77777777" w:rsidR="004B10CE" w:rsidRDefault="004B10CE">
      <w:pPr>
        <w:rPr>
          <w:rFonts w:cstheme="minorHAnsi"/>
          <w:color w:val="000000" w:themeColor="text1"/>
        </w:rPr>
      </w:pPr>
    </w:p>
    <w:p w14:paraId="63CF31DF" w14:textId="2FE00DE8" w:rsidR="00DC2616" w:rsidRDefault="00DC2616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– </w:t>
      </w:r>
      <w:r w:rsidR="00CB2E68">
        <w:rPr>
          <w:rFonts w:cstheme="minorHAnsi"/>
          <w:color w:val="000000" w:themeColor="text1"/>
        </w:rPr>
        <w:t>Funktionen</w:t>
      </w:r>
      <w:r w:rsidR="00623C7E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M-Tronic 3.0</w:t>
      </w:r>
      <w:r w:rsidR="009138DA">
        <w:rPr>
          <w:rFonts w:cstheme="minorHAnsi"/>
          <w:color w:val="000000" w:themeColor="text1"/>
        </w:rPr>
        <w:t xml:space="preserve"> gör</w:t>
      </w:r>
      <w:r w:rsidR="00CB2E68">
        <w:rPr>
          <w:rFonts w:cstheme="minorHAnsi"/>
          <w:color w:val="000000" w:themeColor="text1"/>
        </w:rPr>
        <w:t xml:space="preserve"> att</w:t>
      </w:r>
      <w:r w:rsidR="009138DA">
        <w:rPr>
          <w:rFonts w:cstheme="minorHAnsi"/>
          <w:color w:val="000000" w:themeColor="text1"/>
        </w:rPr>
        <w:t xml:space="preserve"> kalibreringen nu blir enklare än tidigare för optimal prestanda. Samtidigt blir den</w:t>
      </w:r>
      <w:r w:rsidR="00D64312">
        <w:rPr>
          <w:rFonts w:cstheme="minorHAnsi"/>
          <w:color w:val="000000" w:themeColor="text1"/>
        </w:rPr>
        <w:t xml:space="preserve"> ännu</w:t>
      </w:r>
      <w:r w:rsidR="009138DA">
        <w:rPr>
          <w:rFonts w:cstheme="minorHAnsi"/>
          <w:color w:val="000000" w:themeColor="text1"/>
        </w:rPr>
        <w:t xml:space="preserve"> lättare att starta när den är varm</w:t>
      </w:r>
      <w:r>
        <w:rPr>
          <w:rFonts w:cstheme="minorHAnsi"/>
          <w:color w:val="000000" w:themeColor="text1"/>
        </w:rPr>
        <w:t xml:space="preserve">, säger Mats Gustafsson, nordisk produktchef på STIHL. </w:t>
      </w:r>
    </w:p>
    <w:p w14:paraId="55DF03A4" w14:textId="311CCC50" w:rsidR="002B79C3" w:rsidRDefault="002B79C3">
      <w:pPr>
        <w:rPr>
          <w:rFonts w:cstheme="minorHAnsi"/>
          <w:color w:val="000000" w:themeColor="text1"/>
        </w:rPr>
      </w:pPr>
    </w:p>
    <w:p w14:paraId="38D6DBAD" w14:textId="055BD71C" w:rsidR="000E562D" w:rsidRPr="000E562D" w:rsidRDefault="004B10CE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Starkare och mindre miljöbelast</w:t>
      </w:r>
      <w:r w:rsidR="00A05A59">
        <w:rPr>
          <w:rFonts w:cstheme="minorHAnsi"/>
          <w:b/>
          <w:bCs/>
          <w:color w:val="000000" w:themeColor="text1"/>
        </w:rPr>
        <w:t>ning</w:t>
      </w:r>
    </w:p>
    <w:p w14:paraId="3FD1AB48" w14:textId="56170907" w:rsidR="00651350" w:rsidRDefault="0065135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Cylindervolymen utökas och mer kraft utlovas samtidigt som motorsågarna</w:t>
      </w:r>
      <w:r w:rsidR="005C6D2E">
        <w:rPr>
          <w:rFonts w:cstheme="minorHAnsi"/>
          <w:color w:val="000000" w:themeColor="text1"/>
        </w:rPr>
        <w:t xml:space="preserve"> uppfyller utsläppskraven enligt EU5. </w:t>
      </w:r>
      <w:r w:rsidR="004B10CE">
        <w:rPr>
          <w:rFonts w:cstheme="minorHAnsi"/>
          <w:color w:val="000000" w:themeColor="text1"/>
        </w:rPr>
        <w:t xml:space="preserve">De nya motorsågarna </w:t>
      </w:r>
      <w:r w:rsidR="002A0EA2">
        <w:rPr>
          <w:rFonts w:cstheme="minorHAnsi"/>
          <w:color w:val="000000" w:themeColor="text1"/>
        </w:rPr>
        <w:t>ligger</w:t>
      </w:r>
      <w:r w:rsidR="005C6D2E">
        <w:rPr>
          <w:rFonts w:cstheme="minorHAnsi"/>
          <w:color w:val="000000" w:themeColor="text1"/>
        </w:rPr>
        <w:t xml:space="preserve"> i tre </w:t>
      </w:r>
      <w:r w:rsidR="004B10CE">
        <w:rPr>
          <w:rFonts w:cstheme="minorHAnsi"/>
          <w:color w:val="000000" w:themeColor="text1"/>
        </w:rPr>
        <w:t xml:space="preserve">olika kubiksklasser </w:t>
      </w:r>
      <w:r w:rsidR="002A0EA2">
        <w:rPr>
          <w:rFonts w:cstheme="minorHAnsi"/>
          <w:color w:val="000000" w:themeColor="text1"/>
        </w:rPr>
        <w:t>och samtliga</w:t>
      </w:r>
      <w:r w:rsidR="005C6D2E">
        <w:rPr>
          <w:rFonts w:cstheme="minorHAnsi"/>
          <w:color w:val="000000" w:themeColor="text1"/>
        </w:rPr>
        <w:t xml:space="preserve"> </w:t>
      </w:r>
      <w:r w:rsidR="002666B9">
        <w:rPr>
          <w:rFonts w:cstheme="minorHAnsi"/>
          <w:color w:val="000000" w:themeColor="text1"/>
        </w:rPr>
        <w:t>håll</w:t>
      </w:r>
      <w:r w:rsidR="002A0EA2">
        <w:rPr>
          <w:rFonts w:cstheme="minorHAnsi"/>
          <w:color w:val="000000" w:themeColor="text1"/>
        </w:rPr>
        <w:t>er</w:t>
      </w:r>
      <w:r w:rsidR="002666B9">
        <w:rPr>
          <w:rFonts w:cstheme="minorHAnsi"/>
          <w:color w:val="000000" w:themeColor="text1"/>
        </w:rPr>
        <w:t xml:space="preserve"> </w:t>
      </w:r>
      <w:r w:rsidR="002A0EA2">
        <w:rPr>
          <w:rFonts w:cstheme="minorHAnsi"/>
          <w:color w:val="000000" w:themeColor="text1"/>
        </w:rPr>
        <w:t>mycket</w:t>
      </w:r>
      <w:r w:rsidR="005C6D2E">
        <w:rPr>
          <w:rFonts w:cstheme="minorHAnsi"/>
          <w:color w:val="000000" w:themeColor="text1"/>
        </w:rPr>
        <w:t xml:space="preserve"> låg vikt. </w:t>
      </w:r>
    </w:p>
    <w:p w14:paraId="54AC662F" w14:textId="5BCD2583" w:rsidR="00651350" w:rsidRDefault="0065135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– </w:t>
      </w:r>
      <w:r w:rsidR="004B10CE">
        <w:rPr>
          <w:rFonts w:cstheme="minorHAnsi"/>
          <w:color w:val="000000" w:themeColor="text1"/>
        </w:rPr>
        <w:t>Samtidigt som vi har lyckats leverera mer kraft i motorsågarna har vi även kunnat minska utsläppe</w:t>
      </w:r>
      <w:r w:rsidR="0089640F">
        <w:rPr>
          <w:rFonts w:cstheme="minorHAnsi"/>
          <w:color w:val="000000" w:themeColor="text1"/>
        </w:rPr>
        <w:t>n</w:t>
      </w:r>
      <w:r w:rsidR="004B10CE">
        <w:rPr>
          <w:rFonts w:cstheme="minorHAnsi"/>
          <w:color w:val="000000" w:themeColor="text1"/>
        </w:rPr>
        <w:t xml:space="preserve"> och följa de EU-regleringar som finns. </w:t>
      </w:r>
      <w:r>
        <w:rPr>
          <w:rFonts w:cstheme="minorHAnsi"/>
          <w:color w:val="000000" w:themeColor="text1"/>
        </w:rPr>
        <w:t xml:space="preserve">MS 151 som är den mindre modellen är </w:t>
      </w:r>
      <w:r w:rsidR="004B10CE">
        <w:rPr>
          <w:rFonts w:cstheme="minorHAnsi"/>
          <w:color w:val="000000" w:themeColor="text1"/>
        </w:rPr>
        <w:t xml:space="preserve">även </w:t>
      </w:r>
      <w:r>
        <w:rPr>
          <w:rFonts w:cstheme="minorHAnsi"/>
          <w:color w:val="000000" w:themeColor="text1"/>
        </w:rPr>
        <w:t>världens lättaste motorsåg</w:t>
      </w:r>
      <w:r w:rsidR="00AE320E">
        <w:rPr>
          <w:rFonts w:cstheme="minorHAnsi"/>
          <w:color w:val="000000" w:themeColor="text1"/>
        </w:rPr>
        <w:t xml:space="preserve"> med bakhandtag</w:t>
      </w:r>
      <w:r>
        <w:rPr>
          <w:rFonts w:cstheme="minorHAnsi"/>
          <w:color w:val="000000" w:themeColor="text1"/>
        </w:rPr>
        <w:t xml:space="preserve">, säger Mats Gustafsson. </w:t>
      </w:r>
    </w:p>
    <w:p w14:paraId="7F59DCC1" w14:textId="5C798F15" w:rsidR="00651350" w:rsidRDefault="00651350">
      <w:pPr>
        <w:rPr>
          <w:rFonts w:cstheme="minorHAnsi"/>
          <w:color w:val="000000" w:themeColor="text1"/>
        </w:rPr>
      </w:pPr>
    </w:p>
    <w:p w14:paraId="39602500" w14:textId="0CA4DE6D" w:rsidR="002B2101" w:rsidRDefault="0065135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Alla tre motorsågar finns tillgängliga med både bakhandtag och topphandtag. Arborister som </w:t>
      </w:r>
      <w:r w:rsidR="002A0EA2">
        <w:rPr>
          <w:rFonts w:cstheme="minorHAnsi"/>
          <w:color w:val="000000" w:themeColor="text1"/>
        </w:rPr>
        <w:t>behöver</w:t>
      </w:r>
      <w:r>
        <w:rPr>
          <w:rFonts w:cstheme="minorHAnsi"/>
          <w:color w:val="000000" w:themeColor="text1"/>
        </w:rPr>
        <w:t xml:space="preserve"> en smidig motorsåg med lätt vikt för beskärning kan välja mellan MS 151 T, MS 194 T och MS 201 T, alla med topphandtag.</w:t>
      </w:r>
      <w:r w:rsidR="00301432">
        <w:rPr>
          <w:rFonts w:cstheme="minorHAnsi"/>
          <w:color w:val="000000" w:themeColor="text1"/>
        </w:rPr>
        <w:t xml:space="preserve"> </w:t>
      </w:r>
      <w:r w:rsidR="00402C34">
        <w:rPr>
          <w:rFonts w:cstheme="minorHAnsi"/>
          <w:color w:val="000000" w:themeColor="text1"/>
        </w:rPr>
        <w:t xml:space="preserve">Samtliga tre modeller </w:t>
      </w:r>
      <w:r w:rsidR="002A0EA2">
        <w:rPr>
          <w:rFonts w:cstheme="minorHAnsi"/>
          <w:color w:val="000000" w:themeColor="text1"/>
        </w:rPr>
        <w:t xml:space="preserve">med bakhandtag </w:t>
      </w:r>
      <w:r w:rsidR="00402C34">
        <w:rPr>
          <w:rFonts w:cstheme="minorHAnsi"/>
          <w:color w:val="000000" w:themeColor="text1"/>
        </w:rPr>
        <w:t xml:space="preserve">lämpar sig till första gallring, beskärning och </w:t>
      </w:r>
      <w:r>
        <w:rPr>
          <w:rFonts w:cstheme="minorHAnsi"/>
          <w:color w:val="000000" w:themeColor="text1"/>
        </w:rPr>
        <w:t>sågning av</w:t>
      </w:r>
      <w:r w:rsidR="00402C34">
        <w:rPr>
          <w:rFonts w:cstheme="minorHAnsi"/>
          <w:color w:val="000000" w:themeColor="text1"/>
        </w:rPr>
        <w:t xml:space="preserve"> brännved</w:t>
      </w:r>
      <w:r>
        <w:rPr>
          <w:rFonts w:cstheme="minorHAnsi"/>
          <w:color w:val="000000" w:themeColor="text1"/>
        </w:rPr>
        <w:t xml:space="preserve">. </w:t>
      </w:r>
      <w:r w:rsidR="005D7A1C">
        <w:rPr>
          <w:rFonts w:cstheme="minorHAnsi"/>
          <w:color w:val="000000" w:themeColor="text1"/>
        </w:rPr>
        <w:t xml:space="preserve">MS </w:t>
      </w:r>
      <w:r w:rsidR="0046675F">
        <w:rPr>
          <w:rFonts w:cstheme="minorHAnsi"/>
          <w:color w:val="000000" w:themeColor="text1"/>
        </w:rPr>
        <w:t xml:space="preserve">194 med bakhandtag och båda modellerna av MS 151 </w:t>
      </w:r>
      <w:r w:rsidR="005D7A1C">
        <w:rPr>
          <w:rFonts w:cstheme="minorHAnsi"/>
          <w:color w:val="000000" w:themeColor="text1"/>
        </w:rPr>
        <w:t>har även</w:t>
      </w:r>
      <w:r w:rsidR="003C390E">
        <w:rPr>
          <w:rFonts w:cstheme="minorHAnsi"/>
          <w:color w:val="000000" w:themeColor="text1"/>
        </w:rPr>
        <w:t xml:space="preserve"> </w:t>
      </w:r>
      <w:r w:rsidR="002A15BB">
        <w:rPr>
          <w:rFonts w:cstheme="minorHAnsi"/>
          <w:color w:val="000000" w:themeColor="text1"/>
        </w:rPr>
        <w:t xml:space="preserve">en </w:t>
      </w:r>
      <w:proofErr w:type="spellStart"/>
      <w:r w:rsidR="003C390E">
        <w:rPr>
          <w:rFonts w:cstheme="minorHAnsi"/>
          <w:color w:val="000000" w:themeColor="text1"/>
        </w:rPr>
        <w:t>Eas</w:t>
      </w:r>
      <w:r w:rsidR="000809B9">
        <w:rPr>
          <w:rFonts w:cstheme="minorHAnsi"/>
          <w:color w:val="000000" w:themeColor="text1"/>
        </w:rPr>
        <w:t>yS</w:t>
      </w:r>
      <w:r w:rsidR="003C390E">
        <w:rPr>
          <w:rFonts w:cstheme="minorHAnsi"/>
          <w:color w:val="000000" w:themeColor="text1"/>
        </w:rPr>
        <w:t>tart</w:t>
      </w:r>
      <w:proofErr w:type="spellEnd"/>
      <w:r w:rsidR="003C390E">
        <w:rPr>
          <w:rFonts w:cstheme="minorHAnsi"/>
          <w:color w:val="000000" w:themeColor="text1"/>
        </w:rPr>
        <w:t xml:space="preserve">-funktion </w:t>
      </w:r>
      <w:r w:rsidR="005D7A1C">
        <w:rPr>
          <w:rFonts w:cstheme="minorHAnsi"/>
          <w:color w:val="000000" w:themeColor="text1"/>
        </w:rPr>
        <w:t xml:space="preserve">som gör att </w:t>
      </w:r>
      <w:r w:rsidR="00301432">
        <w:rPr>
          <w:rFonts w:cstheme="minorHAnsi"/>
          <w:color w:val="000000" w:themeColor="text1"/>
        </w:rPr>
        <w:t>motorsåg</w:t>
      </w:r>
      <w:r w:rsidR="0046675F">
        <w:rPr>
          <w:rFonts w:cstheme="minorHAnsi"/>
          <w:color w:val="000000" w:themeColor="text1"/>
        </w:rPr>
        <w:t>arna</w:t>
      </w:r>
      <w:r w:rsidR="005D7A1C">
        <w:rPr>
          <w:rFonts w:cstheme="minorHAnsi"/>
          <w:color w:val="000000" w:themeColor="text1"/>
        </w:rPr>
        <w:t xml:space="preserve"> startar</w:t>
      </w:r>
      <w:r w:rsidR="000809B9">
        <w:rPr>
          <w:rFonts w:cstheme="minorHAnsi"/>
          <w:color w:val="000000" w:themeColor="text1"/>
        </w:rPr>
        <w:t xml:space="preserve"> lättare</w:t>
      </w:r>
      <w:r w:rsidR="00620497">
        <w:rPr>
          <w:rFonts w:cstheme="minorHAnsi"/>
          <w:color w:val="000000" w:themeColor="text1"/>
        </w:rPr>
        <w:t xml:space="preserve"> utan att större kraft behövs</w:t>
      </w:r>
      <w:r w:rsidR="000809B9">
        <w:rPr>
          <w:rFonts w:cstheme="minorHAnsi"/>
          <w:color w:val="000000" w:themeColor="text1"/>
        </w:rPr>
        <w:t xml:space="preserve">. </w:t>
      </w:r>
    </w:p>
    <w:p w14:paraId="671F5E52" w14:textId="77777777" w:rsidR="00EA5C91" w:rsidRPr="00084B71" w:rsidRDefault="00EA5C91">
      <w:pPr>
        <w:rPr>
          <w:rFonts w:cstheme="minorHAnsi"/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690"/>
      </w:tblGrid>
      <w:tr w:rsidR="00606C98" w14:paraId="7DC4DC78" w14:textId="77777777" w:rsidTr="00801119">
        <w:tc>
          <w:tcPr>
            <w:tcW w:w="3681" w:type="dxa"/>
          </w:tcPr>
          <w:p w14:paraId="76B24C10" w14:textId="7383A4AD" w:rsidR="00606C98" w:rsidRPr="008F60FE" w:rsidRDefault="000809B9" w:rsidP="005D5E91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F60FE">
              <w:rPr>
                <w:rFonts w:cstheme="minorHAnsi"/>
                <w:b/>
                <w:bCs/>
                <w:color w:val="000000" w:themeColor="text1"/>
              </w:rPr>
              <w:t>Tekniska fakta</w:t>
            </w:r>
          </w:p>
        </w:tc>
        <w:tc>
          <w:tcPr>
            <w:tcW w:w="1843" w:type="dxa"/>
          </w:tcPr>
          <w:p w14:paraId="311CEF22" w14:textId="5131EEFF" w:rsidR="00606C98" w:rsidRPr="008F60FE" w:rsidRDefault="00606C98" w:rsidP="002B4AD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F60FE">
              <w:rPr>
                <w:rFonts w:cstheme="minorHAnsi"/>
                <w:b/>
                <w:bCs/>
                <w:color w:val="000000" w:themeColor="text1"/>
              </w:rPr>
              <w:t>MS 151</w:t>
            </w:r>
          </w:p>
        </w:tc>
        <w:tc>
          <w:tcPr>
            <w:tcW w:w="1842" w:type="dxa"/>
          </w:tcPr>
          <w:p w14:paraId="3E0EC5CA" w14:textId="23631059" w:rsidR="00606C98" w:rsidRPr="008F60FE" w:rsidRDefault="00606C98" w:rsidP="002B4AD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F60FE">
              <w:rPr>
                <w:rFonts w:cstheme="minorHAnsi"/>
                <w:b/>
                <w:bCs/>
                <w:color w:val="000000" w:themeColor="text1"/>
              </w:rPr>
              <w:t>MS 194</w:t>
            </w:r>
          </w:p>
        </w:tc>
        <w:tc>
          <w:tcPr>
            <w:tcW w:w="1690" w:type="dxa"/>
          </w:tcPr>
          <w:p w14:paraId="57C6B970" w14:textId="5153745E" w:rsidR="00606C98" w:rsidRPr="008F60FE" w:rsidRDefault="00606C98" w:rsidP="002B4AD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F60FE">
              <w:rPr>
                <w:rFonts w:cstheme="minorHAnsi"/>
                <w:b/>
                <w:bCs/>
                <w:color w:val="000000" w:themeColor="text1"/>
              </w:rPr>
              <w:t>MS 201</w:t>
            </w:r>
          </w:p>
        </w:tc>
      </w:tr>
      <w:tr w:rsidR="008F60FE" w14:paraId="29B10088" w14:textId="77777777" w:rsidTr="00801119">
        <w:tc>
          <w:tcPr>
            <w:tcW w:w="3681" w:type="dxa"/>
          </w:tcPr>
          <w:p w14:paraId="35C11C21" w14:textId="15828B02" w:rsidR="008F60FE" w:rsidRDefault="008F60FE" w:rsidP="005D5E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Motor</w:t>
            </w:r>
          </w:p>
        </w:tc>
        <w:tc>
          <w:tcPr>
            <w:tcW w:w="1843" w:type="dxa"/>
          </w:tcPr>
          <w:p w14:paraId="4C60FCEC" w14:textId="1332761D" w:rsidR="008F60FE" w:rsidRDefault="008F60FE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2-MIX</w:t>
            </w:r>
          </w:p>
        </w:tc>
        <w:tc>
          <w:tcPr>
            <w:tcW w:w="1842" w:type="dxa"/>
          </w:tcPr>
          <w:p w14:paraId="3FD3C8E5" w14:textId="544014A5" w:rsidR="008F60FE" w:rsidRDefault="006104F5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2-MIX</w:t>
            </w:r>
          </w:p>
        </w:tc>
        <w:tc>
          <w:tcPr>
            <w:tcW w:w="1690" w:type="dxa"/>
          </w:tcPr>
          <w:p w14:paraId="3ACEC6E5" w14:textId="32FD2D2A" w:rsidR="008F60FE" w:rsidRDefault="00801119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2-MIX</w:t>
            </w:r>
          </w:p>
        </w:tc>
      </w:tr>
      <w:tr w:rsidR="007348FB" w14:paraId="743C6005" w14:textId="77777777" w:rsidTr="00801119">
        <w:tc>
          <w:tcPr>
            <w:tcW w:w="3681" w:type="dxa"/>
          </w:tcPr>
          <w:p w14:paraId="3834AA87" w14:textId="242AE2C7" w:rsidR="007348FB" w:rsidRDefault="00DF6E17" w:rsidP="005D5E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Cylindervolym</w:t>
            </w:r>
            <w:r w:rsidR="007348FB">
              <w:rPr>
                <w:rFonts w:cstheme="minorHAnsi"/>
                <w:color w:val="000000" w:themeColor="text1"/>
              </w:rPr>
              <w:t xml:space="preserve"> (cm</w:t>
            </w:r>
            <w:r w:rsidR="007348FB" w:rsidRPr="007348FB">
              <w:rPr>
                <w:rFonts w:cstheme="minorHAnsi"/>
                <w:color w:val="000000" w:themeColor="text1"/>
                <w:vertAlign w:val="superscript"/>
              </w:rPr>
              <w:t>3</w:t>
            </w:r>
            <w:r w:rsidR="007348FB">
              <w:rPr>
                <w:rFonts w:cstheme="minorHAnsi"/>
                <w:color w:val="000000" w:themeColor="text1"/>
              </w:rPr>
              <w:t>)</w:t>
            </w:r>
          </w:p>
        </w:tc>
        <w:tc>
          <w:tcPr>
            <w:tcW w:w="1843" w:type="dxa"/>
          </w:tcPr>
          <w:p w14:paraId="577ED1B6" w14:textId="5FC5AE5C" w:rsidR="007348FB" w:rsidRDefault="007348FB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23,6</w:t>
            </w:r>
          </w:p>
        </w:tc>
        <w:tc>
          <w:tcPr>
            <w:tcW w:w="1842" w:type="dxa"/>
          </w:tcPr>
          <w:p w14:paraId="374016B3" w14:textId="4F327F80" w:rsidR="007348FB" w:rsidRDefault="006104F5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31,8</w:t>
            </w:r>
          </w:p>
        </w:tc>
        <w:tc>
          <w:tcPr>
            <w:tcW w:w="1690" w:type="dxa"/>
          </w:tcPr>
          <w:p w14:paraId="30B393DD" w14:textId="1F9DE1BD" w:rsidR="007348FB" w:rsidRDefault="00801119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35,2</w:t>
            </w:r>
          </w:p>
        </w:tc>
      </w:tr>
      <w:tr w:rsidR="007348FB" w14:paraId="36311B8A" w14:textId="77777777" w:rsidTr="00801119">
        <w:tc>
          <w:tcPr>
            <w:tcW w:w="3681" w:type="dxa"/>
          </w:tcPr>
          <w:p w14:paraId="79A28BB5" w14:textId="5585B493" w:rsidR="007348FB" w:rsidRDefault="00363C79" w:rsidP="005D5E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Effekt</w:t>
            </w:r>
            <w:r w:rsidR="007348FB">
              <w:rPr>
                <w:rFonts w:cstheme="minorHAnsi"/>
                <w:color w:val="000000" w:themeColor="text1"/>
              </w:rPr>
              <w:t xml:space="preserve"> (kW)</w:t>
            </w:r>
          </w:p>
        </w:tc>
        <w:tc>
          <w:tcPr>
            <w:tcW w:w="1843" w:type="dxa"/>
          </w:tcPr>
          <w:p w14:paraId="6BD68E78" w14:textId="529093D9" w:rsidR="007348FB" w:rsidRDefault="007348FB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1,1</w:t>
            </w:r>
          </w:p>
        </w:tc>
        <w:tc>
          <w:tcPr>
            <w:tcW w:w="1842" w:type="dxa"/>
          </w:tcPr>
          <w:p w14:paraId="21248B34" w14:textId="078E30D2" w:rsidR="007348FB" w:rsidRDefault="006104F5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1,40</w:t>
            </w:r>
          </w:p>
        </w:tc>
        <w:tc>
          <w:tcPr>
            <w:tcW w:w="1690" w:type="dxa"/>
          </w:tcPr>
          <w:p w14:paraId="11FD1C3D" w14:textId="335949F3" w:rsidR="007348FB" w:rsidRDefault="00801119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1,8</w:t>
            </w:r>
          </w:p>
        </w:tc>
      </w:tr>
      <w:tr w:rsidR="00230BCC" w14:paraId="3767E9FF" w14:textId="77777777" w:rsidTr="00801119">
        <w:tc>
          <w:tcPr>
            <w:tcW w:w="3681" w:type="dxa"/>
          </w:tcPr>
          <w:p w14:paraId="3A74B58A" w14:textId="5B381466" w:rsidR="00230BCC" w:rsidRDefault="00230BCC" w:rsidP="005D5E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Vridmoment (Nm)</w:t>
            </w:r>
          </w:p>
        </w:tc>
        <w:tc>
          <w:tcPr>
            <w:tcW w:w="1843" w:type="dxa"/>
          </w:tcPr>
          <w:p w14:paraId="2A654C7F" w14:textId="450798C4" w:rsidR="00230BCC" w:rsidRDefault="00230BCC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1,1</w:t>
            </w:r>
          </w:p>
        </w:tc>
        <w:tc>
          <w:tcPr>
            <w:tcW w:w="1842" w:type="dxa"/>
          </w:tcPr>
          <w:p w14:paraId="0B34640E" w14:textId="63E8B637" w:rsidR="00230BCC" w:rsidRDefault="00230BCC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1,5</w:t>
            </w:r>
          </w:p>
        </w:tc>
        <w:tc>
          <w:tcPr>
            <w:tcW w:w="1690" w:type="dxa"/>
          </w:tcPr>
          <w:p w14:paraId="73EF1E3C" w14:textId="588BDD30" w:rsidR="00230BCC" w:rsidRDefault="00230BCC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1,75</w:t>
            </w:r>
          </w:p>
        </w:tc>
      </w:tr>
      <w:tr w:rsidR="008F60FE" w14:paraId="3B45724A" w14:textId="77777777" w:rsidTr="00801119">
        <w:tc>
          <w:tcPr>
            <w:tcW w:w="3681" w:type="dxa"/>
          </w:tcPr>
          <w:p w14:paraId="299BF9D7" w14:textId="6B9E4DB7" w:rsidR="008F60FE" w:rsidRDefault="008F60FE" w:rsidP="005D5E9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Vikt (</w:t>
            </w:r>
            <w:r w:rsidR="000854BB">
              <w:rPr>
                <w:rFonts w:cstheme="minorHAnsi"/>
                <w:color w:val="000000" w:themeColor="text1"/>
              </w:rPr>
              <w:t>T-modeller</w:t>
            </w:r>
            <w:r>
              <w:rPr>
                <w:rFonts w:cstheme="minorHAnsi"/>
                <w:color w:val="000000" w:themeColor="text1"/>
              </w:rPr>
              <w:t>) (kg)</w:t>
            </w:r>
          </w:p>
        </w:tc>
        <w:tc>
          <w:tcPr>
            <w:tcW w:w="1843" w:type="dxa"/>
          </w:tcPr>
          <w:p w14:paraId="5FCC6AD8" w14:textId="283814F4" w:rsidR="008F60FE" w:rsidRDefault="008F60FE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2,60</w:t>
            </w:r>
          </w:p>
        </w:tc>
        <w:tc>
          <w:tcPr>
            <w:tcW w:w="1842" w:type="dxa"/>
          </w:tcPr>
          <w:p w14:paraId="402BD415" w14:textId="126C2202" w:rsidR="008F60FE" w:rsidRDefault="006104F5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3,30</w:t>
            </w:r>
          </w:p>
        </w:tc>
        <w:tc>
          <w:tcPr>
            <w:tcW w:w="1690" w:type="dxa"/>
          </w:tcPr>
          <w:p w14:paraId="6C740DE1" w14:textId="091799C1" w:rsidR="008F60FE" w:rsidRDefault="00801119" w:rsidP="002B4AD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3,70</w:t>
            </w:r>
          </w:p>
        </w:tc>
      </w:tr>
      <w:tr w:rsidR="008F60FE" w:rsidRPr="008F60FE" w14:paraId="3924C924" w14:textId="77777777" w:rsidTr="00801119">
        <w:tc>
          <w:tcPr>
            <w:tcW w:w="3681" w:type="dxa"/>
          </w:tcPr>
          <w:p w14:paraId="291A44D2" w14:textId="2B1B72C9" w:rsidR="008F60FE" w:rsidRPr="008F60FE" w:rsidRDefault="00B30EEB" w:rsidP="005D5E91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Vikt</w:t>
            </w:r>
            <w:proofErr w:type="spellEnd"/>
            <w:r w:rsidR="00651350">
              <w:rPr>
                <w:rFonts w:cstheme="minorHAnsi"/>
                <w:color w:val="000000" w:themeColor="text1"/>
                <w:lang w:val="en-US"/>
              </w:rPr>
              <w:t>-</w:t>
            </w:r>
            <w:r>
              <w:rPr>
                <w:rFonts w:cstheme="minorHAnsi"/>
                <w:color w:val="000000" w:themeColor="text1"/>
                <w:lang w:val="en-US"/>
              </w:rPr>
              <w:t>/</w:t>
            </w: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effektförhållande</w:t>
            </w:r>
            <w:proofErr w:type="spellEnd"/>
            <w:r w:rsidR="008F60FE" w:rsidRPr="008F60FE">
              <w:rPr>
                <w:rFonts w:cstheme="minorHAnsi"/>
                <w:color w:val="000000" w:themeColor="text1"/>
                <w:lang w:val="en-US"/>
              </w:rPr>
              <w:t xml:space="preserve"> </w:t>
            </w:r>
            <w:r w:rsidR="008F60FE">
              <w:rPr>
                <w:rFonts w:cstheme="minorHAnsi"/>
                <w:color w:val="000000" w:themeColor="text1"/>
                <w:lang w:val="en-US"/>
              </w:rPr>
              <w:t>(</w:t>
            </w:r>
            <w:r w:rsidR="008F60FE" w:rsidRPr="008F60FE">
              <w:rPr>
                <w:rFonts w:cstheme="minorHAnsi"/>
                <w:color w:val="000000" w:themeColor="text1"/>
                <w:lang w:val="en-US"/>
              </w:rPr>
              <w:t>kg</w:t>
            </w:r>
            <w:r w:rsidR="008F60FE">
              <w:rPr>
                <w:rFonts w:cstheme="minorHAnsi"/>
                <w:color w:val="000000" w:themeColor="text1"/>
                <w:lang w:val="en-US"/>
              </w:rPr>
              <w:t>/kW)</w:t>
            </w:r>
          </w:p>
        </w:tc>
        <w:tc>
          <w:tcPr>
            <w:tcW w:w="1843" w:type="dxa"/>
          </w:tcPr>
          <w:p w14:paraId="6FCEF0FF" w14:textId="03904583" w:rsidR="008F60FE" w:rsidRPr="008F60FE" w:rsidRDefault="008F60FE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2,4</w:t>
            </w:r>
          </w:p>
        </w:tc>
        <w:tc>
          <w:tcPr>
            <w:tcW w:w="1842" w:type="dxa"/>
          </w:tcPr>
          <w:p w14:paraId="71005621" w14:textId="141E701A" w:rsidR="008F60FE" w:rsidRPr="008F60FE" w:rsidRDefault="006104F5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2,35</w:t>
            </w:r>
          </w:p>
        </w:tc>
        <w:tc>
          <w:tcPr>
            <w:tcW w:w="1690" w:type="dxa"/>
          </w:tcPr>
          <w:p w14:paraId="34F5149E" w14:textId="3626595A" w:rsidR="008F60FE" w:rsidRPr="008F60FE" w:rsidRDefault="00801119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2,1</w:t>
            </w:r>
          </w:p>
        </w:tc>
      </w:tr>
      <w:tr w:rsidR="008F60FE" w:rsidRPr="008F60FE" w14:paraId="04DA735D" w14:textId="77777777" w:rsidTr="00801119">
        <w:tc>
          <w:tcPr>
            <w:tcW w:w="3681" w:type="dxa"/>
          </w:tcPr>
          <w:p w14:paraId="249DCED4" w14:textId="76320E1E" w:rsidR="008F60FE" w:rsidRPr="008F60FE" w:rsidRDefault="00A4547B" w:rsidP="005D5E91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Ljudtrycksnivå</w:t>
            </w:r>
            <w:proofErr w:type="spellEnd"/>
            <w:r w:rsidR="008F60FE">
              <w:rPr>
                <w:rFonts w:cstheme="minorHAnsi"/>
                <w:color w:val="000000" w:themeColor="text1"/>
                <w:lang w:val="en-US"/>
              </w:rPr>
              <w:t xml:space="preserve"> dB(A)</w:t>
            </w:r>
          </w:p>
        </w:tc>
        <w:tc>
          <w:tcPr>
            <w:tcW w:w="1843" w:type="dxa"/>
          </w:tcPr>
          <w:p w14:paraId="551471B5" w14:textId="05B8FAE0" w:rsidR="008F60FE" w:rsidRDefault="008F60FE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96</w:t>
            </w:r>
          </w:p>
        </w:tc>
        <w:tc>
          <w:tcPr>
            <w:tcW w:w="1842" w:type="dxa"/>
          </w:tcPr>
          <w:p w14:paraId="0C5B0CAA" w14:textId="599C1263" w:rsidR="008F60FE" w:rsidRPr="008F60FE" w:rsidRDefault="006104F5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101</w:t>
            </w:r>
          </w:p>
        </w:tc>
        <w:tc>
          <w:tcPr>
            <w:tcW w:w="1690" w:type="dxa"/>
          </w:tcPr>
          <w:p w14:paraId="1C019C6B" w14:textId="2A990DFD" w:rsidR="008F60FE" w:rsidRPr="008F60FE" w:rsidRDefault="00801119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100</w:t>
            </w:r>
          </w:p>
        </w:tc>
      </w:tr>
      <w:tr w:rsidR="008F60FE" w:rsidRPr="008F60FE" w14:paraId="72E0270E" w14:textId="77777777" w:rsidTr="00801119">
        <w:tc>
          <w:tcPr>
            <w:tcW w:w="3681" w:type="dxa"/>
          </w:tcPr>
          <w:p w14:paraId="1EF78F46" w14:textId="3A1A3886" w:rsidR="008F60FE" w:rsidRDefault="00A4547B" w:rsidP="005D5E91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Ljudeffektnivå</w:t>
            </w:r>
            <w:proofErr w:type="spellEnd"/>
            <w:r w:rsidR="008F60FE">
              <w:rPr>
                <w:rFonts w:cstheme="minorHAnsi"/>
                <w:color w:val="000000" w:themeColor="text1"/>
                <w:lang w:val="en-US"/>
              </w:rPr>
              <w:t xml:space="preserve"> dB(A)</w:t>
            </w:r>
          </w:p>
        </w:tc>
        <w:tc>
          <w:tcPr>
            <w:tcW w:w="1843" w:type="dxa"/>
          </w:tcPr>
          <w:p w14:paraId="1A402CC0" w14:textId="2A9436F6" w:rsidR="008F60FE" w:rsidRDefault="008F60FE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112</w:t>
            </w:r>
          </w:p>
        </w:tc>
        <w:tc>
          <w:tcPr>
            <w:tcW w:w="1842" w:type="dxa"/>
          </w:tcPr>
          <w:p w14:paraId="2B017DB2" w14:textId="2C7E891A" w:rsidR="008F60FE" w:rsidRPr="008F60FE" w:rsidRDefault="006104F5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116</w:t>
            </w:r>
          </w:p>
        </w:tc>
        <w:tc>
          <w:tcPr>
            <w:tcW w:w="1690" w:type="dxa"/>
          </w:tcPr>
          <w:p w14:paraId="733FD520" w14:textId="008F55D2" w:rsidR="008F60FE" w:rsidRPr="008F60FE" w:rsidRDefault="00801119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115</w:t>
            </w:r>
          </w:p>
        </w:tc>
      </w:tr>
      <w:tr w:rsidR="008F60FE" w:rsidRPr="008F60FE" w14:paraId="7591EE23" w14:textId="77777777" w:rsidTr="00801119">
        <w:tc>
          <w:tcPr>
            <w:tcW w:w="3681" w:type="dxa"/>
          </w:tcPr>
          <w:p w14:paraId="72DB9540" w14:textId="3731A180" w:rsidR="008F60FE" w:rsidRPr="000E0F7E" w:rsidRDefault="008F60FE" w:rsidP="005D5E91">
            <w:pPr>
              <w:rPr>
                <w:rFonts w:cstheme="minorHAnsi"/>
                <w:color w:val="000000" w:themeColor="text1"/>
              </w:rPr>
            </w:pPr>
            <w:r w:rsidRPr="000E0F7E">
              <w:rPr>
                <w:rFonts w:cstheme="minorHAnsi"/>
                <w:color w:val="000000" w:themeColor="text1"/>
              </w:rPr>
              <w:t>Vibration (m/s</w:t>
            </w:r>
            <w:r w:rsidRPr="000E0F7E">
              <w:rPr>
                <w:rFonts w:cstheme="minorHAnsi"/>
                <w:color w:val="000000" w:themeColor="text1"/>
                <w:vertAlign w:val="superscript"/>
              </w:rPr>
              <w:t>2</w:t>
            </w:r>
            <w:r w:rsidRPr="000E0F7E">
              <w:rPr>
                <w:rFonts w:cstheme="minorHAnsi"/>
                <w:color w:val="000000" w:themeColor="text1"/>
              </w:rPr>
              <w:t>)</w:t>
            </w:r>
          </w:p>
          <w:p w14:paraId="5F9AFB82" w14:textId="07ABC0D6" w:rsidR="008F60FE" w:rsidRPr="000E0F7E" w:rsidRDefault="008F60FE" w:rsidP="005D5E91">
            <w:pPr>
              <w:rPr>
                <w:rFonts w:cstheme="minorHAnsi"/>
                <w:color w:val="000000" w:themeColor="text1"/>
              </w:rPr>
            </w:pPr>
            <w:r w:rsidRPr="000E0F7E">
              <w:rPr>
                <w:rFonts w:cstheme="minorHAnsi"/>
                <w:color w:val="000000" w:themeColor="text1"/>
              </w:rPr>
              <w:t>Vänster</w:t>
            </w:r>
          </w:p>
          <w:p w14:paraId="7EB9AB83" w14:textId="4E1EA128" w:rsidR="008F60FE" w:rsidRPr="000E0F7E" w:rsidRDefault="008F60FE" w:rsidP="005D5E91">
            <w:pPr>
              <w:rPr>
                <w:rFonts w:cstheme="minorHAnsi"/>
                <w:color w:val="000000" w:themeColor="text1"/>
              </w:rPr>
            </w:pPr>
            <w:r w:rsidRPr="000E0F7E">
              <w:rPr>
                <w:rFonts w:cstheme="minorHAnsi"/>
                <w:color w:val="000000" w:themeColor="text1"/>
              </w:rPr>
              <w:t xml:space="preserve">Höger </w:t>
            </w:r>
          </w:p>
        </w:tc>
        <w:tc>
          <w:tcPr>
            <w:tcW w:w="1843" w:type="dxa"/>
          </w:tcPr>
          <w:p w14:paraId="5B58997D" w14:textId="77777777" w:rsidR="008F60FE" w:rsidRPr="000E0F7E" w:rsidRDefault="008F60FE" w:rsidP="002B4AD8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5AFA08F1" w14:textId="3B44D97E" w:rsidR="008F60FE" w:rsidRDefault="008F60FE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4,9</w:t>
            </w:r>
          </w:p>
          <w:p w14:paraId="33F5B99A" w14:textId="2E317AE8" w:rsidR="008F60FE" w:rsidRDefault="008F60FE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4,9</w:t>
            </w:r>
          </w:p>
        </w:tc>
        <w:tc>
          <w:tcPr>
            <w:tcW w:w="1842" w:type="dxa"/>
          </w:tcPr>
          <w:p w14:paraId="7D92BB5C" w14:textId="77777777" w:rsidR="008F60FE" w:rsidRDefault="008F60FE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  <w:p w14:paraId="753C599C" w14:textId="77777777" w:rsidR="006104F5" w:rsidRDefault="006104F5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3,4</w:t>
            </w:r>
          </w:p>
          <w:p w14:paraId="74DE09E8" w14:textId="4630760C" w:rsidR="006104F5" w:rsidRPr="008F60FE" w:rsidRDefault="006104F5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3,6</w:t>
            </w:r>
          </w:p>
        </w:tc>
        <w:tc>
          <w:tcPr>
            <w:tcW w:w="1690" w:type="dxa"/>
          </w:tcPr>
          <w:p w14:paraId="32CEF050" w14:textId="77777777" w:rsidR="008F60FE" w:rsidRDefault="008F60FE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  <w:p w14:paraId="709BCB42" w14:textId="77777777" w:rsidR="00801119" w:rsidRDefault="00801119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3,5</w:t>
            </w:r>
          </w:p>
          <w:p w14:paraId="052EF5A2" w14:textId="0206043C" w:rsidR="00801119" w:rsidRPr="008F60FE" w:rsidRDefault="00801119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3,1</w:t>
            </w:r>
          </w:p>
        </w:tc>
      </w:tr>
      <w:tr w:rsidR="008F60FE" w:rsidRPr="008F60FE" w14:paraId="377DA384" w14:textId="77777777" w:rsidTr="00801119">
        <w:tc>
          <w:tcPr>
            <w:tcW w:w="3681" w:type="dxa"/>
          </w:tcPr>
          <w:p w14:paraId="393EA86E" w14:textId="39FE6D3D" w:rsidR="008F60FE" w:rsidRDefault="00A4547B" w:rsidP="005D5E91">
            <w:pPr>
              <w:rPr>
                <w:rFonts w:cstheme="minorHAnsi"/>
                <w:color w:val="000000" w:themeColor="text1"/>
                <w:lang w:val="en-US"/>
              </w:rPr>
            </w:pPr>
            <w:proofErr w:type="spellStart"/>
            <w:r>
              <w:rPr>
                <w:rFonts w:cstheme="minorHAnsi"/>
                <w:color w:val="000000" w:themeColor="text1"/>
                <w:lang w:val="en-US"/>
              </w:rPr>
              <w:t>Tankvolym</w:t>
            </w:r>
            <w:proofErr w:type="spellEnd"/>
            <w:r w:rsidR="008F60FE">
              <w:rPr>
                <w:rFonts w:cstheme="minorHAnsi"/>
                <w:color w:val="000000" w:themeColor="text1"/>
                <w:lang w:val="en-US"/>
              </w:rPr>
              <w:t xml:space="preserve"> (cm</w:t>
            </w:r>
            <w:r w:rsidR="008F60FE" w:rsidRPr="008F60FE">
              <w:rPr>
                <w:rFonts w:cstheme="minorHAnsi"/>
                <w:color w:val="000000" w:themeColor="text1"/>
                <w:vertAlign w:val="superscript"/>
                <w:lang w:val="en-US"/>
              </w:rPr>
              <w:t>3</w:t>
            </w:r>
            <w:r w:rsidR="008F60FE">
              <w:rPr>
                <w:rFonts w:cstheme="minorHAnsi"/>
                <w:color w:val="000000" w:themeColor="text1"/>
                <w:lang w:val="en-US"/>
              </w:rPr>
              <w:t>)</w:t>
            </w:r>
          </w:p>
        </w:tc>
        <w:tc>
          <w:tcPr>
            <w:tcW w:w="1843" w:type="dxa"/>
          </w:tcPr>
          <w:p w14:paraId="33D05602" w14:textId="40D213CE" w:rsidR="008F60FE" w:rsidRDefault="008F60FE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200</w:t>
            </w:r>
          </w:p>
        </w:tc>
        <w:tc>
          <w:tcPr>
            <w:tcW w:w="1842" w:type="dxa"/>
          </w:tcPr>
          <w:p w14:paraId="5A806098" w14:textId="2269AC2A" w:rsidR="008F60FE" w:rsidRPr="008F60FE" w:rsidRDefault="006104F5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270</w:t>
            </w:r>
          </w:p>
        </w:tc>
        <w:tc>
          <w:tcPr>
            <w:tcW w:w="1690" w:type="dxa"/>
          </w:tcPr>
          <w:p w14:paraId="0A068735" w14:textId="150ED4AF" w:rsidR="008F60FE" w:rsidRPr="008F60FE" w:rsidRDefault="00801119" w:rsidP="002B4AD8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>310</w:t>
            </w:r>
          </w:p>
        </w:tc>
      </w:tr>
    </w:tbl>
    <w:p w14:paraId="0D949AD9" w14:textId="0F444535" w:rsidR="005D5E91" w:rsidRPr="008F60FE" w:rsidRDefault="005D5E91" w:rsidP="005D5E91">
      <w:pPr>
        <w:rPr>
          <w:rFonts w:cstheme="minorHAnsi"/>
          <w:color w:val="000000" w:themeColor="text1"/>
          <w:lang w:val="en-US"/>
        </w:rPr>
      </w:pPr>
    </w:p>
    <w:p w14:paraId="19053686" w14:textId="77777777" w:rsidR="005D5E91" w:rsidRPr="008F60FE" w:rsidRDefault="005D5E91">
      <w:pPr>
        <w:rPr>
          <w:rFonts w:cstheme="minorHAnsi"/>
          <w:lang w:val="en-US"/>
        </w:rPr>
      </w:pPr>
    </w:p>
    <w:p w14:paraId="7809754A" w14:textId="77777777" w:rsidR="009D7EAF" w:rsidRPr="00084B71" w:rsidRDefault="009D7EAF" w:rsidP="009D7EAF">
      <w:pPr>
        <w:rPr>
          <w:rFonts w:eastAsia="Times New Roman" w:cstheme="minorHAnsi"/>
          <w:lang w:eastAsia="sv-SE"/>
        </w:rPr>
      </w:pPr>
      <w:r w:rsidRPr="00084B71">
        <w:rPr>
          <w:rFonts w:eastAsia="Times New Roman" w:cstheme="minorHAnsi"/>
          <w:b/>
          <w:bCs/>
          <w:color w:val="111111"/>
          <w:lang w:eastAsia="sv-SE"/>
        </w:rPr>
        <w:t>För ytterligare information, vänligen kontakta:</w:t>
      </w:r>
      <w:r w:rsidRPr="00084B71">
        <w:rPr>
          <w:rFonts w:eastAsia="Times New Roman" w:cstheme="minorHAnsi"/>
          <w:color w:val="555555"/>
          <w:lang w:eastAsia="sv-SE"/>
        </w:rPr>
        <w:br/>
      </w:r>
      <w:r w:rsidRPr="00084B71">
        <w:rPr>
          <w:rFonts w:eastAsia="Times New Roman" w:cstheme="minorHAnsi"/>
          <w:lang w:eastAsia="sv-SE"/>
        </w:rPr>
        <w:t>Mats Gustafsson, nordisk produktchef STIHL, 0302-248 00, </w:t>
      </w:r>
      <w:hyperlink r:id="rId5" w:history="1">
        <w:r w:rsidRPr="00084B71">
          <w:rPr>
            <w:rFonts w:eastAsia="Times New Roman" w:cstheme="minorHAnsi"/>
            <w:color w:val="4969EE"/>
            <w:u w:val="single"/>
            <w:lang w:eastAsia="sv-SE"/>
          </w:rPr>
          <w:t>mats.gustafsson@stihl.se</w:t>
        </w:r>
      </w:hyperlink>
      <w:r w:rsidRPr="00084B71">
        <w:rPr>
          <w:rFonts w:eastAsia="Times New Roman" w:cstheme="minorHAnsi"/>
          <w:color w:val="555555"/>
          <w:lang w:eastAsia="sv-SE"/>
        </w:rPr>
        <w:br/>
      </w:r>
      <w:r w:rsidRPr="00084B71">
        <w:rPr>
          <w:rFonts w:eastAsia="Times New Roman" w:cstheme="minorHAnsi"/>
          <w:sz w:val="30"/>
          <w:szCs w:val="30"/>
          <w:shd w:val="clear" w:color="auto" w:fill="FFFFFF"/>
          <w:lang w:eastAsia="sv-SE"/>
        </w:rPr>
        <w:t>______________________________________________________</w:t>
      </w:r>
    </w:p>
    <w:p w14:paraId="1DE58415" w14:textId="77777777" w:rsidR="00BA5C96" w:rsidRPr="00C8613D" w:rsidRDefault="009D7EAF" w:rsidP="00C8613D">
      <w:pPr>
        <w:shd w:val="clear" w:color="auto" w:fill="FFFFFF"/>
        <w:rPr>
          <w:rFonts w:eastAsia="Times New Roman" w:cstheme="minorHAnsi"/>
          <w:sz w:val="21"/>
          <w:szCs w:val="21"/>
          <w:lang w:eastAsia="sv-SE"/>
        </w:rPr>
      </w:pPr>
      <w:r w:rsidRPr="00084B71">
        <w:rPr>
          <w:rFonts w:eastAsia="Times New Roman" w:cstheme="minorHAnsi"/>
          <w:sz w:val="21"/>
          <w:szCs w:val="21"/>
          <w:lang w:eastAsia="sv-SE"/>
        </w:rPr>
        <w:t>STIHL utvecklar och tillverkar verktyg till trädgård, skogsbruk och landskapsunderhåll. Produkterna säljs endast via den servande fackhandeln med över 400 specialiserade butiker i Sverige. Det nordiska huvudkontoret ligger i Stenkullen utanför Göteborg. 201</w:t>
      </w:r>
      <w:r w:rsidR="003E1FE8">
        <w:rPr>
          <w:rFonts w:eastAsia="Times New Roman" w:cstheme="minorHAnsi"/>
          <w:sz w:val="21"/>
          <w:szCs w:val="21"/>
          <w:lang w:eastAsia="sv-SE"/>
        </w:rPr>
        <w:t>8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 omsatte STIHL 3,</w:t>
      </w:r>
      <w:r w:rsidR="003E1FE8">
        <w:rPr>
          <w:rFonts w:eastAsia="Times New Roman" w:cstheme="minorHAnsi"/>
          <w:sz w:val="21"/>
          <w:szCs w:val="21"/>
          <w:lang w:eastAsia="sv-SE"/>
        </w:rPr>
        <w:t>7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8 miljarder euro. Koncernen har </w:t>
      </w:r>
      <w:r w:rsidR="003E1FE8">
        <w:rPr>
          <w:rFonts w:eastAsia="Times New Roman" w:cstheme="minorHAnsi"/>
          <w:sz w:val="21"/>
          <w:szCs w:val="21"/>
          <w:lang w:eastAsia="sv-SE"/>
        </w:rPr>
        <w:t>drygt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 1</w:t>
      </w:r>
      <w:r w:rsidR="003E1FE8">
        <w:rPr>
          <w:rFonts w:eastAsia="Times New Roman" w:cstheme="minorHAnsi"/>
          <w:sz w:val="21"/>
          <w:szCs w:val="21"/>
          <w:lang w:eastAsia="sv-SE"/>
        </w:rPr>
        <w:t>7</w:t>
      </w:r>
      <w:r w:rsidRPr="00084B71">
        <w:rPr>
          <w:rFonts w:eastAsia="Times New Roman" w:cstheme="minorHAnsi"/>
          <w:sz w:val="21"/>
          <w:szCs w:val="21"/>
          <w:lang w:eastAsia="sv-SE"/>
        </w:rPr>
        <w:t xml:space="preserve"> 000 medarbetare i ca 1</w:t>
      </w:r>
      <w:r w:rsidR="003E1FE8">
        <w:rPr>
          <w:rFonts w:eastAsia="Times New Roman" w:cstheme="minorHAnsi"/>
          <w:sz w:val="21"/>
          <w:szCs w:val="21"/>
          <w:lang w:eastAsia="sv-SE"/>
        </w:rPr>
        <w:t>6</w:t>
      </w:r>
      <w:r w:rsidRPr="00084B71">
        <w:rPr>
          <w:rFonts w:eastAsia="Times New Roman" w:cstheme="minorHAnsi"/>
          <w:sz w:val="21"/>
          <w:szCs w:val="21"/>
          <w:lang w:eastAsia="sv-SE"/>
        </w:rPr>
        <w:t>0 länder. Läs mer på</w:t>
      </w:r>
      <w:r w:rsidR="00B055F6">
        <w:rPr>
          <w:rFonts w:eastAsia="Times New Roman" w:cstheme="minorHAnsi"/>
          <w:sz w:val="21"/>
          <w:szCs w:val="21"/>
          <w:lang w:eastAsia="sv-SE"/>
        </w:rPr>
        <w:t xml:space="preserve"> </w:t>
      </w:r>
      <w:hyperlink r:id="rId6" w:history="1">
        <w:r w:rsidR="00B055F6" w:rsidRPr="0002583B">
          <w:rPr>
            <w:rStyle w:val="Hyperlnk"/>
            <w:rFonts w:eastAsia="Times New Roman" w:cstheme="minorHAnsi"/>
            <w:sz w:val="21"/>
            <w:szCs w:val="21"/>
            <w:lang w:eastAsia="sv-SE"/>
          </w:rPr>
          <w:t>www.stihl.se</w:t>
        </w:r>
      </w:hyperlink>
      <w:r w:rsidR="00B055F6">
        <w:rPr>
          <w:rFonts w:eastAsia="Times New Roman" w:cstheme="minorHAnsi"/>
          <w:sz w:val="21"/>
          <w:szCs w:val="21"/>
          <w:lang w:eastAsia="sv-SE"/>
        </w:rPr>
        <w:t xml:space="preserve"> </w:t>
      </w:r>
    </w:p>
    <w:sectPr w:rsidR="00BA5C96" w:rsidRPr="00C8613D" w:rsidSect="00585E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56C6"/>
    <w:multiLevelType w:val="hybridMultilevel"/>
    <w:tmpl w:val="27FAEFDA"/>
    <w:lvl w:ilvl="0" w:tplc="D4FEA8A4">
      <w:start w:val="1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3FF9"/>
    <w:multiLevelType w:val="hybridMultilevel"/>
    <w:tmpl w:val="98A8EB74"/>
    <w:lvl w:ilvl="0" w:tplc="BEE877E8">
      <w:start w:val="1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C"/>
    <w:rsid w:val="00014A54"/>
    <w:rsid w:val="00016B65"/>
    <w:rsid w:val="00071538"/>
    <w:rsid w:val="00076A13"/>
    <w:rsid w:val="000809B9"/>
    <w:rsid w:val="0008155D"/>
    <w:rsid w:val="00084B71"/>
    <w:rsid w:val="000854BB"/>
    <w:rsid w:val="00085700"/>
    <w:rsid w:val="000A03F3"/>
    <w:rsid w:val="000B09BC"/>
    <w:rsid w:val="000D4998"/>
    <w:rsid w:val="000E0F7E"/>
    <w:rsid w:val="000E562D"/>
    <w:rsid w:val="00142348"/>
    <w:rsid w:val="00145ABD"/>
    <w:rsid w:val="00160E5A"/>
    <w:rsid w:val="00164015"/>
    <w:rsid w:val="001750D3"/>
    <w:rsid w:val="001B3309"/>
    <w:rsid w:val="001E1DFD"/>
    <w:rsid w:val="00201ECF"/>
    <w:rsid w:val="002027EA"/>
    <w:rsid w:val="00227DC9"/>
    <w:rsid w:val="00230BCC"/>
    <w:rsid w:val="00244896"/>
    <w:rsid w:val="002666B9"/>
    <w:rsid w:val="0027206C"/>
    <w:rsid w:val="002760FE"/>
    <w:rsid w:val="0029274A"/>
    <w:rsid w:val="00292F27"/>
    <w:rsid w:val="002A0EA2"/>
    <w:rsid w:val="002A15BB"/>
    <w:rsid w:val="002B2101"/>
    <w:rsid w:val="002B4AD8"/>
    <w:rsid w:val="002B79C3"/>
    <w:rsid w:val="002C6C5F"/>
    <w:rsid w:val="002D0A5D"/>
    <w:rsid w:val="002D1694"/>
    <w:rsid w:val="00301432"/>
    <w:rsid w:val="00305770"/>
    <w:rsid w:val="0031380C"/>
    <w:rsid w:val="003435E6"/>
    <w:rsid w:val="003452D3"/>
    <w:rsid w:val="00346446"/>
    <w:rsid w:val="00363C79"/>
    <w:rsid w:val="0037722A"/>
    <w:rsid w:val="003842F8"/>
    <w:rsid w:val="003A5411"/>
    <w:rsid w:val="003C390E"/>
    <w:rsid w:val="003E1FE8"/>
    <w:rsid w:val="00402C34"/>
    <w:rsid w:val="0042438C"/>
    <w:rsid w:val="004407E2"/>
    <w:rsid w:val="00451530"/>
    <w:rsid w:val="00461308"/>
    <w:rsid w:val="0046675F"/>
    <w:rsid w:val="0047247C"/>
    <w:rsid w:val="004B10CE"/>
    <w:rsid w:val="004D2327"/>
    <w:rsid w:val="004F2CFF"/>
    <w:rsid w:val="00507E61"/>
    <w:rsid w:val="005206A5"/>
    <w:rsid w:val="005307EC"/>
    <w:rsid w:val="00585E44"/>
    <w:rsid w:val="005B479C"/>
    <w:rsid w:val="005C6D2E"/>
    <w:rsid w:val="005D1BB4"/>
    <w:rsid w:val="005D5E91"/>
    <w:rsid w:val="005D7A1C"/>
    <w:rsid w:val="005E7C3B"/>
    <w:rsid w:val="006019CB"/>
    <w:rsid w:val="00606C98"/>
    <w:rsid w:val="006104F5"/>
    <w:rsid w:val="00616553"/>
    <w:rsid w:val="00620497"/>
    <w:rsid w:val="00623C7E"/>
    <w:rsid w:val="00634718"/>
    <w:rsid w:val="00636649"/>
    <w:rsid w:val="00651350"/>
    <w:rsid w:val="00673EAA"/>
    <w:rsid w:val="00687832"/>
    <w:rsid w:val="00690F51"/>
    <w:rsid w:val="006B5AB6"/>
    <w:rsid w:val="006C1B34"/>
    <w:rsid w:val="006C4CED"/>
    <w:rsid w:val="006E14ED"/>
    <w:rsid w:val="00724232"/>
    <w:rsid w:val="007348FB"/>
    <w:rsid w:val="00772BC1"/>
    <w:rsid w:val="007831A8"/>
    <w:rsid w:val="007854DC"/>
    <w:rsid w:val="00792C2C"/>
    <w:rsid w:val="007A1D3F"/>
    <w:rsid w:val="007F0784"/>
    <w:rsid w:val="007F68AB"/>
    <w:rsid w:val="00801119"/>
    <w:rsid w:val="00813920"/>
    <w:rsid w:val="008454C8"/>
    <w:rsid w:val="00861072"/>
    <w:rsid w:val="00867370"/>
    <w:rsid w:val="00893772"/>
    <w:rsid w:val="00895CC9"/>
    <w:rsid w:val="0089640F"/>
    <w:rsid w:val="008A1779"/>
    <w:rsid w:val="008C5E9D"/>
    <w:rsid w:val="008D38B0"/>
    <w:rsid w:val="008F60FE"/>
    <w:rsid w:val="00904198"/>
    <w:rsid w:val="009138DA"/>
    <w:rsid w:val="00933C99"/>
    <w:rsid w:val="00944D01"/>
    <w:rsid w:val="00967CBF"/>
    <w:rsid w:val="00977424"/>
    <w:rsid w:val="009806B3"/>
    <w:rsid w:val="009D7EAF"/>
    <w:rsid w:val="009E2137"/>
    <w:rsid w:val="009E7413"/>
    <w:rsid w:val="00A05A59"/>
    <w:rsid w:val="00A10D5C"/>
    <w:rsid w:val="00A4547B"/>
    <w:rsid w:val="00A61A32"/>
    <w:rsid w:val="00AB0489"/>
    <w:rsid w:val="00AC3452"/>
    <w:rsid w:val="00AE320E"/>
    <w:rsid w:val="00B055F6"/>
    <w:rsid w:val="00B30EEB"/>
    <w:rsid w:val="00B831AC"/>
    <w:rsid w:val="00B91DA9"/>
    <w:rsid w:val="00B933AD"/>
    <w:rsid w:val="00BA5C96"/>
    <w:rsid w:val="00BF0622"/>
    <w:rsid w:val="00BF43FF"/>
    <w:rsid w:val="00BF5855"/>
    <w:rsid w:val="00C8613D"/>
    <w:rsid w:val="00C868BD"/>
    <w:rsid w:val="00C87027"/>
    <w:rsid w:val="00C90F3C"/>
    <w:rsid w:val="00CB2E68"/>
    <w:rsid w:val="00CB764C"/>
    <w:rsid w:val="00CE7E05"/>
    <w:rsid w:val="00CF4C1D"/>
    <w:rsid w:val="00D023FB"/>
    <w:rsid w:val="00D07D5D"/>
    <w:rsid w:val="00D1104F"/>
    <w:rsid w:val="00D120A1"/>
    <w:rsid w:val="00D317CE"/>
    <w:rsid w:val="00D64312"/>
    <w:rsid w:val="00D83227"/>
    <w:rsid w:val="00DA7C2A"/>
    <w:rsid w:val="00DB7253"/>
    <w:rsid w:val="00DC2616"/>
    <w:rsid w:val="00DC6C82"/>
    <w:rsid w:val="00DD2D14"/>
    <w:rsid w:val="00DF6E17"/>
    <w:rsid w:val="00DF7BC3"/>
    <w:rsid w:val="00E316A4"/>
    <w:rsid w:val="00E342A9"/>
    <w:rsid w:val="00E67722"/>
    <w:rsid w:val="00E8441E"/>
    <w:rsid w:val="00E97F49"/>
    <w:rsid w:val="00EA5C91"/>
    <w:rsid w:val="00EC6C89"/>
    <w:rsid w:val="00ED6F2B"/>
    <w:rsid w:val="00F12F70"/>
    <w:rsid w:val="00F70916"/>
    <w:rsid w:val="00F8602A"/>
    <w:rsid w:val="00F92489"/>
    <w:rsid w:val="00FA4C4A"/>
    <w:rsid w:val="00FB255A"/>
    <w:rsid w:val="00FC3024"/>
    <w:rsid w:val="00FD5A09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215B"/>
  <w15:chartTrackingRefBased/>
  <w15:docId w15:val="{370F2E54-521B-FA4F-A034-1D776006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2C2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055F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55F6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7253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253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B725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B725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B725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725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7253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606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ihl.se" TargetMode="External"/><Relationship Id="rId5" Type="http://schemas.openxmlformats.org/officeDocument/2006/relationships/hyperlink" Target="mailto:mats.gustafsson@stihl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Vikman</dc:creator>
  <cp:keywords/>
  <dc:description/>
  <cp:lastModifiedBy>Emma Birgersson</cp:lastModifiedBy>
  <cp:revision>6</cp:revision>
  <dcterms:created xsi:type="dcterms:W3CDTF">2019-09-16T09:20:00Z</dcterms:created>
  <dcterms:modified xsi:type="dcterms:W3CDTF">2019-09-27T08:11:00Z</dcterms:modified>
</cp:coreProperties>
</file>