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60AB" w14:textId="2E175C98" w:rsidR="00303F8C" w:rsidRPr="00CE02EA" w:rsidRDefault="00355B89" w:rsidP="00FF7EE7">
      <w:pPr>
        <w:spacing w:line="240" w:lineRule="auto"/>
        <w:ind w:right="-351"/>
        <w:rPr>
          <w:rFonts w:cs="Arial"/>
          <w:b/>
          <w:color w:val="000000" w:themeColor="text1"/>
          <w:szCs w:val="24"/>
        </w:rPr>
      </w:pPr>
      <w:bookmarkStart w:id="0" w:name="OLE_LINK1"/>
      <w:bookmarkStart w:id="1" w:name="OLE_LINK2"/>
      <w:r>
        <w:t>12. Februar</w:t>
      </w:r>
      <w:r>
        <w:rPr>
          <w:color w:val="000000" w:themeColor="text1"/>
          <w:szCs w:val="24"/>
        </w:rPr>
        <w:t xml:space="preserve"> 2020</w:t>
      </w:r>
      <w:r>
        <w:rPr>
          <w:b/>
          <w:color w:val="000000" w:themeColor="text1"/>
          <w:szCs w:val="24"/>
        </w:rPr>
        <w:t xml:space="preserve"> </w:t>
      </w:r>
    </w:p>
    <w:p w14:paraId="6C62254D" w14:textId="77777777" w:rsidR="00823E77" w:rsidRPr="008D483C" w:rsidRDefault="00823E77" w:rsidP="00FF7EE7">
      <w:pPr>
        <w:spacing w:line="240" w:lineRule="auto"/>
        <w:ind w:right="-351"/>
        <w:rPr>
          <w:rFonts w:cs="Arial"/>
          <w:b/>
          <w:color w:val="000000" w:themeColor="text1"/>
          <w:szCs w:val="24"/>
          <w:highlight w:val="yellow"/>
        </w:rPr>
      </w:pPr>
    </w:p>
    <w:p w14:paraId="11715445" w14:textId="5FD69C85" w:rsidR="00D75667" w:rsidRPr="00CE02EA" w:rsidRDefault="00837C43" w:rsidP="00D75667">
      <w:pPr>
        <w:pStyle w:val="ANheader"/>
        <w:spacing w:before="0" w:after="0" w:line="240" w:lineRule="exact"/>
        <w:rPr>
          <w:rFonts w:cs="Arial"/>
          <w:b/>
          <w:szCs w:val="20"/>
        </w:rPr>
      </w:pPr>
      <w:r>
        <w:rPr>
          <w:b/>
          <w:szCs w:val="20"/>
        </w:rPr>
        <w:t>Ergebnisse von AkzoNobel aus dem 4. Quartal sowie die Ganzjahresergebnisse 2019 zeigen, dass die Umstrukturierung planmäßig verläuft. Rentabilität steigt weiter trotz gesunkener Nachfrage der Endverbraucher.</w:t>
      </w:r>
    </w:p>
    <w:p w14:paraId="43EFE93E" w14:textId="7EAF935D" w:rsidR="00A32233" w:rsidRPr="00CE02EA" w:rsidRDefault="00A32233" w:rsidP="00D75667">
      <w:pPr>
        <w:pStyle w:val="ANheader"/>
        <w:spacing w:before="0" w:after="0" w:line="240" w:lineRule="exact"/>
        <w:rPr>
          <w:rFonts w:cs="Arial"/>
          <w:b/>
          <w:szCs w:val="20"/>
        </w:rPr>
      </w:pPr>
    </w:p>
    <w:p w14:paraId="6EC65DFE" w14:textId="5E05E0F0" w:rsidR="000C7A3F" w:rsidRPr="00CE02EA" w:rsidRDefault="000C7A3F" w:rsidP="00FF7EE7">
      <w:pPr>
        <w:spacing w:line="240" w:lineRule="auto"/>
        <w:ind w:right="-351"/>
        <w:jc w:val="both"/>
        <w:rPr>
          <w:rFonts w:cs="Arial"/>
          <w:szCs w:val="20"/>
        </w:rPr>
      </w:pPr>
      <w:r>
        <w:rPr>
          <w:b/>
          <w:szCs w:val="20"/>
        </w:rPr>
        <w:t>Akzo Nobel N.V. (AKZA; AKZOY) veröffentlicht seine Ergebnisse für das vierte Quartal sowie die Ganzjahresergebnisse 2019.</w:t>
      </w:r>
    </w:p>
    <w:p w14:paraId="3DECFAA8" w14:textId="2FA59AAF" w:rsidR="00A82597" w:rsidRPr="008D483C" w:rsidRDefault="00A82597" w:rsidP="00076B74">
      <w:pPr>
        <w:autoSpaceDE w:val="0"/>
        <w:autoSpaceDN w:val="0"/>
        <w:adjustRightInd w:val="0"/>
        <w:spacing w:after="0" w:line="240" w:lineRule="auto"/>
        <w:ind w:right="-351"/>
        <w:rPr>
          <w:rFonts w:cs="Arial"/>
          <w:bCs/>
          <w:szCs w:val="20"/>
        </w:rPr>
      </w:pPr>
    </w:p>
    <w:p w14:paraId="3AF583B9" w14:textId="26BA4A09" w:rsidR="00680239" w:rsidRPr="00107509" w:rsidRDefault="000F44BE" w:rsidP="00076B74">
      <w:pPr>
        <w:autoSpaceDE w:val="0"/>
        <w:autoSpaceDN w:val="0"/>
        <w:adjustRightInd w:val="0"/>
        <w:spacing w:after="0" w:line="240" w:lineRule="auto"/>
        <w:ind w:right="-351"/>
        <w:rPr>
          <w:rFonts w:cs="Arial"/>
          <w:b/>
          <w:bCs/>
          <w:szCs w:val="20"/>
        </w:rPr>
      </w:pPr>
      <w:r>
        <w:rPr>
          <w:b/>
          <w:bCs/>
          <w:szCs w:val="20"/>
        </w:rPr>
        <w:t>Höhepunkte Q4 2019:</w:t>
      </w:r>
    </w:p>
    <w:p w14:paraId="48547D5C" w14:textId="2637EF82" w:rsidR="000F44BE" w:rsidRPr="00CF5E00" w:rsidRDefault="000F44BE" w:rsidP="00CF5E00">
      <w:pPr>
        <w:pStyle w:val="ListParagraph"/>
        <w:numPr>
          <w:ilvl w:val="0"/>
          <w:numId w:val="6"/>
        </w:numPr>
        <w:autoSpaceDE w:val="0"/>
        <w:autoSpaceDN w:val="0"/>
        <w:adjustRightInd w:val="0"/>
        <w:spacing w:line="241" w:lineRule="atLeast"/>
        <w:ind w:left="360" w:right="-351"/>
        <w:rPr>
          <w:rFonts w:eastAsia="SimSun" w:cs="Arial"/>
          <w:b/>
          <w:color w:val="000000"/>
        </w:rPr>
      </w:pPr>
      <w:r>
        <w:rPr>
          <w:b/>
          <w:bCs/>
        </w:rPr>
        <w:t>Bereinigtes Betriebsergebnis</w:t>
      </w:r>
      <w:r w:rsidRPr="00EC36B8">
        <w:rPr>
          <w:b/>
          <w:bCs/>
          <w:color w:val="000000"/>
          <w:vertAlign w:val="superscript"/>
        </w:rPr>
        <w:t>1</w:t>
      </w:r>
      <w:r>
        <w:rPr>
          <w:b/>
          <w:bCs/>
        </w:rPr>
        <w:t xml:space="preserve"> um 23 Prozent auf 223 Millionen Euro gestiegen (2018: 181 Millionen Euro), trotz gesunkener Endmarktnachfrage</w:t>
      </w:r>
      <w:r w:rsidR="009A6294">
        <w:rPr>
          <w:b/>
          <w:color w:val="000000"/>
        </w:rPr>
        <w:t xml:space="preserve"> </w:t>
      </w:r>
    </w:p>
    <w:p w14:paraId="7E5D137D" w14:textId="59BB4F81" w:rsidR="000F44BE" w:rsidRPr="00CF5E00" w:rsidRDefault="000F44BE" w:rsidP="00CF5E00">
      <w:pPr>
        <w:pStyle w:val="ListParagraph"/>
        <w:numPr>
          <w:ilvl w:val="0"/>
          <w:numId w:val="6"/>
        </w:numPr>
        <w:autoSpaceDE w:val="0"/>
        <w:autoSpaceDN w:val="0"/>
        <w:adjustRightInd w:val="0"/>
        <w:spacing w:line="241" w:lineRule="atLeast"/>
        <w:ind w:left="360" w:right="-351"/>
        <w:rPr>
          <w:rFonts w:eastAsia="SimSun" w:cs="Arial"/>
          <w:b/>
          <w:color w:val="000000"/>
        </w:rPr>
      </w:pPr>
      <w:r>
        <w:rPr>
          <w:b/>
        </w:rPr>
        <w:t>Umsatzrendite (ROS), ausgenommen nicht umgelegte Kosten</w:t>
      </w:r>
      <w:r w:rsidRPr="00EC36B8">
        <w:rPr>
          <w:b/>
          <w:color w:val="000000"/>
          <w:vertAlign w:val="superscript"/>
        </w:rPr>
        <w:t>2</w:t>
      </w:r>
      <w:r>
        <w:rPr>
          <w:b/>
        </w:rPr>
        <w:t>, auf 11 Prozent gestiegen (2018: 9 Prozent)</w:t>
      </w:r>
      <w:r>
        <w:rPr>
          <w:b/>
          <w:color w:val="000000"/>
        </w:rPr>
        <w:t xml:space="preserve"> </w:t>
      </w:r>
    </w:p>
    <w:p w14:paraId="46ECCE55" w14:textId="0EE2BCF9" w:rsidR="000F44BE" w:rsidRPr="00CF5E00" w:rsidRDefault="000F44BE" w:rsidP="00CF5E00">
      <w:pPr>
        <w:pStyle w:val="ListParagraph"/>
        <w:numPr>
          <w:ilvl w:val="0"/>
          <w:numId w:val="6"/>
        </w:numPr>
        <w:autoSpaceDE w:val="0"/>
        <w:autoSpaceDN w:val="0"/>
        <w:adjustRightInd w:val="0"/>
        <w:spacing w:line="241" w:lineRule="atLeast"/>
        <w:ind w:left="360" w:right="-351"/>
        <w:rPr>
          <w:rFonts w:eastAsia="SimSun" w:cs="Arial"/>
          <w:b/>
          <w:color w:val="000000"/>
        </w:rPr>
      </w:pPr>
      <w:r>
        <w:rPr>
          <w:b/>
          <w:color w:val="000000"/>
        </w:rPr>
        <w:t>Betriebsergebnis in Höhe von 173 Millionen Euro (2018: 68 Millionen Euro; OPI-Marge auf 7,7 Prozent gestiegen (2018: 2,9 Prozent)</w:t>
      </w:r>
    </w:p>
    <w:p w14:paraId="2C892B0E" w14:textId="2549EE65" w:rsidR="000F44BE" w:rsidRPr="00CF5E00" w:rsidRDefault="000F44BE" w:rsidP="00CF5E00">
      <w:pPr>
        <w:pStyle w:val="ListParagraph"/>
        <w:numPr>
          <w:ilvl w:val="0"/>
          <w:numId w:val="6"/>
        </w:numPr>
        <w:autoSpaceDE w:val="0"/>
        <w:autoSpaceDN w:val="0"/>
        <w:adjustRightInd w:val="0"/>
        <w:spacing w:line="241" w:lineRule="atLeast"/>
        <w:ind w:left="360" w:right="-351"/>
        <w:rPr>
          <w:rFonts w:eastAsia="SimSun" w:cs="Arial"/>
          <w:b/>
          <w:color w:val="000000"/>
        </w:rPr>
      </w:pPr>
      <w:r>
        <w:rPr>
          <w:b/>
          <w:color w:val="000000"/>
        </w:rPr>
        <w:t xml:space="preserve">Erreichen der Kosteneinsparziele auf gutem Weg: in diesem Quartal wurden Kosten in Höhe von 10 </w:t>
      </w:r>
      <w:r w:rsidR="008D483C">
        <w:rPr>
          <w:b/>
          <w:color w:val="000000"/>
        </w:rPr>
        <w:t>Millionen</w:t>
      </w:r>
      <w:r>
        <w:rPr>
          <w:b/>
          <w:color w:val="000000"/>
        </w:rPr>
        <w:t xml:space="preserve"> Euro eingespart.</w:t>
      </w:r>
    </w:p>
    <w:p w14:paraId="71FDA0D0" w14:textId="6AA536CB" w:rsidR="000F44BE" w:rsidRPr="008D483C" w:rsidRDefault="000F44BE" w:rsidP="00CF5E00">
      <w:pPr>
        <w:autoSpaceDE w:val="0"/>
        <w:autoSpaceDN w:val="0"/>
        <w:adjustRightInd w:val="0"/>
        <w:spacing w:line="241" w:lineRule="atLeast"/>
        <w:ind w:right="-351"/>
        <w:rPr>
          <w:rFonts w:eastAsia="SimSun" w:cs="Arial"/>
          <w:color w:val="000000"/>
          <w:szCs w:val="20"/>
        </w:rPr>
      </w:pPr>
    </w:p>
    <w:p w14:paraId="727405AC" w14:textId="28537001" w:rsidR="000F44BE" w:rsidRPr="00CF5E00" w:rsidRDefault="000F44BE" w:rsidP="00CF5E00">
      <w:pPr>
        <w:pStyle w:val="ListParagraph"/>
        <w:numPr>
          <w:ilvl w:val="0"/>
          <w:numId w:val="6"/>
        </w:numPr>
        <w:autoSpaceDE w:val="0"/>
        <w:autoSpaceDN w:val="0"/>
        <w:adjustRightInd w:val="0"/>
        <w:spacing w:line="241" w:lineRule="atLeast"/>
        <w:ind w:left="360" w:right="-351"/>
        <w:rPr>
          <w:rFonts w:eastAsia="SimSun" w:cs="Arial"/>
          <w:color w:val="000000"/>
        </w:rPr>
      </w:pPr>
      <w:r>
        <w:rPr>
          <w:color w:val="000000"/>
        </w:rPr>
        <w:t>Umsatzsenkung um drei Prozent; auf Basis konstanter Wechselkurse sank der Umsatz um vier Prozent</w:t>
      </w:r>
      <w:r>
        <w:rPr>
          <w:color w:val="000000"/>
          <w:vertAlign w:val="superscript"/>
        </w:rPr>
        <w:t>3</w:t>
      </w:r>
      <w:r>
        <w:rPr>
          <w:color w:val="000000"/>
        </w:rPr>
        <w:t xml:space="preserve">; positiver </w:t>
      </w:r>
      <w:proofErr w:type="spellStart"/>
      <w:r>
        <w:rPr>
          <w:color w:val="000000"/>
        </w:rPr>
        <w:t>Preismix</w:t>
      </w:r>
      <w:proofErr w:type="spellEnd"/>
      <w:r>
        <w:rPr>
          <w:color w:val="000000"/>
        </w:rPr>
        <w:t xml:space="preserve"> von einem Prozent wird durch Volumensenkung um vier Prozent deutlich ausgeglichen. </w:t>
      </w:r>
    </w:p>
    <w:p w14:paraId="76F768E0" w14:textId="5BED3DD8" w:rsidR="000F44BE" w:rsidRPr="00CF5E00" w:rsidRDefault="000F44BE" w:rsidP="00CF5E00">
      <w:pPr>
        <w:pStyle w:val="ListParagraph"/>
        <w:numPr>
          <w:ilvl w:val="0"/>
          <w:numId w:val="6"/>
        </w:numPr>
        <w:autoSpaceDE w:val="0"/>
        <w:autoSpaceDN w:val="0"/>
        <w:adjustRightInd w:val="0"/>
        <w:spacing w:line="241" w:lineRule="atLeast"/>
        <w:ind w:left="360" w:right="-351"/>
        <w:rPr>
          <w:rFonts w:eastAsia="SimSun" w:cs="Arial"/>
          <w:color w:val="000000"/>
        </w:rPr>
      </w:pPr>
      <w:r>
        <w:rPr>
          <w:color w:val="000000"/>
        </w:rPr>
        <w:t>Steigerung des bereinigten Betriebsergebnisses um 23 Prozent auf 223 Millionen Euro (2018: 181 Millionen Euro), vornehmlich durch Initiativen zur Preisgestaltung, Margenverbesserung und Kosteneinsparprogramme; Umsatzrendite auf 9,9 Prozent gestiegen (2018: 7,8 Prozent).</w:t>
      </w:r>
      <w:r w:rsidR="009A6294">
        <w:rPr>
          <w:color w:val="000000"/>
        </w:rPr>
        <w:t xml:space="preserve"> </w:t>
      </w:r>
    </w:p>
    <w:p w14:paraId="505658E1" w14:textId="6231E4BF" w:rsidR="00107509" w:rsidRPr="00CF5E00" w:rsidRDefault="000F44BE" w:rsidP="00CF5E00">
      <w:pPr>
        <w:pStyle w:val="ListParagraph"/>
        <w:numPr>
          <w:ilvl w:val="0"/>
          <w:numId w:val="6"/>
        </w:numPr>
        <w:autoSpaceDE w:val="0"/>
        <w:autoSpaceDN w:val="0"/>
        <w:adjustRightInd w:val="0"/>
        <w:spacing w:line="241" w:lineRule="atLeast"/>
        <w:ind w:left="360" w:right="-351"/>
        <w:rPr>
          <w:rFonts w:eastAsia="SimSun" w:cs="Arial"/>
          <w:color w:val="000000"/>
        </w:rPr>
      </w:pPr>
      <w:r>
        <w:rPr>
          <w:color w:val="000000"/>
        </w:rPr>
        <w:t>Das Betriebsergebnis in Höhe von 173 Millionen Euro beinhaltet ungünstige Sondereffekte in Verbindung mit den Kosten der Umstrukturierung und nicht zahlungswirksamen Wertminderungen in Höhe von 50 Millionen Euro (2018: 68 Millionen Euro sowie 113 Millionen ungünstige Sondereffekte); OPI-Marge stieg auf 7,7 Prozent (2018: 2,9 Prozent).</w:t>
      </w:r>
    </w:p>
    <w:p w14:paraId="0A3DCFBB" w14:textId="551D6D11" w:rsidR="000F44BE" w:rsidRPr="008D483C" w:rsidRDefault="000F44BE" w:rsidP="00CF5E00">
      <w:pPr>
        <w:autoSpaceDE w:val="0"/>
        <w:autoSpaceDN w:val="0"/>
        <w:adjustRightInd w:val="0"/>
        <w:spacing w:line="241" w:lineRule="atLeast"/>
        <w:ind w:right="-351"/>
        <w:rPr>
          <w:rFonts w:eastAsia="SimSun" w:cs="Arial"/>
          <w:color w:val="000000"/>
          <w:szCs w:val="20"/>
        </w:rPr>
      </w:pPr>
    </w:p>
    <w:p w14:paraId="57B83AB3" w14:textId="7795F477" w:rsidR="00CE75FA" w:rsidRPr="00CF5E00" w:rsidRDefault="00BC0EA1" w:rsidP="00CF5E00">
      <w:pPr>
        <w:autoSpaceDE w:val="0"/>
        <w:autoSpaceDN w:val="0"/>
        <w:adjustRightInd w:val="0"/>
        <w:spacing w:line="241" w:lineRule="atLeast"/>
        <w:ind w:right="-351"/>
        <w:rPr>
          <w:rFonts w:cs="Arial"/>
          <w:b/>
        </w:rPr>
      </w:pPr>
      <w:r>
        <w:rPr>
          <w:b/>
        </w:rPr>
        <w:t xml:space="preserve">Ganzjahresergebnis 2019: </w:t>
      </w:r>
      <w:r>
        <w:rPr>
          <w:b/>
        </w:rPr>
        <w:tab/>
      </w:r>
    </w:p>
    <w:p w14:paraId="3937B2F4" w14:textId="74489EB7" w:rsidR="000F44BE" w:rsidRPr="00CF5E00" w:rsidRDefault="000F44BE" w:rsidP="00CF5E00">
      <w:pPr>
        <w:pStyle w:val="ListParagraph"/>
        <w:numPr>
          <w:ilvl w:val="0"/>
          <w:numId w:val="6"/>
        </w:numPr>
        <w:autoSpaceDE w:val="0"/>
        <w:autoSpaceDN w:val="0"/>
        <w:adjustRightInd w:val="0"/>
        <w:spacing w:line="241" w:lineRule="atLeast"/>
        <w:ind w:left="360" w:right="-351"/>
        <w:rPr>
          <w:rFonts w:cs="Arial"/>
        </w:rPr>
      </w:pPr>
      <w:r>
        <w:t>Umsatz gleichbleibend</w:t>
      </w:r>
      <w:r w:rsidR="00F81E15">
        <w:t>;</w:t>
      </w:r>
      <w:r>
        <w:t xml:space="preserve"> positiver </w:t>
      </w:r>
      <w:proofErr w:type="spellStart"/>
      <w:r>
        <w:t>Preismix</w:t>
      </w:r>
      <w:proofErr w:type="spellEnd"/>
      <w:r>
        <w:t xml:space="preserve"> von vier Prozent und Zukäufe von einem Prozent durch Volumensenkung um fünf Prozent, das Ergebnis unserer Strategie „Wert statt Volumen“, </w:t>
      </w:r>
      <w:r w:rsidR="00EC36B8">
        <w:t>ausgeglichen</w:t>
      </w:r>
      <w:r>
        <w:t xml:space="preserve">. </w:t>
      </w:r>
    </w:p>
    <w:p w14:paraId="3CF58249" w14:textId="53019A7F" w:rsidR="000F44BE" w:rsidRPr="00CF5E00" w:rsidRDefault="000F44BE" w:rsidP="00CF5E00">
      <w:pPr>
        <w:pStyle w:val="ListParagraph"/>
        <w:numPr>
          <w:ilvl w:val="0"/>
          <w:numId w:val="6"/>
        </w:numPr>
        <w:autoSpaceDE w:val="0"/>
        <w:autoSpaceDN w:val="0"/>
        <w:adjustRightInd w:val="0"/>
        <w:spacing w:line="241" w:lineRule="atLeast"/>
        <w:ind w:left="360" w:right="-351"/>
        <w:rPr>
          <w:rFonts w:cs="Arial"/>
        </w:rPr>
      </w:pPr>
      <w:r>
        <w:t>Bereinigtes Betriebsergebnis um 24 Prozent auf 991 Millionen Euro gestiegen (2018: 798 Millionen Euro), vornehmlich durch Initiativen zur Preisgestaltung und Kosteneinsparprogramme; ROS auf 10,7 Prozent gestiegen (2018: 8,6 Prozent); ROS ausgenommen nicht umgelegte Kosten auf 12 Prozent gestiegen (2018: 10,6 Prozent).</w:t>
      </w:r>
    </w:p>
    <w:p w14:paraId="0D82D2BE" w14:textId="37FFB3C5" w:rsidR="000F44BE" w:rsidRPr="00F8276D" w:rsidRDefault="000F44BE" w:rsidP="00CF5E00">
      <w:pPr>
        <w:pStyle w:val="ListParagraph"/>
        <w:numPr>
          <w:ilvl w:val="0"/>
          <w:numId w:val="6"/>
        </w:numPr>
        <w:autoSpaceDE w:val="0"/>
        <w:autoSpaceDN w:val="0"/>
        <w:adjustRightInd w:val="0"/>
        <w:spacing w:line="241" w:lineRule="atLeast"/>
        <w:ind w:left="360" w:right="-351"/>
        <w:rPr>
          <w:rFonts w:cs="Arial"/>
        </w:rPr>
      </w:pPr>
      <w:r>
        <w:t xml:space="preserve">Betriebsergebnis um 39 Prozent auf 841 Millionen Euro gestiegen, einschließlich 150 Millionen Euro ungünstige Sondereffekte, vornehmlich in Zusammenhang mit der Umstrukturierung und nicht zahlungswirksamen Wertminderungen, in Teilen ausgeglichen durch Gewinne aus Veräußerungen nach Optimierung der Anlagestrukturen (2018: 605 Millionen Euro, einschließlich 193 Millionen Euro ungünstige Sondereffekte, vornehmlich Kosten der Umstrukturierung in Höhe von 130 Millionen Euro sowie 57 Millionen Euro Einmalzahlungen nicht zahlungswirksame Rentenbeiträge): OPI-Marke auf 9,1 Prozent gestiegen (2018: 6,5 Prozent). </w:t>
      </w:r>
    </w:p>
    <w:p w14:paraId="76B6A324" w14:textId="24DF7111" w:rsidR="000F44BE" w:rsidRPr="00F8276D" w:rsidRDefault="000F44BE" w:rsidP="00CF5E00">
      <w:pPr>
        <w:pStyle w:val="ListParagraph"/>
        <w:numPr>
          <w:ilvl w:val="0"/>
          <w:numId w:val="6"/>
        </w:numPr>
        <w:autoSpaceDE w:val="0"/>
        <w:autoSpaceDN w:val="0"/>
        <w:adjustRightInd w:val="0"/>
        <w:spacing w:line="241" w:lineRule="atLeast"/>
        <w:ind w:left="360" w:right="-351"/>
        <w:rPr>
          <w:rFonts w:cs="Arial"/>
        </w:rPr>
      </w:pPr>
      <w:r>
        <w:t xml:space="preserve">Reingewinn aus sämtlichen Geschäftsbetrieben in Höhe von 539 Millionen Euro, einschließlich Reingewinn aus nicht fortgeführten Aktivitäten in Höhe von 22 Millionen Euro (2018: 6.674 Millionen Euro, einschließlich 6.264 Millionen Euro aus nicht fortgeführten Aktivitäten). </w:t>
      </w:r>
    </w:p>
    <w:p w14:paraId="5D49A560" w14:textId="6075B037" w:rsidR="00107509" w:rsidRPr="00F8276D" w:rsidRDefault="000F44BE" w:rsidP="00CF5E00">
      <w:pPr>
        <w:pStyle w:val="ListParagraph"/>
        <w:numPr>
          <w:ilvl w:val="0"/>
          <w:numId w:val="6"/>
        </w:numPr>
        <w:autoSpaceDE w:val="0"/>
        <w:autoSpaceDN w:val="0"/>
        <w:adjustRightInd w:val="0"/>
        <w:spacing w:line="241" w:lineRule="atLeast"/>
        <w:ind w:left="360" w:right="-351"/>
        <w:rPr>
          <w:rFonts w:cs="Arial"/>
        </w:rPr>
      </w:pPr>
      <w:r>
        <w:t>Vorgeschlagene Dividende von 1,49 Euro je Aktie</w:t>
      </w:r>
    </w:p>
    <w:p w14:paraId="707FF98A" w14:textId="434BDB40" w:rsidR="008E1FC1" w:rsidRDefault="008E1FC1" w:rsidP="00076B74">
      <w:pPr>
        <w:autoSpaceDE w:val="0"/>
        <w:autoSpaceDN w:val="0"/>
        <w:adjustRightInd w:val="0"/>
        <w:spacing w:after="0" w:line="240" w:lineRule="auto"/>
        <w:ind w:right="-351"/>
        <w:rPr>
          <w:rFonts w:cs="Arial"/>
          <w:b/>
          <w:szCs w:val="20"/>
        </w:rPr>
      </w:pPr>
      <w:bookmarkStart w:id="2" w:name="_Hlk6569419"/>
    </w:p>
    <w:p w14:paraId="05A91026" w14:textId="519CD936" w:rsidR="00076B74" w:rsidRPr="00CE02EA" w:rsidRDefault="00072526" w:rsidP="00076B74">
      <w:pPr>
        <w:autoSpaceDE w:val="0"/>
        <w:autoSpaceDN w:val="0"/>
        <w:adjustRightInd w:val="0"/>
        <w:spacing w:after="0" w:line="240" w:lineRule="auto"/>
        <w:ind w:right="-351"/>
        <w:rPr>
          <w:rFonts w:cs="Arial"/>
          <w:b/>
          <w:bCs/>
          <w:szCs w:val="20"/>
        </w:rPr>
      </w:pPr>
      <w:r>
        <w:rPr>
          <w:b/>
          <w:szCs w:val="20"/>
        </w:rPr>
        <w:t xml:space="preserve">AkzoNobel CEO Thierry </w:t>
      </w:r>
      <w:proofErr w:type="spellStart"/>
      <w:r>
        <w:rPr>
          <w:b/>
          <w:szCs w:val="20"/>
        </w:rPr>
        <w:t>Vanlancker</w:t>
      </w:r>
      <w:proofErr w:type="spellEnd"/>
      <w:r>
        <w:rPr>
          <w:b/>
          <w:szCs w:val="20"/>
        </w:rPr>
        <w:t xml:space="preserve"> kommentiert:</w:t>
      </w:r>
    </w:p>
    <w:bookmarkEnd w:id="2"/>
    <w:p w14:paraId="690E5201" w14:textId="77777777" w:rsidR="00107509" w:rsidRPr="008D483C" w:rsidRDefault="00107509" w:rsidP="00482A32">
      <w:pPr>
        <w:rPr>
          <w:rFonts w:cs="Arial"/>
        </w:rPr>
      </w:pPr>
    </w:p>
    <w:p w14:paraId="1A97112A" w14:textId="614950B1" w:rsidR="00FE4BFD" w:rsidRPr="00FE4BFD" w:rsidRDefault="00FE4BFD" w:rsidP="00FE4BFD">
      <w:pPr>
        <w:rPr>
          <w:rFonts w:ascii="Calibri" w:hAnsi="Calibri"/>
        </w:rPr>
      </w:pPr>
      <w:r>
        <w:t xml:space="preserve">„Die Ergebnisse des vierten Quartals zeigen, dass unsere Umstrukturierung planmäßig verläuft. Wir </w:t>
      </w:r>
      <w:r>
        <w:lastRenderedPageBreak/>
        <w:t xml:space="preserve">haben gute Fortschritte erzielt, trotz gestiegener Kosten für Rohmaterialien und gesunkener Endmarktnachfrage. Unser Ergebnis hat sich in der zweiten Jahreshälfte noch einmal verbessert, und wir konnten unsere Umsatzrendite um beinahe 200 Basispunkte auf 12,5 Prozent steigern. </w:t>
      </w:r>
    </w:p>
    <w:p w14:paraId="307A400A" w14:textId="5D3FC2B7" w:rsidR="00FE4BFD" w:rsidRPr="008D483C" w:rsidRDefault="00FE4BFD" w:rsidP="00FE4BFD"/>
    <w:p w14:paraId="5CF799EC" w14:textId="18D2B99E" w:rsidR="00FE4BFD" w:rsidRPr="00FE4BFD" w:rsidRDefault="00FE4BFD" w:rsidP="00FE4BFD">
      <w:r>
        <w:t xml:space="preserve">Wir haben unser Versprechen eingehalten und nach der Veräußerung von Specialty Chemicals 6,5 Milliarden Euro an unsere Anteilseigner ausgezahlt. Gleichzeitig haben wir weiterhin in unsere Zukunft investiert. Wir haben eine Investition in Höhe von 50 Millionen Euro in </w:t>
      </w:r>
      <w:r w:rsidR="00F81E15">
        <w:t>unser</w:t>
      </w:r>
      <w:r>
        <w:t xml:space="preserve"> US-amerikanisches Holzbeschichtungs</w:t>
      </w:r>
      <w:r w:rsidR="00F81E15">
        <w:t>-Business</w:t>
      </w:r>
      <w:r>
        <w:t xml:space="preserve"> auf den Weg gebracht, den Erwerb von </w:t>
      </w:r>
      <w:proofErr w:type="spellStart"/>
      <w:r>
        <w:t>Mapaero</w:t>
      </w:r>
      <w:proofErr w:type="spellEnd"/>
      <w:r>
        <w:t xml:space="preserve"> abgeschlossen und damit unsere Position auf dem globalen Luftfahrtmarkt gestärkt, und wir haben unser Innovationsökosystem Paint </w:t>
      </w:r>
      <w:proofErr w:type="spellStart"/>
      <w:r>
        <w:t>the</w:t>
      </w:r>
      <w:proofErr w:type="spellEnd"/>
      <w:r>
        <w:t xml:space="preserve"> Future ausgebaut.</w:t>
      </w:r>
    </w:p>
    <w:p w14:paraId="21D8C7DB" w14:textId="32EF54C2" w:rsidR="00FE4BFD" w:rsidRPr="008D483C" w:rsidRDefault="00FE4BFD" w:rsidP="00FE4BFD"/>
    <w:p w14:paraId="1477DD3A" w14:textId="0A06A423" w:rsidR="00FE4BFD" w:rsidRPr="00FE4BFD" w:rsidRDefault="00FE4BFD" w:rsidP="00FE4BFD">
      <w:r>
        <w:t>Ermöglicht wurden alle Errungenschaften von AkzoNobel durch unsere motivierten und vielseitigen Mitarbeiter auf der ganzen Welt. Gemeinsam halten wir uns Augenmerk darauf gerichtet unsere Strategie „</w:t>
      </w:r>
      <w:proofErr w:type="spellStart"/>
      <w:r>
        <w:t>Winning</w:t>
      </w:r>
      <w:proofErr w:type="spellEnd"/>
      <w:r>
        <w:t xml:space="preserve"> </w:t>
      </w:r>
      <w:proofErr w:type="spellStart"/>
      <w:r>
        <w:t>together</w:t>
      </w:r>
      <w:proofErr w:type="spellEnd"/>
      <w:r>
        <w:t xml:space="preserve">: 15 </w:t>
      </w:r>
      <w:proofErr w:type="spellStart"/>
      <w:r>
        <w:t>by</w:t>
      </w:r>
      <w:proofErr w:type="spellEnd"/>
      <w:r>
        <w:t xml:space="preserve"> 20“ im Jahresverlauf umzusetzen.“</w:t>
      </w:r>
      <w:r w:rsidR="009A6294">
        <w:t xml:space="preserve"> </w:t>
      </w:r>
    </w:p>
    <w:tbl>
      <w:tblPr>
        <w:tblStyle w:val="TableGrid"/>
        <w:tblW w:w="9033" w:type="dxa"/>
        <w:tblLook w:val="04A0" w:firstRow="1" w:lastRow="0" w:firstColumn="1" w:lastColumn="0" w:noHBand="0" w:noVBand="1"/>
      </w:tblPr>
      <w:tblGrid>
        <w:gridCol w:w="3620"/>
        <w:gridCol w:w="1357"/>
        <w:gridCol w:w="1357"/>
        <w:gridCol w:w="1349"/>
        <w:gridCol w:w="1350"/>
      </w:tblGrid>
      <w:tr w:rsidR="00780111" w:rsidRPr="00FE4BFD" w14:paraId="60B53456" w14:textId="77777777" w:rsidTr="00FE4BFD">
        <w:trPr>
          <w:trHeight w:val="246"/>
        </w:trPr>
        <w:tc>
          <w:tcPr>
            <w:tcW w:w="3620" w:type="dxa"/>
            <w:shd w:val="clear" w:color="auto" w:fill="1F497D" w:themeFill="text2"/>
          </w:tcPr>
          <w:p w14:paraId="3542DF64" w14:textId="2E5A4E89" w:rsidR="00780111" w:rsidRPr="00FE4BFD" w:rsidRDefault="00780111" w:rsidP="00D55789">
            <w:pPr>
              <w:spacing w:before="20" w:line="240" w:lineRule="auto"/>
              <w:ind w:right="-351"/>
              <w:rPr>
                <w:rFonts w:cs="Arial"/>
                <w:b/>
                <w:color w:val="FFFFFF" w:themeColor="background1"/>
                <w:sz w:val="18"/>
              </w:rPr>
            </w:pPr>
            <w:r>
              <w:rPr>
                <w:b/>
                <w:color w:val="FFFFFF" w:themeColor="background1"/>
                <w:sz w:val="18"/>
              </w:rPr>
              <w:t>AkzoNobel</w:t>
            </w:r>
            <w:r>
              <w:rPr>
                <w:color w:val="FFFFFF" w:themeColor="background1"/>
                <w:sz w:val="18"/>
              </w:rPr>
              <w:t xml:space="preserve"> in Millionen Euro</w:t>
            </w:r>
          </w:p>
        </w:tc>
        <w:tc>
          <w:tcPr>
            <w:tcW w:w="1357" w:type="dxa"/>
            <w:shd w:val="clear" w:color="auto" w:fill="1F497D" w:themeFill="text2"/>
          </w:tcPr>
          <w:p w14:paraId="6180CC47" w14:textId="4710EE9F" w:rsidR="00780111" w:rsidRPr="00FE4BFD" w:rsidRDefault="00780111" w:rsidP="00D55789">
            <w:pPr>
              <w:spacing w:line="240" w:lineRule="auto"/>
              <w:ind w:right="-351"/>
              <w:rPr>
                <w:rFonts w:cs="Arial"/>
                <w:b/>
                <w:color w:val="FFFFFF" w:themeColor="background1"/>
                <w:sz w:val="18"/>
              </w:rPr>
            </w:pPr>
            <w:r>
              <w:rPr>
                <w:b/>
                <w:color w:val="FFFFFF" w:themeColor="background1"/>
                <w:sz w:val="18"/>
              </w:rPr>
              <w:t>Q4 2018</w:t>
            </w:r>
          </w:p>
        </w:tc>
        <w:tc>
          <w:tcPr>
            <w:tcW w:w="1357" w:type="dxa"/>
            <w:shd w:val="clear" w:color="auto" w:fill="1F497D" w:themeFill="text2"/>
          </w:tcPr>
          <w:p w14:paraId="2529AE8A" w14:textId="48422FD0" w:rsidR="00780111" w:rsidRPr="00FE4BFD" w:rsidRDefault="00780111" w:rsidP="00D55789">
            <w:pPr>
              <w:spacing w:line="240" w:lineRule="auto"/>
              <w:ind w:right="-351"/>
              <w:rPr>
                <w:rFonts w:cs="Arial"/>
                <w:b/>
                <w:color w:val="FFFFFF" w:themeColor="background1"/>
                <w:sz w:val="18"/>
              </w:rPr>
            </w:pPr>
            <w:r>
              <w:rPr>
                <w:b/>
                <w:color w:val="FFFFFF" w:themeColor="background1"/>
                <w:sz w:val="18"/>
              </w:rPr>
              <w:t>Q4 2019</w:t>
            </w:r>
          </w:p>
        </w:tc>
        <w:tc>
          <w:tcPr>
            <w:tcW w:w="1349" w:type="dxa"/>
            <w:shd w:val="clear" w:color="auto" w:fill="1F497D" w:themeFill="text2"/>
          </w:tcPr>
          <w:p w14:paraId="4B19A971" w14:textId="3AC45405" w:rsidR="00780111" w:rsidRPr="00FE4BFD" w:rsidRDefault="00780111" w:rsidP="00D55789">
            <w:pPr>
              <w:spacing w:line="240" w:lineRule="auto"/>
              <w:ind w:right="-351"/>
              <w:rPr>
                <w:rFonts w:cs="Arial"/>
                <w:b/>
                <w:color w:val="FFFFFF" w:themeColor="background1"/>
                <w:sz w:val="18"/>
              </w:rPr>
            </w:pPr>
            <w:r>
              <w:rPr>
                <w:b/>
                <w:color w:val="FFFFFF" w:themeColor="background1"/>
                <w:sz w:val="18"/>
              </w:rPr>
              <w:t>Delta%</w:t>
            </w:r>
          </w:p>
        </w:tc>
        <w:tc>
          <w:tcPr>
            <w:tcW w:w="1350" w:type="dxa"/>
            <w:shd w:val="clear" w:color="auto" w:fill="1F497D" w:themeFill="text2"/>
          </w:tcPr>
          <w:p w14:paraId="32862E91" w14:textId="7547963F" w:rsidR="00780111" w:rsidRPr="00FE4BFD" w:rsidRDefault="00780111" w:rsidP="00D55789">
            <w:pPr>
              <w:spacing w:line="240" w:lineRule="auto"/>
              <w:ind w:right="-351"/>
              <w:rPr>
                <w:rFonts w:cs="Arial"/>
                <w:b/>
                <w:color w:val="FFFFFF" w:themeColor="background1"/>
                <w:sz w:val="18"/>
                <w:vertAlign w:val="superscript"/>
              </w:rPr>
            </w:pPr>
            <w:r>
              <w:rPr>
                <w:b/>
                <w:color w:val="FFFFFF" w:themeColor="background1"/>
                <w:sz w:val="18"/>
              </w:rPr>
              <w:t>Delta% CC</w:t>
            </w:r>
            <w:r>
              <w:rPr>
                <w:b/>
                <w:color w:val="FFFFFF" w:themeColor="background1"/>
                <w:sz w:val="18"/>
                <w:vertAlign w:val="superscript"/>
              </w:rPr>
              <w:t>3</w:t>
            </w:r>
          </w:p>
        </w:tc>
      </w:tr>
      <w:tr w:rsidR="00780111" w:rsidRPr="00FE4BFD" w14:paraId="00A8616C" w14:textId="77777777" w:rsidTr="00FE4BFD">
        <w:trPr>
          <w:trHeight w:val="235"/>
        </w:trPr>
        <w:tc>
          <w:tcPr>
            <w:tcW w:w="3620" w:type="dxa"/>
          </w:tcPr>
          <w:p w14:paraId="22A5A1E8" w14:textId="3DBA44E0" w:rsidR="00780111" w:rsidRPr="00FE4BFD" w:rsidRDefault="00780111" w:rsidP="00D55789">
            <w:pPr>
              <w:spacing w:line="240" w:lineRule="auto"/>
              <w:ind w:right="-351"/>
              <w:rPr>
                <w:rFonts w:cs="Arial"/>
                <w:sz w:val="18"/>
              </w:rPr>
            </w:pPr>
            <w:r>
              <w:rPr>
                <w:sz w:val="18"/>
              </w:rPr>
              <w:t>Umsatz</w:t>
            </w:r>
          </w:p>
        </w:tc>
        <w:tc>
          <w:tcPr>
            <w:tcW w:w="1357" w:type="dxa"/>
          </w:tcPr>
          <w:p w14:paraId="474112E1" w14:textId="5FEF5BEB" w:rsidR="00780111" w:rsidRPr="00FE4BFD" w:rsidRDefault="000F44BE" w:rsidP="000F44BE">
            <w:pPr>
              <w:spacing w:line="240" w:lineRule="auto"/>
              <w:ind w:right="-351"/>
              <w:jc w:val="center"/>
              <w:rPr>
                <w:rFonts w:cs="Arial"/>
                <w:sz w:val="18"/>
              </w:rPr>
            </w:pPr>
            <w:r>
              <w:rPr>
                <w:sz w:val="18"/>
              </w:rPr>
              <w:t>2.308</w:t>
            </w:r>
          </w:p>
        </w:tc>
        <w:tc>
          <w:tcPr>
            <w:tcW w:w="1357" w:type="dxa"/>
          </w:tcPr>
          <w:p w14:paraId="267E1429" w14:textId="209B8E90" w:rsidR="00780111" w:rsidRPr="00FE4BFD" w:rsidRDefault="000F44BE" w:rsidP="000F44BE">
            <w:pPr>
              <w:spacing w:line="240" w:lineRule="auto"/>
              <w:ind w:right="-351"/>
              <w:jc w:val="center"/>
              <w:rPr>
                <w:rFonts w:cs="Arial"/>
                <w:sz w:val="18"/>
              </w:rPr>
            </w:pPr>
            <w:r>
              <w:rPr>
                <w:sz w:val="18"/>
              </w:rPr>
              <w:t>2.242</w:t>
            </w:r>
          </w:p>
        </w:tc>
        <w:tc>
          <w:tcPr>
            <w:tcW w:w="1349" w:type="dxa"/>
          </w:tcPr>
          <w:p w14:paraId="4DD83B3D" w14:textId="02FA6711" w:rsidR="00780111" w:rsidRPr="00FE4BFD" w:rsidRDefault="000F44BE" w:rsidP="0079762C">
            <w:pPr>
              <w:spacing w:line="240" w:lineRule="auto"/>
              <w:ind w:right="-351"/>
              <w:jc w:val="center"/>
              <w:rPr>
                <w:rFonts w:cs="Arial"/>
                <w:sz w:val="18"/>
              </w:rPr>
            </w:pPr>
            <w:r>
              <w:rPr>
                <w:sz w:val="18"/>
              </w:rPr>
              <w:t>(3%)</w:t>
            </w:r>
          </w:p>
        </w:tc>
        <w:tc>
          <w:tcPr>
            <w:tcW w:w="1350" w:type="dxa"/>
          </w:tcPr>
          <w:p w14:paraId="7B6584E6" w14:textId="3EDDEF4B" w:rsidR="00780111" w:rsidRPr="00FE4BFD" w:rsidRDefault="000F44BE" w:rsidP="0079762C">
            <w:pPr>
              <w:spacing w:line="240" w:lineRule="auto"/>
              <w:ind w:right="-351"/>
              <w:jc w:val="center"/>
              <w:rPr>
                <w:rFonts w:cs="Arial"/>
                <w:sz w:val="18"/>
              </w:rPr>
            </w:pPr>
            <w:r>
              <w:rPr>
                <w:sz w:val="18"/>
              </w:rPr>
              <w:t>(4%)</w:t>
            </w:r>
          </w:p>
        </w:tc>
      </w:tr>
      <w:tr w:rsidR="00E45E82" w:rsidRPr="00FE4BFD" w14:paraId="54E5EFF0" w14:textId="77777777" w:rsidTr="00FE4BFD">
        <w:trPr>
          <w:trHeight w:val="257"/>
        </w:trPr>
        <w:tc>
          <w:tcPr>
            <w:tcW w:w="3620" w:type="dxa"/>
          </w:tcPr>
          <w:p w14:paraId="634FDA99" w14:textId="6D64341B" w:rsidR="00E45E82" w:rsidRPr="00FE4BFD" w:rsidRDefault="00E45E82" w:rsidP="00E45E82">
            <w:pPr>
              <w:spacing w:line="260" w:lineRule="exact"/>
              <w:ind w:right="-351"/>
              <w:rPr>
                <w:rFonts w:cs="Arial"/>
                <w:sz w:val="18"/>
              </w:rPr>
            </w:pPr>
            <w:r>
              <w:rPr>
                <w:sz w:val="18"/>
              </w:rPr>
              <w:t>Bereinigtes Betriebsergebnis</w:t>
            </w:r>
            <w:r>
              <w:rPr>
                <w:sz w:val="18"/>
                <w:vertAlign w:val="superscript"/>
              </w:rPr>
              <w:t>1</w:t>
            </w:r>
          </w:p>
        </w:tc>
        <w:tc>
          <w:tcPr>
            <w:tcW w:w="1357" w:type="dxa"/>
          </w:tcPr>
          <w:p w14:paraId="09821DFD" w14:textId="7EE184B1" w:rsidR="00E45E82" w:rsidRPr="00FE4BFD" w:rsidRDefault="000F44BE" w:rsidP="000F44BE">
            <w:pPr>
              <w:spacing w:line="240" w:lineRule="auto"/>
              <w:ind w:right="-351"/>
              <w:jc w:val="center"/>
              <w:rPr>
                <w:rFonts w:cs="Arial"/>
                <w:sz w:val="18"/>
              </w:rPr>
            </w:pPr>
            <w:r>
              <w:rPr>
                <w:sz w:val="18"/>
              </w:rPr>
              <w:t>181</w:t>
            </w:r>
          </w:p>
        </w:tc>
        <w:tc>
          <w:tcPr>
            <w:tcW w:w="1357" w:type="dxa"/>
          </w:tcPr>
          <w:p w14:paraId="5FC536CB" w14:textId="217164B6" w:rsidR="00E45E82" w:rsidRPr="00FE4BFD" w:rsidRDefault="000F44BE" w:rsidP="000F44BE">
            <w:pPr>
              <w:spacing w:line="240" w:lineRule="auto"/>
              <w:ind w:right="-351"/>
              <w:jc w:val="center"/>
              <w:rPr>
                <w:rFonts w:cs="Arial"/>
                <w:sz w:val="18"/>
              </w:rPr>
            </w:pPr>
            <w:r>
              <w:rPr>
                <w:sz w:val="18"/>
              </w:rPr>
              <w:t>223</w:t>
            </w:r>
          </w:p>
        </w:tc>
        <w:tc>
          <w:tcPr>
            <w:tcW w:w="1349" w:type="dxa"/>
            <w:shd w:val="clear" w:color="auto" w:fill="FFFFFF" w:themeFill="background1"/>
          </w:tcPr>
          <w:p w14:paraId="2BD3F951" w14:textId="0148DA8B" w:rsidR="00E45E82" w:rsidRPr="00FE4BFD" w:rsidRDefault="000F44BE" w:rsidP="0079762C">
            <w:pPr>
              <w:spacing w:line="240" w:lineRule="auto"/>
              <w:ind w:right="-351"/>
              <w:jc w:val="center"/>
              <w:rPr>
                <w:rFonts w:cs="Arial"/>
                <w:sz w:val="18"/>
              </w:rPr>
            </w:pPr>
            <w:r>
              <w:rPr>
                <w:sz w:val="18"/>
              </w:rPr>
              <w:t>23%</w:t>
            </w:r>
          </w:p>
        </w:tc>
        <w:tc>
          <w:tcPr>
            <w:tcW w:w="1350" w:type="dxa"/>
            <w:shd w:val="clear" w:color="auto" w:fill="DDD9C3" w:themeFill="background2" w:themeFillShade="E6"/>
          </w:tcPr>
          <w:p w14:paraId="7E105DA8" w14:textId="77777777" w:rsidR="00E45E82" w:rsidRPr="00FE4BFD" w:rsidRDefault="00E45E82" w:rsidP="00E45E82">
            <w:pPr>
              <w:spacing w:line="240" w:lineRule="auto"/>
              <w:ind w:right="-351"/>
              <w:rPr>
                <w:rFonts w:cs="Arial"/>
                <w:sz w:val="18"/>
                <w:highlight w:val="yellow"/>
              </w:rPr>
            </w:pPr>
          </w:p>
        </w:tc>
      </w:tr>
      <w:tr w:rsidR="00A50BA3" w:rsidRPr="00FE4BFD" w14:paraId="191DB6EF" w14:textId="77777777" w:rsidTr="00FE4BFD">
        <w:trPr>
          <w:trHeight w:val="257"/>
        </w:trPr>
        <w:tc>
          <w:tcPr>
            <w:tcW w:w="3620" w:type="dxa"/>
          </w:tcPr>
          <w:p w14:paraId="385F464F" w14:textId="7EED7776" w:rsidR="00A50BA3" w:rsidRPr="00FE4BFD" w:rsidRDefault="00A50BA3" w:rsidP="00A50BA3">
            <w:pPr>
              <w:spacing w:line="260" w:lineRule="exact"/>
              <w:ind w:right="-351"/>
              <w:rPr>
                <w:rFonts w:cs="Arial"/>
                <w:sz w:val="18"/>
              </w:rPr>
            </w:pPr>
            <w:r>
              <w:rPr>
                <w:sz w:val="18"/>
              </w:rPr>
              <w:t>ROS (Umsatzrendite)</w:t>
            </w:r>
          </w:p>
        </w:tc>
        <w:tc>
          <w:tcPr>
            <w:tcW w:w="1357" w:type="dxa"/>
          </w:tcPr>
          <w:p w14:paraId="3A1912B3" w14:textId="4D106EBD" w:rsidR="00A50BA3" w:rsidRPr="00FE4BFD" w:rsidRDefault="0079762C" w:rsidP="0079762C">
            <w:pPr>
              <w:spacing w:line="240" w:lineRule="auto"/>
              <w:ind w:right="-351"/>
              <w:jc w:val="center"/>
              <w:rPr>
                <w:rFonts w:cs="Arial"/>
                <w:sz w:val="18"/>
              </w:rPr>
            </w:pPr>
            <w:r>
              <w:rPr>
                <w:sz w:val="18"/>
              </w:rPr>
              <w:t>7,8%</w:t>
            </w:r>
          </w:p>
        </w:tc>
        <w:tc>
          <w:tcPr>
            <w:tcW w:w="1357" w:type="dxa"/>
          </w:tcPr>
          <w:p w14:paraId="6EEF3A3C" w14:textId="169148A0" w:rsidR="00A50BA3" w:rsidRPr="00FE4BFD" w:rsidRDefault="0079762C" w:rsidP="0079762C">
            <w:pPr>
              <w:spacing w:line="240" w:lineRule="auto"/>
              <w:ind w:right="-351"/>
              <w:jc w:val="center"/>
              <w:rPr>
                <w:rFonts w:cs="Arial"/>
                <w:sz w:val="18"/>
              </w:rPr>
            </w:pPr>
            <w:r>
              <w:rPr>
                <w:sz w:val="18"/>
              </w:rPr>
              <w:t>9,9%</w:t>
            </w:r>
          </w:p>
        </w:tc>
        <w:tc>
          <w:tcPr>
            <w:tcW w:w="1349" w:type="dxa"/>
            <w:shd w:val="clear" w:color="auto" w:fill="DDD9C3" w:themeFill="background2" w:themeFillShade="E6"/>
          </w:tcPr>
          <w:p w14:paraId="6A9A0E80" w14:textId="77777777" w:rsidR="00A50BA3" w:rsidRPr="00FE4BFD" w:rsidRDefault="00A50BA3" w:rsidP="0079762C">
            <w:pPr>
              <w:spacing w:line="240" w:lineRule="auto"/>
              <w:ind w:right="-351"/>
              <w:jc w:val="center"/>
              <w:rPr>
                <w:rFonts w:cs="Arial"/>
                <w:sz w:val="18"/>
                <w:highlight w:val="yellow"/>
              </w:rPr>
            </w:pPr>
          </w:p>
        </w:tc>
        <w:tc>
          <w:tcPr>
            <w:tcW w:w="1350" w:type="dxa"/>
            <w:shd w:val="clear" w:color="auto" w:fill="DDD9C3" w:themeFill="background2" w:themeFillShade="E6"/>
          </w:tcPr>
          <w:p w14:paraId="332B2456" w14:textId="77777777" w:rsidR="00A50BA3" w:rsidRPr="00FE4BFD" w:rsidRDefault="00A50BA3" w:rsidP="00A50BA3">
            <w:pPr>
              <w:spacing w:line="240" w:lineRule="auto"/>
              <w:ind w:right="-351"/>
              <w:rPr>
                <w:rFonts w:cs="Arial"/>
                <w:sz w:val="18"/>
                <w:highlight w:val="yellow"/>
              </w:rPr>
            </w:pPr>
          </w:p>
        </w:tc>
      </w:tr>
      <w:tr w:rsidR="004D23BA" w:rsidRPr="00FE4BFD" w14:paraId="14F48ED7" w14:textId="77777777" w:rsidTr="00FE4BFD">
        <w:trPr>
          <w:trHeight w:val="257"/>
        </w:trPr>
        <w:tc>
          <w:tcPr>
            <w:tcW w:w="3620" w:type="dxa"/>
          </w:tcPr>
          <w:p w14:paraId="6A424D21" w14:textId="638C8E4C" w:rsidR="004D23BA" w:rsidRPr="00FE4BFD" w:rsidRDefault="004D23BA" w:rsidP="004D23BA">
            <w:pPr>
              <w:spacing w:line="260" w:lineRule="exact"/>
              <w:ind w:right="-351"/>
              <w:rPr>
                <w:rFonts w:cs="Arial"/>
                <w:sz w:val="18"/>
              </w:rPr>
            </w:pPr>
            <w:r>
              <w:rPr>
                <w:sz w:val="18"/>
              </w:rPr>
              <w:t>Umsatzrendite, ausgenommen nicht umgelegte Kosten</w:t>
            </w:r>
            <w:r>
              <w:rPr>
                <w:sz w:val="18"/>
                <w:vertAlign w:val="superscript"/>
              </w:rPr>
              <w:t>2</w:t>
            </w:r>
          </w:p>
        </w:tc>
        <w:tc>
          <w:tcPr>
            <w:tcW w:w="1357" w:type="dxa"/>
          </w:tcPr>
          <w:p w14:paraId="0C95E4C0" w14:textId="13A17228" w:rsidR="004D23BA" w:rsidRPr="00FE4BFD" w:rsidRDefault="0079762C" w:rsidP="0079762C">
            <w:pPr>
              <w:spacing w:line="240" w:lineRule="auto"/>
              <w:ind w:right="-351"/>
              <w:jc w:val="center"/>
              <w:rPr>
                <w:rFonts w:cs="Arial"/>
                <w:sz w:val="18"/>
              </w:rPr>
            </w:pPr>
            <w:r>
              <w:rPr>
                <w:sz w:val="18"/>
              </w:rPr>
              <w:t>9,0%</w:t>
            </w:r>
          </w:p>
        </w:tc>
        <w:tc>
          <w:tcPr>
            <w:tcW w:w="1357" w:type="dxa"/>
          </w:tcPr>
          <w:p w14:paraId="6D755398" w14:textId="6232D33F" w:rsidR="004D23BA" w:rsidRPr="00FE4BFD" w:rsidRDefault="0079762C" w:rsidP="0079762C">
            <w:pPr>
              <w:spacing w:line="240" w:lineRule="auto"/>
              <w:ind w:right="-351"/>
              <w:jc w:val="center"/>
              <w:rPr>
                <w:rFonts w:cs="Arial"/>
                <w:sz w:val="18"/>
              </w:rPr>
            </w:pPr>
            <w:r>
              <w:rPr>
                <w:sz w:val="18"/>
              </w:rPr>
              <w:t>11,0%</w:t>
            </w:r>
          </w:p>
        </w:tc>
        <w:tc>
          <w:tcPr>
            <w:tcW w:w="1349" w:type="dxa"/>
            <w:shd w:val="clear" w:color="auto" w:fill="DDD9C3" w:themeFill="background2" w:themeFillShade="E6"/>
          </w:tcPr>
          <w:p w14:paraId="4914D0C0" w14:textId="77777777" w:rsidR="004D23BA" w:rsidRPr="00FE4BFD" w:rsidRDefault="004D23BA" w:rsidP="0079762C">
            <w:pPr>
              <w:spacing w:line="240" w:lineRule="auto"/>
              <w:ind w:right="-351"/>
              <w:jc w:val="center"/>
              <w:rPr>
                <w:rFonts w:cs="Arial"/>
                <w:sz w:val="18"/>
                <w:highlight w:val="yellow"/>
              </w:rPr>
            </w:pPr>
          </w:p>
        </w:tc>
        <w:tc>
          <w:tcPr>
            <w:tcW w:w="1350" w:type="dxa"/>
            <w:shd w:val="clear" w:color="auto" w:fill="DDD9C3" w:themeFill="background2" w:themeFillShade="E6"/>
          </w:tcPr>
          <w:p w14:paraId="3E992A32" w14:textId="77777777" w:rsidR="004D23BA" w:rsidRPr="00FE4BFD" w:rsidRDefault="004D23BA" w:rsidP="004D23BA">
            <w:pPr>
              <w:spacing w:line="240" w:lineRule="auto"/>
              <w:ind w:right="-351"/>
              <w:rPr>
                <w:rFonts w:cs="Arial"/>
                <w:sz w:val="18"/>
                <w:highlight w:val="yellow"/>
              </w:rPr>
            </w:pPr>
          </w:p>
        </w:tc>
      </w:tr>
      <w:tr w:rsidR="00CE75FA" w:rsidRPr="00FE4BFD" w14:paraId="77428272" w14:textId="77777777" w:rsidTr="00FE4BFD">
        <w:trPr>
          <w:trHeight w:val="257"/>
        </w:trPr>
        <w:tc>
          <w:tcPr>
            <w:tcW w:w="3620" w:type="dxa"/>
          </w:tcPr>
          <w:p w14:paraId="4ADB4570" w14:textId="6614BB03" w:rsidR="00CE75FA" w:rsidRPr="00FE4BFD" w:rsidRDefault="00CE75FA" w:rsidP="00CE75FA">
            <w:pPr>
              <w:spacing w:line="260" w:lineRule="exact"/>
              <w:ind w:right="-351"/>
              <w:rPr>
                <w:rFonts w:cs="Arial"/>
                <w:sz w:val="18"/>
              </w:rPr>
            </w:pPr>
            <w:r>
              <w:rPr>
                <w:sz w:val="18"/>
              </w:rPr>
              <w:t>Betriebsergebnis</w:t>
            </w:r>
          </w:p>
        </w:tc>
        <w:tc>
          <w:tcPr>
            <w:tcW w:w="1357" w:type="dxa"/>
          </w:tcPr>
          <w:p w14:paraId="5903C5CF" w14:textId="084115AD" w:rsidR="00CE75FA" w:rsidRPr="00FE4BFD" w:rsidRDefault="0079762C" w:rsidP="0079762C">
            <w:pPr>
              <w:spacing w:line="240" w:lineRule="auto"/>
              <w:ind w:right="-351"/>
              <w:jc w:val="center"/>
              <w:rPr>
                <w:rFonts w:cs="Arial"/>
                <w:sz w:val="18"/>
              </w:rPr>
            </w:pPr>
            <w:r>
              <w:rPr>
                <w:sz w:val="18"/>
              </w:rPr>
              <w:t>68</w:t>
            </w:r>
          </w:p>
        </w:tc>
        <w:tc>
          <w:tcPr>
            <w:tcW w:w="1357" w:type="dxa"/>
          </w:tcPr>
          <w:p w14:paraId="00C8742A" w14:textId="7C19913E" w:rsidR="00CE75FA" w:rsidRPr="00FE4BFD" w:rsidRDefault="0079762C" w:rsidP="0079762C">
            <w:pPr>
              <w:spacing w:line="240" w:lineRule="auto"/>
              <w:ind w:right="-351"/>
              <w:jc w:val="center"/>
              <w:rPr>
                <w:rFonts w:cs="Arial"/>
                <w:sz w:val="18"/>
              </w:rPr>
            </w:pPr>
            <w:r>
              <w:rPr>
                <w:sz w:val="18"/>
              </w:rPr>
              <w:t>173</w:t>
            </w:r>
          </w:p>
        </w:tc>
        <w:tc>
          <w:tcPr>
            <w:tcW w:w="1349" w:type="dxa"/>
            <w:shd w:val="clear" w:color="auto" w:fill="FFFFFF" w:themeFill="background1"/>
          </w:tcPr>
          <w:p w14:paraId="251D1A32" w14:textId="654E62D1" w:rsidR="00CE75FA" w:rsidRPr="00FE4BFD" w:rsidRDefault="0079762C" w:rsidP="0079762C">
            <w:pPr>
              <w:spacing w:line="240" w:lineRule="auto"/>
              <w:ind w:right="-351"/>
              <w:jc w:val="center"/>
              <w:rPr>
                <w:rFonts w:cs="Arial"/>
                <w:sz w:val="18"/>
              </w:rPr>
            </w:pPr>
            <w:r>
              <w:rPr>
                <w:sz w:val="18"/>
              </w:rPr>
              <w:t>154%</w:t>
            </w:r>
          </w:p>
        </w:tc>
        <w:tc>
          <w:tcPr>
            <w:tcW w:w="1350" w:type="dxa"/>
            <w:shd w:val="clear" w:color="auto" w:fill="DDD9C3" w:themeFill="background2" w:themeFillShade="E6"/>
          </w:tcPr>
          <w:p w14:paraId="6882A6B6" w14:textId="77777777" w:rsidR="00CE75FA" w:rsidRPr="00FE4BFD" w:rsidRDefault="00CE75FA" w:rsidP="00CE75FA">
            <w:pPr>
              <w:spacing w:line="240" w:lineRule="auto"/>
              <w:ind w:right="-351"/>
              <w:rPr>
                <w:rFonts w:cs="Arial"/>
                <w:sz w:val="18"/>
                <w:highlight w:val="yellow"/>
              </w:rPr>
            </w:pPr>
          </w:p>
        </w:tc>
      </w:tr>
    </w:tbl>
    <w:p w14:paraId="5AF3BD16" w14:textId="06FE3D85" w:rsidR="00B370B2" w:rsidRPr="00FE4BFD" w:rsidRDefault="00B370B2" w:rsidP="000524E8">
      <w:pPr>
        <w:pStyle w:val="paragraph"/>
        <w:textAlignment w:val="baseline"/>
        <w:rPr>
          <w:rStyle w:val="normaltextrun1"/>
          <w:rFonts w:ascii="Arial" w:hAnsi="Arial" w:cs="Arial"/>
          <w:sz w:val="20"/>
          <w:szCs w:val="22"/>
          <w:lang w:val="en-GB"/>
        </w:rPr>
      </w:pPr>
    </w:p>
    <w:p w14:paraId="53A9DA25" w14:textId="4D740550" w:rsidR="00666F54" w:rsidRPr="00FE4BFD" w:rsidRDefault="009D5C0B" w:rsidP="000524E8">
      <w:pPr>
        <w:pStyle w:val="paragraph"/>
        <w:textAlignment w:val="baseline"/>
        <w:rPr>
          <w:rStyle w:val="normaltextrun1"/>
          <w:rFonts w:ascii="Arial" w:hAnsi="Arial" w:cs="Arial"/>
          <w:b/>
          <w:sz w:val="20"/>
          <w:szCs w:val="22"/>
        </w:rPr>
      </w:pPr>
      <w:r>
        <w:rPr>
          <w:rStyle w:val="normaltextrun1"/>
          <w:rFonts w:ascii="Arial" w:hAnsi="Arial"/>
          <w:b/>
          <w:sz w:val="20"/>
          <w:szCs w:val="22"/>
        </w:rPr>
        <w:t xml:space="preserve">Höhepunkte der jüngsten Zeit </w:t>
      </w:r>
      <w:r>
        <w:rPr>
          <w:rStyle w:val="normaltextrun1"/>
          <w:rFonts w:ascii="Arial" w:hAnsi="Arial"/>
          <w:b/>
          <w:sz w:val="20"/>
          <w:szCs w:val="22"/>
        </w:rPr>
        <w:br/>
      </w:r>
    </w:p>
    <w:p w14:paraId="62DE712A" w14:textId="770CD5FC" w:rsidR="0079762C" w:rsidRPr="00FE4BFD" w:rsidRDefault="0079762C" w:rsidP="0079762C">
      <w:pPr>
        <w:rPr>
          <w:rFonts w:cs="Arial"/>
          <w:b/>
          <w:bCs/>
        </w:rPr>
      </w:pPr>
      <w:r>
        <w:rPr>
          <w:b/>
          <w:bCs/>
        </w:rPr>
        <w:t>Pulverbeschichtungen wollen hoch hinaus</w:t>
      </w:r>
    </w:p>
    <w:p w14:paraId="0AA84EA6" w14:textId="53BFD489" w:rsidR="0079762C" w:rsidRPr="00EE60C5" w:rsidRDefault="0079762C" w:rsidP="0079762C">
      <w:r>
        <w:t xml:space="preserve">Das höchste Gebäude Europas befindet sich gerade im Bau </w:t>
      </w:r>
      <w:r w:rsidR="00EE60C5">
        <w:t xml:space="preserve">– </w:t>
      </w:r>
      <w:r>
        <w:t xml:space="preserve">und gegen das raue Klima in Warschau bekommt es eine Schutzschicht von AkzoNobel. Mit einer beeindruckenden Höhe von 310 m wird der </w:t>
      </w:r>
      <w:proofErr w:type="spellStart"/>
      <w:r>
        <w:t>Varso</w:t>
      </w:r>
      <w:proofErr w:type="spellEnd"/>
      <w:r>
        <w:t xml:space="preserve"> Tower, der vom internationalen Immobilienentwickler HB </w:t>
      </w:r>
      <w:proofErr w:type="spellStart"/>
      <w:r>
        <w:t>Reavis</w:t>
      </w:r>
      <w:proofErr w:type="spellEnd"/>
      <w:r>
        <w:t xml:space="preserve"> gebaut wird, dem Erscheinungsbild der polnischen Hauptstadt ein neues Wahrzeichen verleihen. Die glatte, schwarze Außenfassade entstand durch die extrem leistungsstarke Farbe </w:t>
      </w:r>
      <w:proofErr w:type="spellStart"/>
      <w:r>
        <w:t>Interpon</w:t>
      </w:r>
      <w:proofErr w:type="spellEnd"/>
      <w:r>
        <w:t xml:space="preserve"> D2525, die mit dem Farbton Noir </w:t>
      </w:r>
      <w:proofErr w:type="spellStart"/>
      <w:r>
        <w:t>Sablé</w:t>
      </w:r>
      <w:proofErr w:type="spellEnd"/>
      <w:r>
        <w:t xml:space="preserve"> abgesetzt ist. Die Grundierung </w:t>
      </w:r>
      <w:proofErr w:type="spellStart"/>
      <w:r>
        <w:t>Redox</w:t>
      </w:r>
      <w:proofErr w:type="spellEnd"/>
      <w:r>
        <w:t xml:space="preserve"> Plus von </w:t>
      </w:r>
      <w:proofErr w:type="spellStart"/>
      <w:r>
        <w:t>Interpon</w:t>
      </w:r>
      <w:proofErr w:type="spellEnd"/>
      <w:r>
        <w:t xml:space="preserve"> wurde als besonders harter Untergrund verwendet.</w:t>
      </w:r>
    </w:p>
    <w:p w14:paraId="07601D54" w14:textId="55B8D596" w:rsidR="00514D8F" w:rsidRPr="008D483C" w:rsidRDefault="00514D8F" w:rsidP="00660E17"/>
    <w:p w14:paraId="0D2B8747" w14:textId="77777777" w:rsidR="0079762C" w:rsidRPr="00FE4BFD" w:rsidRDefault="0079762C" w:rsidP="0079762C">
      <w:pPr>
        <w:rPr>
          <w:rFonts w:cs="Arial"/>
          <w:b/>
          <w:bCs/>
        </w:rPr>
      </w:pPr>
      <w:proofErr w:type="spellStart"/>
      <w:r>
        <w:rPr>
          <w:b/>
          <w:bCs/>
        </w:rPr>
        <w:t>Dulux</w:t>
      </w:r>
      <w:proofErr w:type="spellEnd"/>
      <w:r>
        <w:rPr>
          <w:b/>
          <w:bCs/>
        </w:rPr>
        <w:t xml:space="preserve"> </w:t>
      </w:r>
      <w:proofErr w:type="spellStart"/>
      <w:r>
        <w:rPr>
          <w:b/>
          <w:bCs/>
        </w:rPr>
        <w:t>Ambiance</w:t>
      </w:r>
      <w:proofErr w:type="spellEnd"/>
      <w:r>
        <w:rPr>
          <w:b/>
          <w:bCs/>
        </w:rPr>
        <w:t xml:space="preserve"> auf dem indischen Markt eingeführt </w:t>
      </w:r>
    </w:p>
    <w:p w14:paraId="59F1718E" w14:textId="2D99027F" w:rsidR="0079762C" w:rsidRPr="00FE4BFD" w:rsidRDefault="0079762C" w:rsidP="0079762C">
      <w:pPr>
        <w:rPr>
          <w:rFonts w:cs="Arial"/>
        </w:rPr>
      </w:pPr>
      <w:proofErr w:type="spellStart"/>
      <w:r>
        <w:t>Dulux</w:t>
      </w:r>
      <w:proofErr w:type="spellEnd"/>
      <w:r>
        <w:t xml:space="preserve"> hat sechs Farben mit Spezialeffekten auf dem indischen Markt eingeführt. Die neuen Farben </w:t>
      </w:r>
      <w:proofErr w:type="spellStart"/>
      <w:r>
        <w:t>Marble</w:t>
      </w:r>
      <w:proofErr w:type="spellEnd"/>
      <w:r>
        <w:t xml:space="preserve">, Metallic, </w:t>
      </w:r>
      <w:proofErr w:type="spellStart"/>
      <w:r>
        <w:t>Linen</w:t>
      </w:r>
      <w:proofErr w:type="spellEnd"/>
      <w:r>
        <w:t xml:space="preserve">, Silk, </w:t>
      </w:r>
      <w:proofErr w:type="spellStart"/>
      <w:r>
        <w:t>ColourMotion</w:t>
      </w:r>
      <w:proofErr w:type="spellEnd"/>
      <w:r>
        <w:t xml:space="preserve"> und </w:t>
      </w:r>
      <w:proofErr w:type="spellStart"/>
      <w:r>
        <w:t>Desert</w:t>
      </w:r>
      <w:proofErr w:type="spellEnd"/>
      <w:r>
        <w:t xml:space="preserve"> sind </w:t>
      </w:r>
      <w:proofErr w:type="spellStart"/>
      <w:r>
        <w:t>teil</w:t>
      </w:r>
      <w:proofErr w:type="spellEnd"/>
      <w:r>
        <w:t xml:space="preserve"> de</w:t>
      </w:r>
      <w:r w:rsidR="00F77FF0">
        <w:t>s</w:t>
      </w:r>
      <w:r>
        <w:t xml:space="preserve"> </w:t>
      </w:r>
      <w:proofErr w:type="spellStart"/>
      <w:r>
        <w:t>Ambiance</w:t>
      </w:r>
      <w:proofErr w:type="spellEnd"/>
      <w:r>
        <w:t xml:space="preserve">-Sortiments und ermöglichen es den Anwendern, komplett neue Designs und Muster zu gestalten. </w:t>
      </w:r>
    </w:p>
    <w:p w14:paraId="1E9E285C" w14:textId="0D27E560" w:rsidR="0079762C" w:rsidRPr="00FE4BFD" w:rsidRDefault="0079762C" w:rsidP="0079762C">
      <w:pPr>
        <w:rPr>
          <w:rFonts w:cs="Arial"/>
        </w:rPr>
      </w:pPr>
      <w:r>
        <w:t xml:space="preserve">Außerdem hat </w:t>
      </w:r>
      <w:proofErr w:type="spellStart"/>
      <w:r>
        <w:t>Dulux</w:t>
      </w:r>
      <w:proofErr w:type="spellEnd"/>
      <w:r>
        <w:t xml:space="preserve"> das Produkt </w:t>
      </w:r>
      <w:proofErr w:type="spellStart"/>
      <w:r>
        <w:t>Dulux</w:t>
      </w:r>
      <w:proofErr w:type="spellEnd"/>
      <w:r>
        <w:t xml:space="preserve"> </w:t>
      </w:r>
      <w:proofErr w:type="spellStart"/>
      <w:r>
        <w:t>Ambiance</w:t>
      </w:r>
      <w:proofErr w:type="spellEnd"/>
      <w:r>
        <w:t xml:space="preserve"> Velvet Touch </w:t>
      </w:r>
      <w:proofErr w:type="spellStart"/>
      <w:r>
        <w:t>Elastoglo</w:t>
      </w:r>
      <w:proofErr w:type="spellEnd"/>
      <w:r>
        <w:t xml:space="preserve"> auf den Markt gebracht. Auf Basis hochmoderner Elastomere bietet das Produkt eine Steigerung der Elastizität der Farbschicht um das Dreifache gegenüber anderen Innenfarben aus dem Premiumsegment. Es kann feine Risse abdecken und Wände schützen und sieht dabei auch noch gut aus.</w:t>
      </w:r>
    </w:p>
    <w:p w14:paraId="0D51E14E" w14:textId="09F560C0" w:rsidR="00514D8F" w:rsidRPr="008D483C" w:rsidRDefault="00514D8F" w:rsidP="00660E17">
      <w:pPr>
        <w:rPr>
          <w:sz w:val="14"/>
        </w:rPr>
      </w:pPr>
    </w:p>
    <w:p w14:paraId="5B1E95CE" w14:textId="681BDD64" w:rsidR="00514D8F" w:rsidRPr="00FE4BFD" w:rsidRDefault="00514D8F" w:rsidP="00660E17">
      <w:pPr>
        <w:rPr>
          <w:b/>
        </w:rPr>
      </w:pPr>
      <w:r>
        <w:rPr>
          <w:b/>
        </w:rPr>
        <w:t>Revolutionärer Spritzspachtel auf den Yachtmarkt gebracht</w:t>
      </w:r>
    </w:p>
    <w:p w14:paraId="3F65EC2F" w14:textId="3F005E41" w:rsidR="00514D8F" w:rsidRPr="00FE4BFD" w:rsidRDefault="00514D8F" w:rsidP="00660E17">
      <w:r>
        <w:t>Hersteller von Superyachten und Anwender freuen sich über einen</w:t>
      </w:r>
      <w:r w:rsidR="009A6294">
        <w:t xml:space="preserve"> </w:t>
      </w:r>
      <w:r>
        <w:t xml:space="preserve">revolutionären Spritzspachtel, der große Wellen in der Branche schlagen wird. </w:t>
      </w:r>
      <w:proofErr w:type="spellStart"/>
      <w:r>
        <w:t>Awlfair</w:t>
      </w:r>
      <w:proofErr w:type="spellEnd"/>
      <w:r>
        <w:t xml:space="preserve"> SF gehört zum </w:t>
      </w:r>
      <w:proofErr w:type="spellStart"/>
      <w:r>
        <w:t>Awlgrip</w:t>
      </w:r>
      <w:proofErr w:type="spellEnd"/>
      <w:r>
        <w:t xml:space="preserve">-Sortiment und ist ein leistungsstarker Spachtel, der nicht mehr von Hand, sondern mittels einer </w:t>
      </w:r>
      <w:proofErr w:type="spellStart"/>
      <w:r>
        <w:t>Airless</w:t>
      </w:r>
      <w:proofErr w:type="spellEnd"/>
      <w:r>
        <w:t>-Sprühdüse aufgebracht wird. Diese bahnbrechende Innovation ist für nass-in-nass-Anwendung geeignet. Somit können an einem Tag bis zu zwei Schichten ohne Zwischenschliff aufgetragen werden.</w:t>
      </w:r>
    </w:p>
    <w:p w14:paraId="70DF5C42" w14:textId="4AAF9467" w:rsidR="00172E23" w:rsidRPr="008D483C" w:rsidRDefault="00172E23" w:rsidP="00172E23">
      <w:pPr>
        <w:rPr>
          <w:rFonts w:cs="Arial"/>
          <w:b/>
          <w:bCs/>
          <w:sz w:val="14"/>
          <w:szCs w:val="20"/>
        </w:rPr>
      </w:pPr>
    </w:p>
    <w:p w14:paraId="4B9AEDCF" w14:textId="45E384BA" w:rsidR="003C090D" w:rsidRPr="002B7C0A" w:rsidRDefault="003C090D" w:rsidP="003C090D">
      <w:pPr>
        <w:jc w:val="both"/>
        <w:rPr>
          <w:b/>
          <w:szCs w:val="26"/>
        </w:rPr>
      </w:pPr>
      <w:bookmarkStart w:id="3" w:name="_Hlk32224391"/>
      <w:r>
        <w:rPr>
          <w:b/>
          <w:szCs w:val="26"/>
        </w:rPr>
        <w:t xml:space="preserve">AkzoNobel wird fünfmal als „Bester Arbeitgeber“ geehrt </w:t>
      </w:r>
      <w:r w:rsidR="002B7C0A">
        <w:rPr>
          <w:b/>
          <w:szCs w:val="26"/>
        </w:rPr>
        <w:t>–</w:t>
      </w:r>
      <w:r>
        <w:rPr>
          <w:b/>
          <w:szCs w:val="26"/>
        </w:rPr>
        <w:t xml:space="preserve"> die Investition in Mitarbeiter macht sich bezahlt</w:t>
      </w:r>
    </w:p>
    <w:bookmarkEnd w:id="3"/>
    <w:p w14:paraId="6514751D" w14:textId="3EC1E0DF" w:rsidR="00C22076" w:rsidRPr="00E25B27" w:rsidRDefault="00C22076" w:rsidP="00C22076">
      <w:r>
        <w:lastRenderedPageBreak/>
        <w:t xml:space="preserve">Das Top </w:t>
      </w:r>
      <w:proofErr w:type="spellStart"/>
      <w:r>
        <w:t>Employers</w:t>
      </w:r>
      <w:proofErr w:type="spellEnd"/>
      <w:r>
        <w:t xml:space="preserve"> Institute hat AkzoNobel für hervorragende Arbeitsbedingungen für seine Mitarbeiter ausgezeichnet. Im Dezember 2019 erhielt China das Zertifikat, nachdem bereits andere wesentliche Märkte in Brasilien, Großbritannien, den Niederlanden und den USA Auszeichnungen erhielten. In den Niederlanden und den USA war dies die erste Auszeichnung als Bester Arbeitgeber, während das Zertifikat in Großbritannien bereits seit acht, in China seit sieben und in Brasilien seit vier aufeinander folgenden Jahren verliehen wurde.</w:t>
      </w:r>
    </w:p>
    <w:p w14:paraId="268593BE" w14:textId="77777777" w:rsidR="00FE4BFD" w:rsidRPr="008D483C" w:rsidRDefault="00FE4BFD" w:rsidP="00986996"/>
    <w:tbl>
      <w:tblPr>
        <w:tblStyle w:val="TableGrid"/>
        <w:tblW w:w="9369" w:type="dxa"/>
        <w:tblLook w:val="04A0" w:firstRow="1" w:lastRow="0" w:firstColumn="1" w:lastColumn="0" w:noHBand="0" w:noVBand="1"/>
      </w:tblPr>
      <w:tblGrid>
        <w:gridCol w:w="9369"/>
      </w:tblGrid>
      <w:tr w:rsidR="00501AE7" w:rsidRPr="005353A5" w14:paraId="19B9F76B" w14:textId="77777777" w:rsidTr="00F8276D">
        <w:trPr>
          <w:trHeight w:val="2375"/>
        </w:trPr>
        <w:tc>
          <w:tcPr>
            <w:tcW w:w="9369" w:type="dxa"/>
          </w:tcPr>
          <w:p w14:paraId="58CECE8A" w14:textId="36871796" w:rsidR="00501AE7" w:rsidRDefault="00501AE7" w:rsidP="003B58ED">
            <w:pPr>
              <w:ind w:right="-27"/>
              <w:rPr>
                <w:rFonts w:cs="Arial"/>
                <w:b/>
              </w:rPr>
            </w:pPr>
            <w:r>
              <w:rPr>
                <w:b/>
              </w:rPr>
              <w:t>Ausblick:</w:t>
            </w:r>
          </w:p>
          <w:p w14:paraId="28066E16" w14:textId="5E8EEDE2" w:rsidR="00501AE7" w:rsidRPr="00514D8F" w:rsidRDefault="00FF1C42" w:rsidP="00F8276D">
            <w:pPr>
              <w:widowControl/>
              <w:rPr>
                <w:rFonts w:cs="Arial"/>
                <w:b/>
                <w:spacing w:val="-2"/>
                <w:highlight w:val="yellow"/>
              </w:rPr>
            </w:pPr>
            <w:r>
              <w:t>Wir arbeiten an der Umsetzung unserer Strategie „</w:t>
            </w:r>
            <w:proofErr w:type="spellStart"/>
            <w:r>
              <w:t>Winning</w:t>
            </w:r>
            <w:proofErr w:type="spellEnd"/>
            <w:r>
              <w:t xml:space="preserve"> </w:t>
            </w:r>
            <w:proofErr w:type="spellStart"/>
            <w:r>
              <w:t>together</w:t>
            </w:r>
            <w:proofErr w:type="spellEnd"/>
            <w:r>
              <w:t xml:space="preserve">: 15 </w:t>
            </w:r>
            <w:proofErr w:type="spellStart"/>
            <w:r>
              <w:t>by</w:t>
            </w:r>
            <w:proofErr w:type="spellEnd"/>
            <w:r>
              <w:t xml:space="preserve"> 20“, indem wir eine zweckorientierte Organisationsstruktur für ein eigenständiges </w:t>
            </w:r>
            <w:proofErr w:type="spellStart"/>
            <w:r>
              <w:t>Paints</w:t>
            </w:r>
            <w:proofErr w:type="spellEnd"/>
            <w:r>
              <w:t xml:space="preserve"> </w:t>
            </w:r>
            <w:proofErr w:type="spellStart"/>
            <w:r>
              <w:t>and</w:t>
            </w:r>
            <w:proofErr w:type="spellEnd"/>
            <w:r>
              <w:t xml:space="preserve"> </w:t>
            </w:r>
            <w:proofErr w:type="spellStart"/>
            <w:r>
              <w:t>Coatings</w:t>
            </w:r>
            <w:proofErr w:type="spellEnd"/>
            <w:r>
              <w:t xml:space="preserve"> schaffen und zum Erreichen unserer Ziele für 2020 beitragen. Die Nachfrage entwickelt sich in einem unsicheren makroökonomischen Umfeld in verschiedenen Regionen und Segmenten unterschiedlich. In der ersten Hälfte von 2020 gehen wir von moderat günstigen Bedingungen der Rohstoffpreise aus. Wir haben fortlaufende Initiativen zur Margenoptimierung und Kosteneinsparprogramme aufgesetzt, um den aktuellen Herausforderungen zu begegnen. Wir setzen weiterhin unsere Umstrukturierung um, einschließlich dazu gehöriger Einmalkosten, um die angekündigten Kosteneinsparungen in Höhe von 200 Millionen Euro zu erreichen. Wir streben eine ungewichtete Eigenmittelquote („</w:t>
            </w:r>
            <w:proofErr w:type="spellStart"/>
            <w:r>
              <w:t>leverage</w:t>
            </w:r>
            <w:proofErr w:type="spellEnd"/>
            <w:r>
              <w:t xml:space="preserve"> </w:t>
            </w:r>
            <w:proofErr w:type="spellStart"/>
            <w:r>
              <w:t>ratio</w:t>
            </w:r>
            <w:proofErr w:type="spellEnd"/>
            <w:r>
              <w:t>“) von der ein- bis zweifachen Nettoverschuldung/EBITDA bis Ende 2020 an und haben es uns auf die Fahne geschrieben, eine starke Bonitätsbewertung im Bereich „Investment Grade“ aufrechtzuerhalten.</w:t>
            </w:r>
          </w:p>
        </w:tc>
      </w:tr>
    </w:tbl>
    <w:p w14:paraId="0940DF71" w14:textId="77777777" w:rsidR="00F8276D" w:rsidRPr="008D483C" w:rsidRDefault="00F8276D" w:rsidP="00710216">
      <w:pPr>
        <w:autoSpaceDE w:val="0"/>
        <w:autoSpaceDN w:val="0"/>
        <w:spacing w:after="0" w:line="240" w:lineRule="auto"/>
        <w:rPr>
          <w:rFonts w:cs="Arial"/>
          <w:b/>
          <w:szCs w:val="20"/>
        </w:rPr>
      </w:pPr>
    </w:p>
    <w:p w14:paraId="663CEC37" w14:textId="5A60D985" w:rsidR="00417A8C" w:rsidRPr="00CE02EA" w:rsidRDefault="00B45F28" w:rsidP="00710216">
      <w:pPr>
        <w:autoSpaceDE w:val="0"/>
        <w:autoSpaceDN w:val="0"/>
        <w:spacing w:after="0" w:line="240" w:lineRule="auto"/>
        <w:rPr>
          <w:rFonts w:cs="Arial"/>
          <w:color w:val="1F497D"/>
          <w:szCs w:val="20"/>
        </w:rPr>
      </w:pPr>
      <w:r>
        <w:rPr>
          <w:b/>
          <w:szCs w:val="20"/>
        </w:rPr>
        <w:t xml:space="preserve">Der Jahresbericht </w:t>
      </w:r>
      <w:r w:rsidR="00EC36B8">
        <w:rPr>
          <w:b/>
          <w:szCs w:val="20"/>
        </w:rPr>
        <w:t xml:space="preserve">und </w:t>
      </w:r>
      <w:r>
        <w:rPr>
          <w:b/>
          <w:szCs w:val="20"/>
        </w:rPr>
        <w:t>der Bericht für das vierte Quartal 2019 können unter</w:t>
      </w:r>
      <w:r w:rsidR="009A6294">
        <w:rPr>
          <w:b/>
          <w:szCs w:val="20"/>
        </w:rPr>
        <w:t xml:space="preserve"> </w:t>
      </w:r>
      <w:hyperlink r:id="rId11" w:history="1">
        <w:r w:rsidR="009A6294" w:rsidRPr="008D483C">
          <w:rPr>
            <w:rStyle w:val="Hyperlink"/>
            <w:rFonts w:eastAsia="Times New Roman" w:cs="Arial"/>
          </w:rPr>
          <w:t>http://akzo.no/Q42019</w:t>
        </w:r>
      </w:hyperlink>
      <w:r w:rsidR="00EC36B8">
        <w:rPr>
          <w:rFonts w:cs="Arial"/>
          <w:color w:val="1F497D"/>
          <w:szCs w:val="20"/>
        </w:rPr>
        <w:t xml:space="preserve"> </w:t>
      </w:r>
      <w:r>
        <w:rPr>
          <w:b/>
          <w:bCs/>
        </w:rPr>
        <w:t>eingesehen und heruntergeladen werden.</w:t>
      </w:r>
    </w:p>
    <w:bookmarkEnd w:id="0"/>
    <w:bookmarkEnd w:id="1"/>
    <w:tbl>
      <w:tblPr>
        <w:tblStyle w:val="TableGrid1"/>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35"/>
        <w:gridCol w:w="1134"/>
        <w:gridCol w:w="1134"/>
        <w:gridCol w:w="709"/>
      </w:tblGrid>
      <w:tr w:rsidR="008E11B1" w:rsidRPr="005353A5" w14:paraId="1D0A5AC9" w14:textId="77777777" w:rsidTr="008E11B1">
        <w:tc>
          <w:tcPr>
            <w:tcW w:w="709" w:type="dxa"/>
            <w:shd w:val="clear" w:color="auto" w:fill="auto"/>
          </w:tcPr>
          <w:p w14:paraId="4A3EDD43" w14:textId="77777777" w:rsidR="00B27DAB" w:rsidRPr="00CE02EA" w:rsidRDefault="00B27DAB" w:rsidP="00FF7EE7">
            <w:pPr>
              <w:spacing w:after="0" w:line="240" w:lineRule="auto"/>
              <w:ind w:right="-351"/>
              <w:rPr>
                <w:rFonts w:cs="Arial"/>
                <w:b/>
                <w:color w:val="FFFFFF"/>
                <w:highlight w:val="yellow"/>
              </w:rPr>
            </w:pPr>
          </w:p>
        </w:tc>
        <w:tc>
          <w:tcPr>
            <w:tcW w:w="2835" w:type="dxa"/>
            <w:shd w:val="clear" w:color="auto" w:fill="auto"/>
            <w:vAlign w:val="center"/>
          </w:tcPr>
          <w:p w14:paraId="68BB37AB" w14:textId="77777777" w:rsidR="008E11B1" w:rsidRPr="00CE02EA" w:rsidRDefault="008E11B1" w:rsidP="00FF7EE7">
            <w:pPr>
              <w:spacing w:after="0" w:line="240" w:lineRule="auto"/>
              <w:ind w:right="-351"/>
              <w:rPr>
                <w:rFonts w:cs="Arial"/>
                <w:b/>
                <w:color w:val="FFFFFF"/>
                <w:highlight w:val="yellow"/>
              </w:rPr>
            </w:pPr>
          </w:p>
        </w:tc>
        <w:tc>
          <w:tcPr>
            <w:tcW w:w="1134" w:type="dxa"/>
            <w:shd w:val="clear" w:color="auto" w:fill="auto"/>
          </w:tcPr>
          <w:p w14:paraId="71537D46" w14:textId="77777777" w:rsidR="008E11B1" w:rsidRPr="00CE02EA" w:rsidRDefault="008E11B1" w:rsidP="00FF7EE7">
            <w:pPr>
              <w:spacing w:after="0" w:line="240" w:lineRule="auto"/>
              <w:ind w:right="-351"/>
              <w:jc w:val="right"/>
              <w:rPr>
                <w:rFonts w:cs="Arial"/>
                <w:b/>
                <w:color w:val="FFFFFF"/>
                <w:highlight w:val="yellow"/>
              </w:rPr>
            </w:pPr>
          </w:p>
        </w:tc>
        <w:tc>
          <w:tcPr>
            <w:tcW w:w="1134" w:type="dxa"/>
            <w:shd w:val="clear" w:color="auto" w:fill="auto"/>
          </w:tcPr>
          <w:p w14:paraId="2AF9E4AF" w14:textId="77777777" w:rsidR="008E11B1" w:rsidRPr="00CE02EA" w:rsidRDefault="008E11B1" w:rsidP="00FF7EE7">
            <w:pPr>
              <w:spacing w:after="0" w:line="240" w:lineRule="auto"/>
              <w:ind w:right="-351"/>
              <w:jc w:val="right"/>
              <w:rPr>
                <w:rFonts w:cs="Arial"/>
                <w:b/>
                <w:color w:val="FFFFFF"/>
                <w:highlight w:val="yellow"/>
              </w:rPr>
            </w:pPr>
          </w:p>
        </w:tc>
        <w:tc>
          <w:tcPr>
            <w:tcW w:w="709" w:type="dxa"/>
            <w:shd w:val="clear" w:color="auto" w:fill="auto"/>
          </w:tcPr>
          <w:p w14:paraId="4FC6E9F6" w14:textId="77777777" w:rsidR="008E11B1" w:rsidRPr="00CE02EA" w:rsidRDefault="008E11B1" w:rsidP="00FF7EE7">
            <w:pPr>
              <w:spacing w:after="0" w:line="240" w:lineRule="auto"/>
              <w:ind w:right="-351"/>
              <w:jc w:val="right"/>
              <w:rPr>
                <w:rFonts w:cs="Arial"/>
                <w:b/>
                <w:color w:val="FFFFFF"/>
                <w:highlight w:val="yellow"/>
              </w:rPr>
            </w:pPr>
          </w:p>
        </w:tc>
      </w:tr>
    </w:tbl>
    <w:p w14:paraId="01DEDE68" w14:textId="4A0A34AE" w:rsidR="009D5C0B" w:rsidRPr="00CE02EA" w:rsidRDefault="009D5C0B" w:rsidP="009D5C0B">
      <w:pPr>
        <w:pStyle w:val="ANNote"/>
        <w:ind w:right="-351"/>
        <w:rPr>
          <w:rFonts w:cs="Arial"/>
          <w:sz w:val="16"/>
          <w:szCs w:val="16"/>
        </w:rPr>
      </w:pPr>
      <w:r>
        <w:t>1 Bereinigtes Betriebsergebnis = Betriebsergebnis ausschließlich Sondereffekte (ehemals EBIT)</w:t>
      </w:r>
    </w:p>
    <w:p w14:paraId="6E5B3790" w14:textId="1E5BB34F" w:rsidR="006744C3" w:rsidRPr="00CE02EA" w:rsidRDefault="009D5C0B" w:rsidP="00FF7EE7">
      <w:pPr>
        <w:pStyle w:val="ANNote"/>
        <w:ind w:right="-351"/>
        <w:rPr>
          <w:rFonts w:cs="Arial"/>
        </w:rPr>
      </w:pPr>
      <w:r>
        <w:t>2 Umsatzrendite (ROS) ausgenommen nicht umgelegte Kosten</w:t>
      </w:r>
      <w:r w:rsidR="009A6294">
        <w:t xml:space="preserve"> </w:t>
      </w:r>
      <w:r>
        <w:t>ist das bereinigte Betriebsergebnis als Prozentsatz des Umsatzes ausgenommen nicht umgelegte Kosten der Zentralabteilungen.</w:t>
      </w:r>
    </w:p>
    <w:p w14:paraId="15FC9F65" w14:textId="335ACD54" w:rsidR="00542B97" w:rsidRPr="00CE02EA" w:rsidRDefault="009D5C0B" w:rsidP="00FF7EE7">
      <w:pPr>
        <w:pStyle w:val="ANNote"/>
        <w:ind w:right="-351"/>
        <w:rPr>
          <w:rFonts w:cs="Arial"/>
        </w:rPr>
      </w:pPr>
      <w:r>
        <w:t xml:space="preserve">3 Berechnungen auf Grundlage konstanter Wechselkurse schließen den Effekt von Wechselkursschwankungen aus. </w:t>
      </w:r>
    </w:p>
    <w:p w14:paraId="1D1C26B9" w14:textId="54E205FF" w:rsidR="00C34948" w:rsidRPr="00CE02EA" w:rsidRDefault="00C34948" w:rsidP="00FF7EE7">
      <w:pPr>
        <w:pStyle w:val="ANNote"/>
        <w:ind w:right="-351"/>
        <w:rPr>
          <w:rFonts w:cs="Arial"/>
          <w:szCs w:val="14"/>
        </w:rPr>
      </w:pPr>
    </w:p>
    <w:p w14:paraId="5C064060" w14:textId="77777777" w:rsidR="000C7A3F" w:rsidRPr="00CE02EA" w:rsidRDefault="000C7A3F" w:rsidP="00FF7EE7">
      <w:pPr>
        <w:spacing w:after="0" w:line="240" w:lineRule="auto"/>
        <w:ind w:right="-351"/>
        <w:rPr>
          <w:rFonts w:eastAsia="Arial" w:cs="Arial"/>
          <w:i/>
          <w:color w:val="000000"/>
          <w:sz w:val="18"/>
          <w:szCs w:val="20"/>
        </w:rPr>
      </w:pPr>
      <w:r>
        <w:rPr>
          <w:i/>
          <w:color w:val="000000"/>
          <w:sz w:val="18"/>
          <w:szCs w:val="20"/>
        </w:rPr>
        <w:t>Dies ist eine öffentliche Bekanntmachung von AkzoNobel N.V. nach Artikel 17, Abs. 1 der europäischen Marktmissbrauchsverordnung (596/2014).</w:t>
      </w:r>
    </w:p>
    <w:p w14:paraId="76E0936A" w14:textId="77777777" w:rsidR="00BA39B3" w:rsidRPr="00CE02EA" w:rsidRDefault="00BA39B3" w:rsidP="00FF7EE7">
      <w:pPr>
        <w:pStyle w:val="ANNote"/>
        <w:ind w:right="-351"/>
        <w:rPr>
          <w:rFonts w:cs="Arial"/>
          <w:b/>
          <w:bCs/>
          <w:szCs w:val="20"/>
          <w:u w:val="single"/>
        </w:rPr>
      </w:pPr>
    </w:p>
    <w:p w14:paraId="208442F8" w14:textId="77777777" w:rsidR="00B608A4" w:rsidRPr="00CE02EA" w:rsidRDefault="00A2728E" w:rsidP="00FF7EE7">
      <w:pPr>
        <w:pStyle w:val="ANNote"/>
        <w:ind w:right="-351"/>
        <w:rPr>
          <w:rFonts w:cs="Arial"/>
          <w:b/>
          <w:bCs/>
          <w:szCs w:val="20"/>
          <w:u w:val="single"/>
        </w:rPr>
      </w:pPr>
      <w:bookmarkStart w:id="4" w:name="_Hlk538470"/>
      <w:r>
        <w:rPr>
          <w:b/>
          <w:bCs/>
          <w:szCs w:val="20"/>
          <w:u w:val="single"/>
        </w:rPr>
        <w:t xml:space="preserve">Über AkzoNobel </w:t>
      </w:r>
    </w:p>
    <w:p w14:paraId="0D09E882" w14:textId="7950FC63" w:rsidR="00B608A4" w:rsidRPr="00CE02EA" w:rsidRDefault="00B608A4" w:rsidP="00FF7EE7">
      <w:pPr>
        <w:pStyle w:val="ANNote"/>
        <w:ind w:right="-351"/>
        <w:jc w:val="both"/>
        <w:rPr>
          <w:rFonts w:cs="Arial"/>
          <w:b/>
          <w:bCs/>
          <w:szCs w:val="20"/>
          <w:u w:val="single"/>
        </w:rPr>
      </w:pPr>
      <w:r>
        <w:t xml:space="preserve">AkzoNobel hat eine Leidenschaft für Farben. Wir sind Experten in der Herstellung von Farben und Lacken und sind seit 1792 wegweisend in Farbe und Beschichtung. Unser erstklassiges Markenportfolio, u.a. </w:t>
      </w:r>
      <w:proofErr w:type="spellStart"/>
      <w:r>
        <w:t>Dulux</w:t>
      </w:r>
      <w:proofErr w:type="spellEnd"/>
      <w:r>
        <w:t xml:space="preserve">, International, </w:t>
      </w:r>
      <w:proofErr w:type="spellStart"/>
      <w:r>
        <w:t>Sikkens</w:t>
      </w:r>
      <w:proofErr w:type="spellEnd"/>
      <w:r>
        <w:t xml:space="preserve"> und </w:t>
      </w:r>
      <w:proofErr w:type="spellStart"/>
      <w:r>
        <w:t>Interpon</w:t>
      </w:r>
      <w:proofErr w:type="spellEnd"/>
      <w:r>
        <w:t xml:space="preserve">, genießt das Vertrauen von Kunden weltweit. Von unserem Firmensitz in den Niederlanden sind wir in über 150 Ländern tätig und beschäftigen circa 34.000 qualifizierte Mitarbeiter, die mit großem Engagement die ausgezeichneten Produkte und Dienstleistungen liefern, die unsere Kunden von uns erwarten. </w:t>
      </w:r>
    </w:p>
    <w:bookmarkEnd w:id="4"/>
    <w:p w14:paraId="4C846C50" w14:textId="77777777" w:rsidR="00935A30" w:rsidRPr="008D483C" w:rsidRDefault="00935A30" w:rsidP="00935A30">
      <w:pPr>
        <w:spacing w:after="0" w:line="240" w:lineRule="auto"/>
        <w:ind w:right="-351"/>
        <w:jc w:val="both"/>
        <w:rPr>
          <w:rFonts w:eastAsia="Arial" w:cs="Arial"/>
          <w:b/>
          <w:color w:val="000000"/>
          <w:spacing w:val="2"/>
          <w:sz w:val="14"/>
          <w:szCs w:val="14"/>
        </w:rPr>
      </w:pPr>
    </w:p>
    <w:p w14:paraId="60CD13CB" w14:textId="2428CE70" w:rsidR="00FD1F06" w:rsidRPr="00CE02EA" w:rsidRDefault="00FD1F06" w:rsidP="00935A30">
      <w:pPr>
        <w:spacing w:after="0" w:line="240" w:lineRule="auto"/>
        <w:ind w:right="-351"/>
        <w:jc w:val="both"/>
        <w:rPr>
          <w:rFonts w:eastAsia="Arial" w:cs="Arial"/>
          <w:b/>
          <w:color w:val="000000"/>
          <w:spacing w:val="2"/>
          <w:sz w:val="14"/>
          <w:szCs w:val="14"/>
        </w:rPr>
      </w:pPr>
      <w:r>
        <w:rPr>
          <w:b/>
          <w:color w:val="000000"/>
          <w:sz w:val="14"/>
          <w:szCs w:val="14"/>
          <w:u w:val="single"/>
        </w:rPr>
        <w:t>Nicht zur Veröffentlichung - weitere Informationen unter</w:t>
      </w:r>
    </w:p>
    <w:p w14:paraId="367D4F47" w14:textId="77777777" w:rsidR="00FD1F06" w:rsidRPr="008D483C" w:rsidRDefault="00FD1F06" w:rsidP="00FF7EE7">
      <w:pPr>
        <w:widowControl w:val="0"/>
        <w:spacing w:after="0" w:line="240" w:lineRule="auto"/>
        <w:ind w:right="-351"/>
        <w:rPr>
          <w:rFonts w:eastAsia="Times New Roman" w:cs="Arial"/>
          <w:b/>
          <w:bCs/>
          <w:sz w:val="14"/>
          <w:szCs w:val="14"/>
          <w:u w:val="single"/>
        </w:rPr>
      </w:pPr>
    </w:p>
    <w:tbl>
      <w:tblPr>
        <w:tblW w:w="0" w:type="auto"/>
        <w:tblLayout w:type="fixed"/>
        <w:tblLook w:val="00A0" w:firstRow="1" w:lastRow="0" w:firstColumn="1" w:lastColumn="0" w:noHBand="0" w:noVBand="0"/>
      </w:tblPr>
      <w:tblGrid>
        <w:gridCol w:w="4502"/>
        <w:gridCol w:w="4503"/>
      </w:tblGrid>
      <w:tr w:rsidR="00FD1F06" w:rsidRPr="00CE02EA" w14:paraId="701B5869" w14:textId="77777777" w:rsidTr="00AD5F9B">
        <w:tc>
          <w:tcPr>
            <w:tcW w:w="4502" w:type="dxa"/>
          </w:tcPr>
          <w:p w14:paraId="00572C4A" w14:textId="77777777" w:rsidR="00FD1F06" w:rsidRPr="00CE02EA" w:rsidRDefault="00FD1F06" w:rsidP="00FF7EE7">
            <w:pPr>
              <w:widowControl w:val="0"/>
              <w:spacing w:after="0" w:line="240" w:lineRule="auto"/>
              <w:ind w:right="-351"/>
              <w:rPr>
                <w:rFonts w:eastAsia="Times New Roman" w:cs="Arial"/>
                <w:sz w:val="14"/>
                <w:szCs w:val="14"/>
              </w:rPr>
            </w:pPr>
            <w:r>
              <w:rPr>
                <w:sz w:val="14"/>
                <w:szCs w:val="14"/>
              </w:rPr>
              <w:t>Media Relations</w:t>
            </w:r>
          </w:p>
        </w:tc>
        <w:tc>
          <w:tcPr>
            <w:tcW w:w="4503" w:type="dxa"/>
          </w:tcPr>
          <w:p w14:paraId="2B4AD007" w14:textId="77777777" w:rsidR="00FD1F06" w:rsidRPr="00CE02EA" w:rsidRDefault="00FD1F06" w:rsidP="00FF7EE7">
            <w:pPr>
              <w:widowControl w:val="0"/>
              <w:spacing w:after="0" w:line="240" w:lineRule="auto"/>
              <w:ind w:right="-351"/>
              <w:rPr>
                <w:rFonts w:eastAsia="Times New Roman" w:cs="Arial"/>
                <w:sz w:val="14"/>
                <w:szCs w:val="14"/>
                <w:vertAlign w:val="subscript"/>
              </w:rPr>
            </w:pPr>
            <w:r>
              <w:rPr>
                <w:sz w:val="14"/>
                <w:szCs w:val="14"/>
              </w:rPr>
              <w:t>Investor Relations</w:t>
            </w:r>
          </w:p>
        </w:tc>
      </w:tr>
      <w:tr w:rsidR="00FD1F06" w:rsidRPr="00CE02EA" w14:paraId="3390F528" w14:textId="77777777" w:rsidTr="00AD5F9B">
        <w:tc>
          <w:tcPr>
            <w:tcW w:w="4502" w:type="dxa"/>
            <w:shd w:val="clear" w:color="auto" w:fill="auto"/>
          </w:tcPr>
          <w:p w14:paraId="641BA163" w14:textId="77777777" w:rsidR="00FD1F06" w:rsidRPr="00CE02EA" w:rsidRDefault="00F76033" w:rsidP="00FF7EE7">
            <w:pPr>
              <w:widowControl w:val="0"/>
              <w:spacing w:after="0" w:line="240" w:lineRule="auto"/>
              <w:ind w:right="-351"/>
              <w:rPr>
                <w:rFonts w:eastAsia="Times New Roman" w:cs="Arial"/>
                <w:noProof/>
                <w:sz w:val="14"/>
                <w:szCs w:val="14"/>
              </w:rPr>
            </w:pPr>
            <w:r>
              <w:rPr>
                <w:sz w:val="14"/>
                <w:szCs w:val="14"/>
              </w:rPr>
              <w:t>T +31 (0)88 – 969 7833</w:t>
            </w:r>
          </w:p>
        </w:tc>
        <w:tc>
          <w:tcPr>
            <w:tcW w:w="4503" w:type="dxa"/>
            <w:shd w:val="clear" w:color="auto" w:fill="auto"/>
          </w:tcPr>
          <w:p w14:paraId="130B4CE0" w14:textId="77777777" w:rsidR="00FD1F06" w:rsidRPr="00CE02EA" w:rsidRDefault="00FD1F06" w:rsidP="00FF7EE7">
            <w:pPr>
              <w:widowControl w:val="0"/>
              <w:spacing w:after="0" w:line="240" w:lineRule="auto"/>
              <w:ind w:right="-351"/>
              <w:rPr>
                <w:rFonts w:eastAsia="Times New Roman" w:cs="Arial"/>
                <w:noProof/>
                <w:sz w:val="14"/>
                <w:szCs w:val="14"/>
              </w:rPr>
            </w:pPr>
            <w:r>
              <w:rPr>
                <w:sz w:val="14"/>
                <w:szCs w:val="14"/>
              </w:rPr>
              <w:t xml:space="preserve">T +31 (0)88 – 969 7856 </w:t>
            </w:r>
          </w:p>
        </w:tc>
      </w:tr>
      <w:tr w:rsidR="00FD1F06" w:rsidRPr="005353A5" w14:paraId="3FE38765" w14:textId="77777777" w:rsidTr="00AD5F9B">
        <w:tc>
          <w:tcPr>
            <w:tcW w:w="4502" w:type="dxa"/>
            <w:shd w:val="clear" w:color="auto" w:fill="auto"/>
          </w:tcPr>
          <w:p w14:paraId="5B19D9D2" w14:textId="77777777" w:rsidR="00FD1F06" w:rsidRPr="00CE02EA" w:rsidRDefault="00FD1F06" w:rsidP="00FF7EE7">
            <w:pPr>
              <w:widowControl w:val="0"/>
              <w:spacing w:after="0" w:line="240" w:lineRule="auto"/>
              <w:ind w:right="-351"/>
              <w:rPr>
                <w:rFonts w:eastAsia="Times New Roman" w:cs="Arial"/>
                <w:noProof/>
                <w:sz w:val="14"/>
                <w:szCs w:val="14"/>
              </w:rPr>
            </w:pPr>
            <w:r>
              <w:rPr>
                <w:sz w:val="14"/>
                <w:szCs w:val="14"/>
              </w:rPr>
              <w:t>Ansprechpartner: Joost Ruempol</w:t>
            </w:r>
          </w:p>
          <w:p w14:paraId="09C62269" w14:textId="58F15854" w:rsidR="006F12AA" w:rsidRPr="00CE02EA" w:rsidRDefault="00955579" w:rsidP="00FF7EE7">
            <w:pPr>
              <w:widowControl w:val="0"/>
              <w:spacing w:after="0" w:line="240" w:lineRule="auto"/>
              <w:ind w:right="-351"/>
              <w:rPr>
                <w:rFonts w:eastAsia="Times New Roman" w:cs="Arial"/>
                <w:sz w:val="14"/>
                <w:szCs w:val="14"/>
              </w:rPr>
            </w:pPr>
            <w:hyperlink r:id="rId12" w:history="1">
              <w:r w:rsidR="00404A88">
                <w:rPr>
                  <w:rStyle w:val="Hyperlink"/>
                  <w:sz w:val="14"/>
                  <w:szCs w:val="14"/>
                </w:rPr>
                <w:t>Media.relations@akzonobel.com</w:t>
              </w:r>
            </w:hyperlink>
            <w:r w:rsidR="00404A88">
              <w:rPr>
                <w:sz w:val="14"/>
                <w:szCs w:val="14"/>
              </w:rPr>
              <w:t xml:space="preserve"> </w:t>
            </w:r>
          </w:p>
        </w:tc>
        <w:tc>
          <w:tcPr>
            <w:tcW w:w="4503" w:type="dxa"/>
            <w:shd w:val="clear" w:color="auto" w:fill="auto"/>
          </w:tcPr>
          <w:p w14:paraId="1122D6D0" w14:textId="77777777" w:rsidR="00FD1F06" w:rsidRPr="00CE02EA" w:rsidRDefault="00FD1F06" w:rsidP="00FF7EE7">
            <w:pPr>
              <w:widowControl w:val="0"/>
              <w:spacing w:after="0" w:line="240" w:lineRule="auto"/>
              <w:ind w:right="-351"/>
              <w:rPr>
                <w:rFonts w:eastAsia="Times New Roman" w:cs="Arial"/>
                <w:sz w:val="14"/>
                <w:szCs w:val="14"/>
              </w:rPr>
            </w:pPr>
            <w:r>
              <w:rPr>
                <w:sz w:val="14"/>
                <w:szCs w:val="14"/>
              </w:rPr>
              <w:t>Ansprechpartner: Lloyd Midwinter</w:t>
            </w:r>
          </w:p>
          <w:p w14:paraId="009793AD" w14:textId="77777777" w:rsidR="006F12AA" w:rsidRPr="00CE02EA" w:rsidRDefault="00955579" w:rsidP="00FF7EE7">
            <w:pPr>
              <w:widowControl w:val="0"/>
              <w:spacing w:after="0" w:line="240" w:lineRule="auto"/>
              <w:ind w:right="-351"/>
              <w:rPr>
                <w:rFonts w:eastAsia="Times New Roman" w:cs="Arial"/>
                <w:sz w:val="14"/>
                <w:szCs w:val="14"/>
              </w:rPr>
            </w:pPr>
            <w:hyperlink r:id="rId13" w:history="1">
              <w:r w:rsidR="00404A88">
                <w:rPr>
                  <w:rStyle w:val="Hyperlink"/>
                  <w:sz w:val="14"/>
                  <w:szCs w:val="14"/>
                </w:rPr>
                <w:t>Investor.relations@akzonobel.com</w:t>
              </w:r>
            </w:hyperlink>
          </w:p>
          <w:p w14:paraId="52090A78" w14:textId="77777777" w:rsidR="008B0D90" w:rsidRPr="008D483C" w:rsidRDefault="008B0D90" w:rsidP="00FF7EE7">
            <w:pPr>
              <w:widowControl w:val="0"/>
              <w:spacing w:after="0" w:line="240" w:lineRule="auto"/>
              <w:ind w:right="-351"/>
              <w:rPr>
                <w:rFonts w:eastAsia="Times New Roman" w:cs="Arial"/>
                <w:sz w:val="14"/>
                <w:szCs w:val="14"/>
              </w:rPr>
            </w:pPr>
          </w:p>
        </w:tc>
      </w:tr>
    </w:tbl>
    <w:p w14:paraId="16CDFEEB" w14:textId="39246A70" w:rsidR="00FD1F06" w:rsidRPr="00CE02EA" w:rsidRDefault="00FD1F06" w:rsidP="00FF7EE7">
      <w:pPr>
        <w:spacing w:after="0" w:line="240" w:lineRule="auto"/>
        <w:ind w:right="-351"/>
        <w:jc w:val="both"/>
        <w:rPr>
          <w:rFonts w:eastAsia="Arial" w:cs="Arial"/>
          <w:b/>
          <w:color w:val="000000"/>
          <w:spacing w:val="-1"/>
          <w:sz w:val="14"/>
          <w:szCs w:val="14"/>
        </w:rPr>
      </w:pPr>
      <w:r>
        <w:rPr>
          <w:b/>
          <w:color w:val="000000"/>
          <w:sz w:val="14"/>
          <w:szCs w:val="14"/>
        </w:rPr>
        <w:t>Zukunftsgerichtete Aussagen</w:t>
      </w:r>
    </w:p>
    <w:p w14:paraId="77B92CF3" w14:textId="339A16F1" w:rsidR="003918C4" w:rsidRPr="00CE02EA" w:rsidRDefault="00FD1F06" w:rsidP="00FF7EE7">
      <w:pPr>
        <w:spacing w:after="0" w:line="240" w:lineRule="auto"/>
        <w:ind w:right="-351"/>
        <w:jc w:val="both"/>
        <w:rPr>
          <w:rFonts w:cs="Arial"/>
        </w:rPr>
      </w:pPr>
      <w:r>
        <w:rPr>
          <w:color w:val="000000"/>
          <w:sz w:val="14"/>
          <w:szCs w:val="14"/>
        </w:rPr>
        <w:t xml:space="preserve">Dieser Bericht kann Aussagen enthalten, die sich auf wichtige Themen wie </w:t>
      </w:r>
      <w:proofErr w:type="spellStart"/>
      <w:r>
        <w:rPr>
          <w:color w:val="000000"/>
          <w:sz w:val="14"/>
          <w:szCs w:val="14"/>
        </w:rPr>
        <w:t>AkzoNobels</w:t>
      </w:r>
      <w:proofErr w:type="spellEnd"/>
      <w:r>
        <w:rPr>
          <w:color w:val="000000"/>
          <w:sz w:val="14"/>
          <w:szCs w:val="14"/>
        </w:rPr>
        <w:t xml:space="preserve"> Wachstumsstrategie, zukünftige Finanzergebnisse, Marktpositionen und Produktentwicklungen, Produkte in der Pipeline sowie Produktzulassungen beziehen. Bei ihrer Beurteilung ist zu berücksichtigen, dass alle </w:t>
      </w:r>
      <w:proofErr w:type="spellStart"/>
      <w:r>
        <w:rPr>
          <w:color w:val="000000"/>
          <w:sz w:val="14"/>
          <w:szCs w:val="14"/>
        </w:rPr>
        <w:t>zukunftsgerichteten</w:t>
      </w:r>
      <w:proofErr w:type="spellEnd"/>
      <w:r>
        <w:rPr>
          <w:color w:val="000000"/>
          <w:sz w:val="14"/>
          <w:szCs w:val="14"/>
        </w:rPr>
        <w:t xml:space="preserve"> Aussagen Unsicherheiten in sich bergen. Es besteht eine Reihe von Faktoren, die zu einer Abweichung der tatsächlichen Ergebnisse von den in diesem Bericht gemachten Voraussagen führen könnten. Dazu gehören unter anderem Preisschwankungen, Wechselkursschwankungen, die Entwicklung von Rohstoffpreisen und Personalkosten, Aufwendungen für Pensionen, physische Risiken und Umweltrisiken, juristische Angelegenheiten und gesetzliche, steuerliche und andere behördliche Maßnahmen. Die Angaben über Marktpositionen basieren auf Einschätzungen der Geschäftsführung und Informationen externer Spezialisten. Für eine detailliertere Übersicht der Risikofaktoren mit Bezug auf unsere Aktivitäten verwei</w:t>
      </w:r>
      <w:bookmarkStart w:id="5" w:name="_GoBack"/>
      <w:bookmarkEnd w:id="5"/>
      <w:r>
        <w:rPr>
          <w:color w:val="000000"/>
          <w:sz w:val="14"/>
          <w:szCs w:val="14"/>
        </w:rPr>
        <w:t xml:space="preserve">sen wir auf unseren aktuellen „Annual Report“, den Sie auch auf unserer Website: </w:t>
      </w:r>
      <w:hyperlink r:id="rId14" w:history="1">
        <w:r>
          <w:rPr>
            <w:rStyle w:val="Hyperlink"/>
            <w:sz w:val="14"/>
            <w:szCs w:val="14"/>
          </w:rPr>
          <w:t>www.akzonobel.com</w:t>
        </w:r>
      </w:hyperlink>
      <w:r>
        <w:rPr>
          <w:color w:val="000000"/>
          <w:sz w:val="14"/>
          <w:szCs w:val="14"/>
        </w:rPr>
        <w:t xml:space="preserve"> finden.</w:t>
      </w:r>
    </w:p>
    <w:sectPr w:rsidR="003918C4" w:rsidRPr="00CE02EA" w:rsidSect="00FE4BFD">
      <w:headerReference w:type="default" r:id="rId15"/>
      <w:footerReference w:type="default" r:id="rId16"/>
      <w:headerReference w:type="first" r:id="rId17"/>
      <w:footerReference w:type="first" r:id="rId18"/>
      <w:pgSz w:w="11906" w:h="16838" w:code="9"/>
      <w:pgMar w:top="2127"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A777" w14:textId="77777777" w:rsidR="00DA1259" w:rsidRDefault="00DA1259" w:rsidP="002E6499">
      <w:pPr>
        <w:spacing w:after="0"/>
      </w:pPr>
      <w:r>
        <w:separator/>
      </w:r>
    </w:p>
  </w:endnote>
  <w:endnote w:type="continuationSeparator" w:id="0">
    <w:p w14:paraId="4F6E9AAE" w14:textId="77777777" w:rsidR="00DA1259" w:rsidRDefault="00DA1259" w:rsidP="002E6499">
      <w:pPr>
        <w:spacing w:after="0"/>
      </w:pPr>
      <w:r>
        <w:continuationSeparator/>
      </w:r>
    </w:p>
  </w:endnote>
  <w:endnote w:type="continuationNotice" w:id="1">
    <w:p w14:paraId="2C87B4C6" w14:textId="77777777" w:rsidR="00DA1259" w:rsidRDefault="00DA1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Times Regular">
    <w:altName w:val="Times New Roman"/>
    <w:charset w:val="00"/>
    <w:family w:val="auto"/>
    <w:pitch w:val="default"/>
  </w:font>
  <w:font w:name="Helvetica Neue LT Std 45 Ligh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47861"/>
      <w:docPartObj>
        <w:docPartGallery w:val="Page Numbers (Bottom of Page)"/>
        <w:docPartUnique/>
      </w:docPartObj>
    </w:sdtPr>
    <w:sdtEndPr/>
    <w:sdtContent>
      <w:p w14:paraId="5939ECE9" w14:textId="77777777" w:rsidR="00DA1259" w:rsidRDefault="00DA1259" w:rsidP="00E71A66">
        <w:pPr>
          <w:pStyle w:val="ANPagenumber"/>
          <w:framePr w:wrap="around"/>
        </w:pPr>
        <w:r>
          <w:fldChar w:fldCharType="begin"/>
        </w:r>
        <w:r>
          <w:instrText xml:space="preserve"> PAGE   \* MERGEFORMAT </w:instrText>
        </w:r>
        <w:r>
          <w:fldChar w:fldCharType="separate"/>
        </w:r>
        <w:r w:rsidR="009A6294">
          <w:rPr>
            <w:noProof/>
          </w:rPr>
          <w:t>2</w:t>
        </w:r>
        <w:r>
          <w:fldChar w:fldCharType="end"/>
        </w:r>
      </w:p>
    </w:sdtContent>
  </w:sdt>
  <w:p w14:paraId="1E4297B7" w14:textId="77777777" w:rsidR="00DA1259" w:rsidRDefault="00DA1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42D" w14:textId="77777777" w:rsidR="00DA1259" w:rsidRDefault="00DA1259">
    <w:pPr>
      <w:pStyle w:val="Footer"/>
    </w:pPr>
    <w:r>
      <w:rPr>
        <w:noProof/>
        <w:lang w:eastAsia="de-DE"/>
      </w:rPr>
      <w:drawing>
        <wp:anchor distT="0" distB="0" distL="114300" distR="114300" simplePos="0" relativeHeight="251659264" behindDoc="1" locked="0" layoutInCell="0" allowOverlap="1" wp14:anchorId="66F4DA8B" wp14:editId="5A70EAAD">
          <wp:simplePos x="0" y="0"/>
          <wp:positionH relativeFrom="page">
            <wp:posOffset>-1905</wp:posOffset>
          </wp:positionH>
          <wp:positionV relativeFrom="page">
            <wp:posOffset>552450</wp:posOffset>
          </wp:positionV>
          <wp:extent cx="7561580" cy="572770"/>
          <wp:effectExtent l="0" t="0" r="1270" b="0"/>
          <wp:wrapNone/>
          <wp:docPr id="13" name="Picture 13"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3036" w14:textId="77777777" w:rsidR="00DA1259" w:rsidRDefault="00DA1259" w:rsidP="002E6499">
      <w:pPr>
        <w:spacing w:after="0"/>
      </w:pPr>
      <w:r>
        <w:separator/>
      </w:r>
    </w:p>
  </w:footnote>
  <w:footnote w:type="continuationSeparator" w:id="0">
    <w:p w14:paraId="3CA9E0A2" w14:textId="77777777" w:rsidR="00DA1259" w:rsidRDefault="00DA1259" w:rsidP="002E6499">
      <w:pPr>
        <w:spacing w:after="0"/>
      </w:pPr>
      <w:r>
        <w:continuationSeparator/>
      </w:r>
    </w:p>
  </w:footnote>
  <w:footnote w:type="continuationNotice" w:id="1">
    <w:p w14:paraId="262A97B7" w14:textId="77777777" w:rsidR="00DA1259" w:rsidRDefault="00DA1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4FCD" w14:textId="77777777" w:rsidR="00DA1259" w:rsidRDefault="00DA1259" w:rsidP="007917FF">
    <w:pPr>
      <w:pStyle w:val="Header"/>
      <w:tabs>
        <w:tab w:val="clear" w:pos="4536"/>
        <w:tab w:val="clear" w:pos="9072"/>
        <w:tab w:val="left" w:pos="615"/>
        <w:tab w:val="left" w:pos="735"/>
      </w:tabs>
    </w:pPr>
    <w:r>
      <w:rPr>
        <w:noProof/>
        <w:lang w:eastAsia="de-DE"/>
      </w:rPr>
      <w:drawing>
        <wp:anchor distT="0" distB="0" distL="114300" distR="114300" simplePos="0" relativeHeight="251657216" behindDoc="1" locked="1" layoutInCell="0" allowOverlap="1" wp14:anchorId="1A2D4227" wp14:editId="554F86D7">
          <wp:simplePos x="0" y="0"/>
          <wp:positionH relativeFrom="page">
            <wp:posOffset>20320</wp:posOffset>
          </wp:positionH>
          <wp:positionV relativeFrom="page">
            <wp:posOffset>558165</wp:posOffset>
          </wp:positionV>
          <wp:extent cx="7561580" cy="572770"/>
          <wp:effectExtent l="0" t="0" r="1270" b="0"/>
          <wp:wrapNone/>
          <wp:docPr id="12" name="Picture 12"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r>
      <w:tab/>
    </w:r>
    <w:r>
      <w:tab/>
    </w:r>
  </w:p>
  <w:p w14:paraId="03CD168F" w14:textId="77777777" w:rsidR="00DA1259" w:rsidRDefault="00DA12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3458" w14:textId="77777777" w:rsidR="00DA1259" w:rsidRPr="00E954E7" w:rsidRDefault="00DA1259" w:rsidP="004678D1">
    <w:pPr>
      <w:pStyle w:val="ANLegalEntity"/>
      <w:framePr w:wrap="around" w:y="1126"/>
    </w:pPr>
    <w:r>
      <w:t>Akzo Nobel N.V.</w:t>
    </w:r>
  </w:p>
  <w:p w14:paraId="1677BCF5" w14:textId="77777777" w:rsidR="00DA1259" w:rsidRPr="008D483C" w:rsidRDefault="00DA1259" w:rsidP="004678D1">
    <w:pPr>
      <w:pStyle w:val="ANDepartment"/>
      <w:framePr w:wrap="around" w:y="1126"/>
    </w:pPr>
  </w:p>
  <w:p w14:paraId="0A98C433" w14:textId="77777777" w:rsidR="00DA1259" w:rsidRPr="00E954E7" w:rsidRDefault="00DA1259" w:rsidP="00847B10">
    <w:pPr>
      <w:pStyle w:val="ANTitle"/>
      <w:framePr w:w="10066" w:h="541" w:hRule="exact" w:wrap="around" w:y="1845"/>
    </w:pPr>
    <w:r>
      <w:t xml:space="preserve">Pressemitteilung </w:t>
    </w:r>
  </w:p>
  <w:p w14:paraId="21AB7DB2" w14:textId="77777777" w:rsidR="00DA1259" w:rsidRPr="00F97195" w:rsidRDefault="00DA125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snapToGrid w:val="0"/>
        <w:color w:val="005192"/>
        <w:sz w:val="16"/>
        <w:szCs w:val="16"/>
      </w:rPr>
      <w:t xml:space="preserve">Christian </w:t>
    </w:r>
    <w:proofErr w:type="spellStart"/>
    <w:r>
      <w:rPr>
        <w:snapToGrid w:val="0"/>
        <w:color w:val="005192"/>
        <w:sz w:val="16"/>
        <w:szCs w:val="16"/>
      </w:rPr>
      <w:t>Neefestraat</w:t>
    </w:r>
    <w:proofErr w:type="spellEnd"/>
    <w:r>
      <w:rPr>
        <w:snapToGrid w:val="0"/>
        <w:color w:val="005192"/>
        <w:sz w:val="16"/>
        <w:szCs w:val="16"/>
      </w:rPr>
      <w:t xml:space="preserve"> 2</w:t>
    </w:r>
    <w:r>
      <w:rPr>
        <w:snapToGrid w:val="0"/>
        <w:color w:val="005192"/>
        <w:sz w:val="16"/>
        <w:szCs w:val="16"/>
      </w:rPr>
      <w:tab/>
      <w:t>T</w:t>
    </w:r>
    <w:r>
      <w:rPr>
        <w:snapToGrid w:val="0"/>
        <w:color w:val="005192"/>
        <w:sz w:val="16"/>
        <w:szCs w:val="16"/>
      </w:rPr>
      <w:tab/>
      <w:t>+31 88 969 7833</w:t>
    </w:r>
  </w:p>
  <w:p w14:paraId="4B01CCBC" w14:textId="30777C4D" w:rsidR="00DA1259" w:rsidRPr="008D483C" w:rsidRDefault="00DA125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8D483C">
      <w:rPr>
        <w:snapToGrid w:val="0"/>
        <w:color w:val="005192"/>
        <w:sz w:val="16"/>
        <w:szCs w:val="16"/>
        <w:lang w:val="en-US"/>
      </w:rPr>
      <w:t>1077 WW</w:t>
    </w:r>
    <w:r w:rsidR="009A6294" w:rsidRPr="008D483C">
      <w:rPr>
        <w:snapToGrid w:val="0"/>
        <w:color w:val="005192"/>
        <w:sz w:val="16"/>
        <w:szCs w:val="16"/>
        <w:lang w:val="en-US"/>
      </w:rPr>
      <w:t xml:space="preserve"> </w:t>
    </w:r>
    <w:r w:rsidRPr="008D483C">
      <w:rPr>
        <w:snapToGrid w:val="0"/>
        <w:color w:val="005192"/>
        <w:sz w:val="16"/>
        <w:szCs w:val="16"/>
        <w:lang w:val="en-US"/>
      </w:rPr>
      <w:t>Amsterdam</w:t>
    </w:r>
    <w:r w:rsidRPr="008D483C">
      <w:rPr>
        <w:snapToGrid w:val="0"/>
        <w:color w:val="005192"/>
        <w:sz w:val="16"/>
        <w:szCs w:val="16"/>
        <w:lang w:val="en-US"/>
      </w:rPr>
      <w:tab/>
      <w:t>E</w:t>
    </w:r>
    <w:r w:rsidRPr="008D483C">
      <w:rPr>
        <w:snapToGrid w:val="0"/>
        <w:color w:val="005192"/>
        <w:sz w:val="16"/>
        <w:szCs w:val="16"/>
        <w:lang w:val="en-US"/>
      </w:rPr>
      <w:tab/>
      <w:t>media.relations@akzonobel.com</w:t>
    </w:r>
  </w:p>
  <w:p w14:paraId="1F18358B" w14:textId="77777777" w:rsidR="00DA1259" w:rsidRPr="008D483C" w:rsidRDefault="00DA125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8D483C">
      <w:rPr>
        <w:snapToGrid w:val="0"/>
        <w:color w:val="005192"/>
        <w:sz w:val="16"/>
        <w:szCs w:val="16"/>
        <w:lang w:val="en-US"/>
      </w:rPr>
      <w:t>P.O. Box 75730</w:t>
    </w:r>
    <w:r w:rsidRPr="008D483C">
      <w:rPr>
        <w:snapToGrid w:val="0"/>
        <w:color w:val="005192"/>
        <w:sz w:val="16"/>
        <w:szCs w:val="16"/>
        <w:lang w:val="en-US"/>
      </w:rPr>
      <w:tab/>
      <w:t>www.akzonobel.com</w:t>
    </w:r>
  </w:p>
  <w:p w14:paraId="7ECAE8E3" w14:textId="58FF7CC7" w:rsidR="00DA1259" w:rsidRPr="00F97195" w:rsidRDefault="00DA125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snapToGrid w:val="0"/>
        <w:color w:val="005192"/>
        <w:sz w:val="16"/>
        <w:szCs w:val="16"/>
      </w:rPr>
      <w:t>1070 AS</w:t>
    </w:r>
    <w:r w:rsidR="009A6294">
      <w:rPr>
        <w:snapToGrid w:val="0"/>
        <w:color w:val="005192"/>
        <w:sz w:val="16"/>
        <w:szCs w:val="16"/>
      </w:rPr>
      <w:t xml:space="preserve"> </w:t>
    </w:r>
    <w:r>
      <w:rPr>
        <w:snapToGrid w:val="0"/>
        <w:color w:val="005192"/>
        <w:sz w:val="16"/>
        <w:szCs w:val="16"/>
      </w:rPr>
      <w:t>Amsterdam</w:t>
    </w:r>
    <w:r>
      <w:rPr>
        <w:snapToGrid w:val="0"/>
        <w:color w:val="005192"/>
        <w:sz w:val="16"/>
        <w:szCs w:val="16"/>
      </w:rPr>
      <w:tab/>
    </w:r>
  </w:p>
  <w:p w14:paraId="49555309" w14:textId="77777777" w:rsidR="00DA1259" w:rsidRPr="00F97195" w:rsidRDefault="00DA1259" w:rsidP="00807ACA">
    <w:pPr>
      <w:framePr w:h="1072" w:hRule="exact" w:wrap="around" w:vAnchor="page" w:hAnchor="text" w:y="15676"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rPr>
    </w:pPr>
    <w:r>
      <w:rPr>
        <w:snapToGrid w:val="0"/>
        <w:color w:val="005192"/>
        <w:sz w:val="16"/>
        <w:szCs w:val="16"/>
      </w:rPr>
      <w:t>Niederlande</w:t>
    </w:r>
  </w:p>
  <w:p w14:paraId="695F62CC" w14:textId="77777777" w:rsidR="00DA1259" w:rsidRPr="004678D1" w:rsidRDefault="00DA1259" w:rsidP="00E954E7">
    <w:pPr>
      <w:pStyle w:val="ANRegister"/>
      <w:framePr w:wrap="aroun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07B"/>
    <w:multiLevelType w:val="hybridMultilevel"/>
    <w:tmpl w:val="2DFC6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50BF4"/>
    <w:multiLevelType w:val="hybridMultilevel"/>
    <w:tmpl w:val="90D6E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7E0768"/>
    <w:multiLevelType w:val="hybridMultilevel"/>
    <w:tmpl w:val="1B889560"/>
    <w:lvl w:ilvl="0" w:tplc="7B54ACDC">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A6D25"/>
    <w:multiLevelType w:val="hybridMultilevel"/>
    <w:tmpl w:val="F1F8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10458A"/>
    <w:multiLevelType w:val="hybridMultilevel"/>
    <w:tmpl w:val="BB1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62B24"/>
    <w:multiLevelType w:val="hybridMultilevel"/>
    <w:tmpl w:val="F9EEA0E4"/>
    <w:lvl w:ilvl="0" w:tplc="42703C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86C237C">
      <w:start w:val="155"/>
      <w:numFmt w:val="bullet"/>
      <w:lvlText w:val="–"/>
      <w:lvlJc w:val="left"/>
      <w:pPr>
        <w:tabs>
          <w:tab w:val="num" w:pos="1800"/>
        </w:tabs>
        <w:ind w:left="1800" w:hanging="360"/>
      </w:pPr>
      <w:rPr>
        <w:rFonts w:ascii="Arial" w:hAnsi="Arial" w:hint="default"/>
      </w:rPr>
    </w:lvl>
    <w:lvl w:ilvl="3" w:tplc="BFE098E0" w:tentative="1">
      <w:start w:val="1"/>
      <w:numFmt w:val="bullet"/>
      <w:lvlText w:val=""/>
      <w:lvlJc w:val="left"/>
      <w:pPr>
        <w:tabs>
          <w:tab w:val="num" w:pos="2520"/>
        </w:tabs>
        <w:ind w:left="2520" w:hanging="360"/>
      </w:pPr>
      <w:rPr>
        <w:rFonts w:ascii="Symbol" w:hAnsi="Symbol" w:hint="default"/>
      </w:rPr>
    </w:lvl>
    <w:lvl w:ilvl="4" w:tplc="45B23FFA" w:tentative="1">
      <w:start w:val="1"/>
      <w:numFmt w:val="bullet"/>
      <w:lvlText w:val=""/>
      <w:lvlJc w:val="left"/>
      <w:pPr>
        <w:tabs>
          <w:tab w:val="num" w:pos="3240"/>
        </w:tabs>
        <w:ind w:left="3240" w:hanging="360"/>
      </w:pPr>
      <w:rPr>
        <w:rFonts w:ascii="Symbol" w:hAnsi="Symbol" w:hint="default"/>
      </w:rPr>
    </w:lvl>
    <w:lvl w:ilvl="5" w:tplc="A5367C0E" w:tentative="1">
      <w:start w:val="1"/>
      <w:numFmt w:val="bullet"/>
      <w:lvlText w:val=""/>
      <w:lvlJc w:val="left"/>
      <w:pPr>
        <w:tabs>
          <w:tab w:val="num" w:pos="3960"/>
        </w:tabs>
        <w:ind w:left="3960" w:hanging="360"/>
      </w:pPr>
      <w:rPr>
        <w:rFonts w:ascii="Symbol" w:hAnsi="Symbol" w:hint="default"/>
      </w:rPr>
    </w:lvl>
    <w:lvl w:ilvl="6" w:tplc="BCAC9F52" w:tentative="1">
      <w:start w:val="1"/>
      <w:numFmt w:val="bullet"/>
      <w:lvlText w:val=""/>
      <w:lvlJc w:val="left"/>
      <w:pPr>
        <w:tabs>
          <w:tab w:val="num" w:pos="4680"/>
        </w:tabs>
        <w:ind w:left="4680" w:hanging="360"/>
      </w:pPr>
      <w:rPr>
        <w:rFonts w:ascii="Symbol" w:hAnsi="Symbol" w:hint="default"/>
      </w:rPr>
    </w:lvl>
    <w:lvl w:ilvl="7" w:tplc="81926396" w:tentative="1">
      <w:start w:val="1"/>
      <w:numFmt w:val="bullet"/>
      <w:lvlText w:val=""/>
      <w:lvlJc w:val="left"/>
      <w:pPr>
        <w:tabs>
          <w:tab w:val="num" w:pos="5400"/>
        </w:tabs>
        <w:ind w:left="5400" w:hanging="360"/>
      </w:pPr>
      <w:rPr>
        <w:rFonts w:ascii="Symbol" w:hAnsi="Symbol" w:hint="default"/>
      </w:rPr>
    </w:lvl>
    <w:lvl w:ilvl="8" w:tplc="0CE2BDC4" w:tentative="1">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7D7"/>
    <w:rsid w:val="000020F3"/>
    <w:rsid w:val="0000323A"/>
    <w:rsid w:val="00007280"/>
    <w:rsid w:val="0001053E"/>
    <w:rsid w:val="00015AF3"/>
    <w:rsid w:val="000172F6"/>
    <w:rsid w:val="00020F0D"/>
    <w:rsid w:val="00021E33"/>
    <w:rsid w:val="00022973"/>
    <w:rsid w:val="00022F5B"/>
    <w:rsid w:val="000246F5"/>
    <w:rsid w:val="00024903"/>
    <w:rsid w:val="000266BE"/>
    <w:rsid w:val="00027BA0"/>
    <w:rsid w:val="0003131C"/>
    <w:rsid w:val="00032B15"/>
    <w:rsid w:val="00032D64"/>
    <w:rsid w:val="00033D84"/>
    <w:rsid w:val="0003438F"/>
    <w:rsid w:val="00034E5D"/>
    <w:rsid w:val="00034FCF"/>
    <w:rsid w:val="00035F28"/>
    <w:rsid w:val="00036238"/>
    <w:rsid w:val="00036F7E"/>
    <w:rsid w:val="00040106"/>
    <w:rsid w:val="00040118"/>
    <w:rsid w:val="000424D3"/>
    <w:rsid w:val="00043B65"/>
    <w:rsid w:val="0004428D"/>
    <w:rsid w:val="000442F7"/>
    <w:rsid w:val="00044569"/>
    <w:rsid w:val="00051AB2"/>
    <w:rsid w:val="00051E21"/>
    <w:rsid w:val="000524E8"/>
    <w:rsid w:val="00053333"/>
    <w:rsid w:val="00054312"/>
    <w:rsid w:val="000545BB"/>
    <w:rsid w:val="00054CAF"/>
    <w:rsid w:val="00056048"/>
    <w:rsid w:val="0005787E"/>
    <w:rsid w:val="00057EB3"/>
    <w:rsid w:val="00057F9D"/>
    <w:rsid w:val="00061B39"/>
    <w:rsid w:val="00061F00"/>
    <w:rsid w:val="00062EAD"/>
    <w:rsid w:val="0006337C"/>
    <w:rsid w:val="0006356B"/>
    <w:rsid w:val="00063D8F"/>
    <w:rsid w:val="000646D6"/>
    <w:rsid w:val="000646ED"/>
    <w:rsid w:val="00064A0F"/>
    <w:rsid w:val="00065580"/>
    <w:rsid w:val="000669F9"/>
    <w:rsid w:val="00066A92"/>
    <w:rsid w:val="00066F06"/>
    <w:rsid w:val="00067569"/>
    <w:rsid w:val="00070711"/>
    <w:rsid w:val="00071346"/>
    <w:rsid w:val="000724E7"/>
    <w:rsid w:val="00072526"/>
    <w:rsid w:val="0007314C"/>
    <w:rsid w:val="00074FC3"/>
    <w:rsid w:val="000751CB"/>
    <w:rsid w:val="00075279"/>
    <w:rsid w:val="0007684C"/>
    <w:rsid w:val="00076B74"/>
    <w:rsid w:val="0008073E"/>
    <w:rsid w:val="00080B6F"/>
    <w:rsid w:val="00081684"/>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B9"/>
    <w:rsid w:val="000A4F4A"/>
    <w:rsid w:val="000B02DE"/>
    <w:rsid w:val="000B16C2"/>
    <w:rsid w:val="000B236E"/>
    <w:rsid w:val="000B3A31"/>
    <w:rsid w:val="000B3E5C"/>
    <w:rsid w:val="000B4554"/>
    <w:rsid w:val="000B6B43"/>
    <w:rsid w:val="000B6CD7"/>
    <w:rsid w:val="000B6E9F"/>
    <w:rsid w:val="000B7258"/>
    <w:rsid w:val="000C0D40"/>
    <w:rsid w:val="000C178E"/>
    <w:rsid w:val="000C1C62"/>
    <w:rsid w:val="000C1DA8"/>
    <w:rsid w:val="000C1E38"/>
    <w:rsid w:val="000C230D"/>
    <w:rsid w:val="000C461B"/>
    <w:rsid w:val="000C5421"/>
    <w:rsid w:val="000C5C38"/>
    <w:rsid w:val="000C5DC9"/>
    <w:rsid w:val="000C6782"/>
    <w:rsid w:val="000C6BDC"/>
    <w:rsid w:val="000C7A3F"/>
    <w:rsid w:val="000C7CE9"/>
    <w:rsid w:val="000C7D47"/>
    <w:rsid w:val="000D11B0"/>
    <w:rsid w:val="000D1AEA"/>
    <w:rsid w:val="000D3595"/>
    <w:rsid w:val="000D552F"/>
    <w:rsid w:val="000D7397"/>
    <w:rsid w:val="000E2A4B"/>
    <w:rsid w:val="000E31A8"/>
    <w:rsid w:val="000E407C"/>
    <w:rsid w:val="000E5990"/>
    <w:rsid w:val="000E599D"/>
    <w:rsid w:val="000E647C"/>
    <w:rsid w:val="000E6926"/>
    <w:rsid w:val="000E7C62"/>
    <w:rsid w:val="000F0FC8"/>
    <w:rsid w:val="000F1525"/>
    <w:rsid w:val="000F2F51"/>
    <w:rsid w:val="000F32A3"/>
    <w:rsid w:val="000F43DE"/>
    <w:rsid w:val="000F44BE"/>
    <w:rsid w:val="000F56B9"/>
    <w:rsid w:val="000F58C8"/>
    <w:rsid w:val="000F7A52"/>
    <w:rsid w:val="001006B3"/>
    <w:rsid w:val="00101A31"/>
    <w:rsid w:val="00101F5B"/>
    <w:rsid w:val="00102141"/>
    <w:rsid w:val="00103655"/>
    <w:rsid w:val="0010640D"/>
    <w:rsid w:val="00106A98"/>
    <w:rsid w:val="00107509"/>
    <w:rsid w:val="00110F7D"/>
    <w:rsid w:val="0011155C"/>
    <w:rsid w:val="00111833"/>
    <w:rsid w:val="001119FB"/>
    <w:rsid w:val="00111EA7"/>
    <w:rsid w:val="0011223F"/>
    <w:rsid w:val="00112792"/>
    <w:rsid w:val="00114D41"/>
    <w:rsid w:val="001173A5"/>
    <w:rsid w:val="00117D28"/>
    <w:rsid w:val="00120DBB"/>
    <w:rsid w:val="00121EEC"/>
    <w:rsid w:val="00122861"/>
    <w:rsid w:val="00122C0A"/>
    <w:rsid w:val="00123DC8"/>
    <w:rsid w:val="00124C58"/>
    <w:rsid w:val="001254E9"/>
    <w:rsid w:val="00126204"/>
    <w:rsid w:val="001265A6"/>
    <w:rsid w:val="00126898"/>
    <w:rsid w:val="00127053"/>
    <w:rsid w:val="00134159"/>
    <w:rsid w:val="00134526"/>
    <w:rsid w:val="00136B38"/>
    <w:rsid w:val="00137765"/>
    <w:rsid w:val="0014071D"/>
    <w:rsid w:val="001414FA"/>
    <w:rsid w:val="00143C44"/>
    <w:rsid w:val="00144218"/>
    <w:rsid w:val="001445B5"/>
    <w:rsid w:val="00144782"/>
    <w:rsid w:val="001455E3"/>
    <w:rsid w:val="00145C94"/>
    <w:rsid w:val="00146266"/>
    <w:rsid w:val="00146BED"/>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7614"/>
    <w:rsid w:val="0016773F"/>
    <w:rsid w:val="001727DB"/>
    <w:rsid w:val="00172E23"/>
    <w:rsid w:val="00173177"/>
    <w:rsid w:val="001815A6"/>
    <w:rsid w:val="001818B7"/>
    <w:rsid w:val="001824C9"/>
    <w:rsid w:val="00182A38"/>
    <w:rsid w:val="00183880"/>
    <w:rsid w:val="00183977"/>
    <w:rsid w:val="00185187"/>
    <w:rsid w:val="00185863"/>
    <w:rsid w:val="001869EA"/>
    <w:rsid w:val="00186E9C"/>
    <w:rsid w:val="00190E8C"/>
    <w:rsid w:val="00190EAB"/>
    <w:rsid w:val="001929ED"/>
    <w:rsid w:val="00192ED4"/>
    <w:rsid w:val="00196184"/>
    <w:rsid w:val="00197518"/>
    <w:rsid w:val="001A1269"/>
    <w:rsid w:val="001A12FF"/>
    <w:rsid w:val="001A16D4"/>
    <w:rsid w:val="001A2BCA"/>
    <w:rsid w:val="001A3C2E"/>
    <w:rsid w:val="001A61EC"/>
    <w:rsid w:val="001A77D7"/>
    <w:rsid w:val="001A780A"/>
    <w:rsid w:val="001A7DAB"/>
    <w:rsid w:val="001A7F57"/>
    <w:rsid w:val="001B0A34"/>
    <w:rsid w:val="001B0DC9"/>
    <w:rsid w:val="001B11DB"/>
    <w:rsid w:val="001B1BFE"/>
    <w:rsid w:val="001B1FD0"/>
    <w:rsid w:val="001B2135"/>
    <w:rsid w:val="001B4C1A"/>
    <w:rsid w:val="001B4E02"/>
    <w:rsid w:val="001B6F8E"/>
    <w:rsid w:val="001B7A4F"/>
    <w:rsid w:val="001C03EA"/>
    <w:rsid w:val="001C0829"/>
    <w:rsid w:val="001C0FFD"/>
    <w:rsid w:val="001C1B9B"/>
    <w:rsid w:val="001C34A2"/>
    <w:rsid w:val="001C44AF"/>
    <w:rsid w:val="001C5786"/>
    <w:rsid w:val="001C5F86"/>
    <w:rsid w:val="001C7A21"/>
    <w:rsid w:val="001D14CF"/>
    <w:rsid w:val="001D2EE9"/>
    <w:rsid w:val="001D370D"/>
    <w:rsid w:val="001D71AA"/>
    <w:rsid w:val="001E09D2"/>
    <w:rsid w:val="001E1D44"/>
    <w:rsid w:val="001E2CE7"/>
    <w:rsid w:val="001E3C7E"/>
    <w:rsid w:val="001E5183"/>
    <w:rsid w:val="001E5EE5"/>
    <w:rsid w:val="001F00AA"/>
    <w:rsid w:val="001F0936"/>
    <w:rsid w:val="001F1B61"/>
    <w:rsid w:val="001F583E"/>
    <w:rsid w:val="001F7683"/>
    <w:rsid w:val="00200EE9"/>
    <w:rsid w:val="0020101E"/>
    <w:rsid w:val="00202F00"/>
    <w:rsid w:val="002034FF"/>
    <w:rsid w:val="00204259"/>
    <w:rsid w:val="00205D49"/>
    <w:rsid w:val="00205F2F"/>
    <w:rsid w:val="00210504"/>
    <w:rsid w:val="00211E04"/>
    <w:rsid w:val="00211E7B"/>
    <w:rsid w:val="00212222"/>
    <w:rsid w:val="00212C69"/>
    <w:rsid w:val="00213379"/>
    <w:rsid w:val="002145EE"/>
    <w:rsid w:val="0021778D"/>
    <w:rsid w:val="00217C4C"/>
    <w:rsid w:val="00220626"/>
    <w:rsid w:val="00220771"/>
    <w:rsid w:val="002214B6"/>
    <w:rsid w:val="00222FFC"/>
    <w:rsid w:val="0022310F"/>
    <w:rsid w:val="002270B1"/>
    <w:rsid w:val="00232DE9"/>
    <w:rsid w:val="00232FE5"/>
    <w:rsid w:val="002340F7"/>
    <w:rsid w:val="00234881"/>
    <w:rsid w:val="00234FE8"/>
    <w:rsid w:val="002357FF"/>
    <w:rsid w:val="00236F00"/>
    <w:rsid w:val="002372A0"/>
    <w:rsid w:val="002411DD"/>
    <w:rsid w:val="00243B7A"/>
    <w:rsid w:val="0024497F"/>
    <w:rsid w:val="00246EC6"/>
    <w:rsid w:val="00247510"/>
    <w:rsid w:val="00251B7A"/>
    <w:rsid w:val="00254574"/>
    <w:rsid w:val="00254D71"/>
    <w:rsid w:val="0026087F"/>
    <w:rsid w:val="00264EC8"/>
    <w:rsid w:val="00265C22"/>
    <w:rsid w:val="00266543"/>
    <w:rsid w:val="00266960"/>
    <w:rsid w:val="002713ED"/>
    <w:rsid w:val="002716A9"/>
    <w:rsid w:val="0027307C"/>
    <w:rsid w:val="00276055"/>
    <w:rsid w:val="00277896"/>
    <w:rsid w:val="00277989"/>
    <w:rsid w:val="00277D07"/>
    <w:rsid w:val="00277DD7"/>
    <w:rsid w:val="002805E3"/>
    <w:rsid w:val="002814F2"/>
    <w:rsid w:val="00283EE9"/>
    <w:rsid w:val="002854EF"/>
    <w:rsid w:val="0028741B"/>
    <w:rsid w:val="00287AD2"/>
    <w:rsid w:val="00287FBC"/>
    <w:rsid w:val="0029076E"/>
    <w:rsid w:val="002925B9"/>
    <w:rsid w:val="00292942"/>
    <w:rsid w:val="002947AC"/>
    <w:rsid w:val="00296034"/>
    <w:rsid w:val="00296D0B"/>
    <w:rsid w:val="002A0ABB"/>
    <w:rsid w:val="002A1027"/>
    <w:rsid w:val="002A3733"/>
    <w:rsid w:val="002A57AA"/>
    <w:rsid w:val="002A5B07"/>
    <w:rsid w:val="002A5BC9"/>
    <w:rsid w:val="002B1D47"/>
    <w:rsid w:val="002B2E25"/>
    <w:rsid w:val="002B2E6B"/>
    <w:rsid w:val="002B50D6"/>
    <w:rsid w:val="002B5387"/>
    <w:rsid w:val="002B73E0"/>
    <w:rsid w:val="002B7C0A"/>
    <w:rsid w:val="002C0E79"/>
    <w:rsid w:val="002C103A"/>
    <w:rsid w:val="002C2348"/>
    <w:rsid w:val="002C2DA4"/>
    <w:rsid w:val="002C6674"/>
    <w:rsid w:val="002C7C5D"/>
    <w:rsid w:val="002D056A"/>
    <w:rsid w:val="002D0570"/>
    <w:rsid w:val="002D0619"/>
    <w:rsid w:val="002D0A9D"/>
    <w:rsid w:val="002D1CF9"/>
    <w:rsid w:val="002D2E1D"/>
    <w:rsid w:val="002E079D"/>
    <w:rsid w:val="002E11C2"/>
    <w:rsid w:val="002E13CD"/>
    <w:rsid w:val="002E1FC3"/>
    <w:rsid w:val="002E2141"/>
    <w:rsid w:val="002E2CED"/>
    <w:rsid w:val="002E37A6"/>
    <w:rsid w:val="002E3A8A"/>
    <w:rsid w:val="002E3AA5"/>
    <w:rsid w:val="002E4281"/>
    <w:rsid w:val="002E4973"/>
    <w:rsid w:val="002E4C8B"/>
    <w:rsid w:val="002E4CA9"/>
    <w:rsid w:val="002E59DD"/>
    <w:rsid w:val="002E6499"/>
    <w:rsid w:val="002E6995"/>
    <w:rsid w:val="002E720D"/>
    <w:rsid w:val="002E7D52"/>
    <w:rsid w:val="002E7EB0"/>
    <w:rsid w:val="002F04B9"/>
    <w:rsid w:val="002F1D66"/>
    <w:rsid w:val="002F1F34"/>
    <w:rsid w:val="002F231C"/>
    <w:rsid w:val="002F240A"/>
    <w:rsid w:val="002F2852"/>
    <w:rsid w:val="002F2BFC"/>
    <w:rsid w:val="002F3F09"/>
    <w:rsid w:val="002F47F5"/>
    <w:rsid w:val="002F4B36"/>
    <w:rsid w:val="00300E5F"/>
    <w:rsid w:val="003018FA"/>
    <w:rsid w:val="0030318F"/>
    <w:rsid w:val="00303F8C"/>
    <w:rsid w:val="003058E4"/>
    <w:rsid w:val="003128BA"/>
    <w:rsid w:val="0031463A"/>
    <w:rsid w:val="00314CC3"/>
    <w:rsid w:val="003168FB"/>
    <w:rsid w:val="00321D2B"/>
    <w:rsid w:val="00325F5A"/>
    <w:rsid w:val="00326F2A"/>
    <w:rsid w:val="00327EC7"/>
    <w:rsid w:val="00330DD2"/>
    <w:rsid w:val="0033375B"/>
    <w:rsid w:val="00333BAC"/>
    <w:rsid w:val="00334CE8"/>
    <w:rsid w:val="003351ED"/>
    <w:rsid w:val="00340A46"/>
    <w:rsid w:val="00341C09"/>
    <w:rsid w:val="003423D6"/>
    <w:rsid w:val="00342617"/>
    <w:rsid w:val="00342B74"/>
    <w:rsid w:val="0034328A"/>
    <w:rsid w:val="003432B8"/>
    <w:rsid w:val="003453C4"/>
    <w:rsid w:val="00346E4B"/>
    <w:rsid w:val="00346FA1"/>
    <w:rsid w:val="003479BC"/>
    <w:rsid w:val="00347D50"/>
    <w:rsid w:val="0035091E"/>
    <w:rsid w:val="003537A7"/>
    <w:rsid w:val="003548C5"/>
    <w:rsid w:val="00354EF2"/>
    <w:rsid w:val="00355B89"/>
    <w:rsid w:val="00355C5D"/>
    <w:rsid w:val="00355DCE"/>
    <w:rsid w:val="003573E8"/>
    <w:rsid w:val="00357526"/>
    <w:rsid w:val="0036112A"/>
    <w:rsid w:val="00361E17"/>
    <w:rsid w:val="003629C1"/>
    <w:rsid w:val="0036315F"/>
    <w:rsid w:val="0036390E"/>
    <w:rsid w:val="00363BD4"/>
    <w:rsid w:val="00364787"/>
    <w:rsid w:val="003653DF"/>
    <w:rsid w:val="00365FD1"/>
    <w:rsid w:val="003679F5"/>
    <w:rsid w:val="0037027C"/>
    <w:rsid w:val="00370E77"/>
    <w:rsid w:val="00373F01"/>
    <w:rsid w:val="00374AAD"/>
    <w:rsid w:val="00375285"/>
    <w:rsid w:val="00376369"/>
    <w:rsid w:val="0037653A"/>
    <w:rsid w:val="003770D6"/>
    <w:rsid w:val="003822C8"/>
    <w:rsid w:val="00382E5F"/>
    <w:rsid w:val="00383DEE"/>
    <w:rsid w:val="00385383"/>
    <w:rsid w:val="003857F6"/>
    <w:rsid w:val="00385DD7"/>
    <w:rsid w:val="00387183"/>
    <w:rsid w:val="00391322"/>
    <w:rsid w:val="003918C4"/>
    <w:rsid w:val="003920AA"/>
    <w:rsid w:val="0039318E"/>
    <w:rsid w:val="0039369E"/>
    <w:rsid w:val="00396B7B"/>
    <w:rsid w:val="00396D51"/>
    <w:rsid w:val="003A053F"/>
    <w:rsid w:val="003A0B53"/>
    <w:rsid w:val="003A0BAD"/>
    <w:rsid w:val="003A15D4"/>
    <w:rsid w:val="003A1785"/>
    <w:rsid w:val="003A21C6"/>
    <w:rsid w:val="003A3FFB"/>
    <w:rsid w:val="003A448C"/>
    <w:rsid w:val="003A4D4C"/>
    <w:rsid w:val="003A5073"/>
    <w:rsid w:val="003A5A86"/>
    <w:rsid w:val="003A7587"/>
    <w:rsid w:val="003B012D"/>
    <w:rsid w:val="003B1433"/>
    <w:rsid w:val="003B1553"/>
    <w:rsid w:val="003B19E4"/>
    <w:rsid w:val="003B1BFC"/>
    <w:rsid w:val="003B232B"/>
    <w:rsid w:val="003B278C"/>
    <w:rsid w:val="003B2B57"/>
    <w:rsid w:val="003B39D1"/>
    <w:rsid w:val="003B430C"/>
    <w:rsid w:val="003B4741"/>
    <w:rsid w:val="003B58ED"/>
    <w:rsid w:val="003B5BEB"/>
    <w:rsid w:val="003B637B"/>
    <w:rsid w:val="003C07FF"/>
    <w:rsid w:val="003C090D"/>
    <w:rsid w:val="003C1E6B"/>
    <w:rsid w:val="003C588B"/>
    <w:rsid w:val="003C639F"/>
    <w:rsid w:val="003C64EC"/>
    <w:rsid w:val="003D346A"/>
    <w:rsid w:val="003D5BEB"/>
    <w:rsid w:val="003D724C"/>
    <w:rsid w:val="003E0AD4"/>
    <w:rsid w:val="003E196C"/>
    <w:rsid w:val="003E3C19"/>
    <w:rsid w:val="003E41DF"/>
    <w:rsid w:val="003E47AE"/>
    <w:rsid w:val="003E58A6"/>
    <w:rsid w:val="003E59C3"/>
    <w:rsid w:val="003E60B7"/>
    <w:rsid w:val="003E7889"/>
    <w:rsid w:val="003E7B2A"/>
    <w:rsid w:val="003F0B5D"/>
    <w:rsid w:val="003F2E08"/>
    <w:rsid w:val="003F38BA"/>
    <w:rsid w:val="003F4AF2"/>
    <w:rsid w:val="003F6054"/>
    <w:rsid w:val="003F6155"/>
    <w:rsid w:val="003F6A5D"/>
    <w:rsid w:val="00400F96"/>
    <w:rsid w:val="0040224D"/>
    <w:rsid w:val="0040450F"/>
    <w:rsid w:val="004047D1"/>
    <w:rsid w:val="00404A88"/>
    <w:rsid w:val="00404CB6"/>
    <w:rsid w:val="004057E5"/>
    <w:rsid w:val="00405E55"/>
    <w:rsid w:val="0040750F"/>
    <w:rsid w:val="00407615"/>
    <w:rsid w:val="00407DDA"/>
    <w:rsid w:val="0041035B"/>
    <w:rsid w:val="0041215C"/>
    <w:rsid w:val="00412913"/>
    <w:rsid w:val="00414A95"/>
    <w:rsid w:val="004158CA"/>
    <w:rsid w:val="0041640E"/>
    <w:rsid w:val="00416B3A"/>
    <w:rsid w:val="00417349"/>
    <w:rsid w:val="00417407"/>
    <w:rsid w:val="00417A8C"/>
    <w:rsid w:val="00420603"/>
    <w:rsid w:val="00420C38"/>
    <w:rsid w:val="00423BED"/>
    <w:rsid w:val="00424AE9"/>
    <w:rsid w:val="00425586"/>
    <w:rsid w:val="004258B1"/>
    <w:rsid w:val="00427ED5"/>
    <w:rsid w:val="00431151"/>
    <w:rsid w:val="00433702"/>
    <w:rsid w:val="004370E9"/>
    <w:rsid w:val="00437E24"/>
    <w:rsid w:val="00440AB9"/>
    <w:rsid w:val="00442232"/>
    <w:rsid w:val="004422A9"/>
    <w:rsid w:val="00444121"/>
    <w:rsid w:val="00444A41"/>
    <w:rsid w:val="00450249"/>
    <w:rsid w:val="0045032C"/>
    <w:rsid w:val="00451537"/>
    <w:rsid w:val="00451571"/>
    <w:rsid w:val="00451C3B"/>
    <w:rsid w:val="00451ED8"/>
    <w:rsid w:val="00452015"/>
    <w:rsid w:val="0045211F"/>
    <w:rsid w:val="0045312F"/>
    <w:rsid w:val="004535F1"/>
    <w:rsid w:val="00453B67"/>
    <w:rsid w:val="00454A15"/>
    <w:rsid w:val="00457995"/>
    <w:rsid w:val="0046129C"/>
    <w:rsid w:val="004617A4"/>
    <w:rsid w:val="00462F79"/>
    <w:rsid w:val="00464CA3"/>
    <w:rsid w:val="004651DC"/>
    <w:rsid w:val="0046658D"/>
    <w:rsid w:val="00466B00"/>
    <w:rsid w:val="00466C70"/>
    <w:rsid w:val="004674E0"/>
    <w:rsid w:val="004678D1"/>
    <w:rsid w:val="0047056C"/>
    <w:rsid w:val="004715CA"/>
    <w:rsid w:val="00471770"/>
    <w:rsid w:val="00471FAA"/>
    <w:rsid w:val="004723CA"/>
    <w:rsid w:val="00472AD6"/>
    <w:rsid w:val="00473B58"/>
    <w:rsid w:val="00474A79"/>
    <w:rsid w:val="00476975"/>
    <w:rsid w:val="004777B3"/>
    <w:rsid w:val="004807FF"/>
    <w:rsid w:val="00480DCF"/>
    <w:rsid w:val="00482A32"/>
    <w:rsid w:val="00484726"/>
    <w:rsid w:val="00490B14"/>
    <w:rsid w:val="00490DB0"/>
    <w:rsid w:val="00491066"/>
    <w:rsid w:val="00491160"/>
    <w:rsid w:val="0049251F"/>
    <w:rsid w:val="00493607"/>
    <w:rsid w:val="004942EA"/>
    <w:rsid w:val="004947AA"/>
    <w:rsid w:val="00495A10"/>
    <w:rsid w:val="00496105"/>
    <w:rsid w:val="00496871"/>
    <w:rsid w:val="0049701F"/>
    <w:rsid w:val="004A2843"/>
    <w:rsid w:val="004A55C9"/>
    <w:rsid w:val="004A6532"/>
    <w:rsid w:val="004A69AB"/>
    <w:rsid w:val="004A757B"/>
    <w:rsid w:val="004B0611"/>
    <w:rsid w:val="004B0859"/>
    <w:rsid w:val="004B10CB"/>
    <w:rsid w:val="004B14A8"/>
    <w:rsid w:val="004B25AE"/>
    <w:rsid w:val="004B28D7"/>
    <w:rsid w:val="004B3695"/>
    <w:rsid w:val="004B63BD"/>
    <w:rsid w:val="004B7C40"/>
    <w:rsid w:val="004C1172"/>
    <w:rsid w:val="004C3DA0"/>
    <w:rsid w:val="004C4644"/>
    <w:rsid w:val="004C4E08"/>
    <w:rsid w:val="004C553D"/>
    <w:rsid w:val="004C6CC2"/>
    <w:rsid w:val="004D00F1"/>
    <w:rsid w:val="004D0EBB"/>
    <w:rsid w:val="004D2044"/>
    <w:rsid w:val="004D23BA"/>
    <w:rsid w:val="004D2BE3"/>
    <w:rsid w:val="004D2DD6"/>
    <w:rsid w:val="004D4737"/>
    <w:rsid w:val="004D5234"/>
    <w:rsid w:val="004D52B1"/>
    <w:rsid w:val="004D5B13"/>
    <w:rsid w:val="004D62EC"/>
    <w:rsid w:val="004E0695"/>
    <w:rsid w:val="004E2B7D"/>
    <w:rsid w:val="004E386F"/>
    <w:rsid w:val="004E5143"/>
    <w:rsid w:val="004F2D4A"/>
    <w:rsid w:val="004F3F23"/>
    <w:rsid w:val="004F480F"/>
    <w:rsid w:val="004F68DD"/>
    <w:rsid w:val="004F6EC8"/>
    <w:rsid w:val="004F72C1"/>
    <w:rsid w:val="00501AE7"/>
    <w:rsid w:val="00501C0B"/>
    <w:rsid w:val="00501D4D"/>
    <w:rsid w:val="00502790"/>
    <w:rsid w:val="00506235"/>
    <w:rsid w:val="0050665E"/>
    <w:rsid w:val="00507651"/>
    <w:rsid w:val="00510A60"/>
    <w:rsid w:val="00512175"/>
    <w:rsid w:val="00512E34"/>
    <w:rsid w:val="00514D8F"/>
    <w:rsid w:val="00515B1A"/>
    <w:rsid w:val="00517D6E"/>
    <w:rsid w:val="00522943"/>
    <w:rsid w:val="00525682"/>
    <w:rsid w:val="005266F3"/>
    <w:rsid w:val="00526A43"/>
    <w:rsid w:val="00527A7C"/>
    <w:rsid w:val="0053001C"/>
    <w:rsid w:val="00530450"/>
    <w:rsid w:val="005308D4"/>
    <w:rsid w:val="00531713"/>
    <w:rsid w:val="0053231F"/>
    <w:rsid w:val="005329F0"/>
    <w:rsid w:val="005331FA"/>
    <w:rsid w:val="00534730"/>
    <w:rsid w:val="00534F67"/>
    <w:rsid w:val="005353A5"/>
    <w:rsid w:val="005360C6"/>
    <w:rsid w:val="00536B42"/>
    <w:rsid w:val="0053794E"/>
    <w:rsid w:val="00541018"/>
    <w:rsid w:val="00541EFF"/>
    <w:rsid w:val="005420E9"/>
    <w:rsid w:val="00542B97"/>
    <w:rsid w:val="005430EA"/>
    <w:rsid w:val="005432C8"/>
    <w:rsid w:val="005453C0"/>
    <w:rsid w:val="005455E8"/>
    <w:rsid w:val="00547C34"/>
    <w:rsid w:val="005509DD"/>
    <w:rsid w:val="0055104A"/>
    <w:rsid w:val="00551902"/>
    <w:rsid w:val="00551A05"/>
    <w:rsid w:val="005548F1"/>
    <w:rsid w:val="00555F57"/>
    <w:rsid w:val="00556F8C"/>
    <w:rsid w:val="0055701B"/>
    <w:rsid w:val="005570E1"/>
    <w:rsid w:val="00557808"/>
    <w:rsid w:val="00560206"/>
    <w:rsid w:val="005608FC"/>
    <w:rsid w:val="0056096C"/>
    <w:rsid w:val="00561247"/>
    <w:rsid w:val="0056128B"/>
    <w:rsid w:val="00561657"/>
    <w:rsid w:val="0056375B"/>
    <w:rsid w:val="005638BD"/>
    <w:rsid w:val="00564190"/>
    <w:rsid w:val="005648C0"/>
    <w:rsid w:val="0056507F"/>
    <w:rsid w:val="00566BE3"/>
    <w:rsid w:val="005676F7"/>
    <w:rsid w:val="0057027B"/>
    <w:rsid w:val="005724F4"/>
    <w:rsid w:val="00573A84"/>
    <w:rsid w:val="00574FD3"/>
    <w:rsid w:val="00575866"/>
    <w:rsid w:val="00577998"/>
    <w:rsid w:val="00577AD8"/>
    <w:rsid w:val="005814D6"/>
    <w:rsid w:val="005826AA"/>
    <w:rsid w:val="005828ED"/>
    <w:rsid w:val="005832C2"/>
    <w:rsid w:val="0058447D"/>
    <w:rsid w:val="00584E9E"/>
    <w:rsid w:val="0058593D"/>
    <w:rsid w:val="0059036E"/>
    <w:rsid w:val="00590598"/>
    <w:rsid w:val="00590FD8"/>
    <w:rsid w:val="005A0BC4"/>
    <w:rsid w:val="005A1FD4"/>
    <w:rsid w:val="005A2354"/>
    <w:rsid w:val="005A33CB"/>
    <w:rsid w:val="005A5A65"/>
    <w:rsid w:val="005A7268"/>
    <w:rsid w:val="005A7446"/>
    <w:rsid w:val="005B0E48"/>
    <w:rsid w:val="005B2ACA"/>
    <w:rsid w:val="005B3E33"/>
    <w:rsid w:val="005B7142"/>
    <w:rsid w:val="005C1272"/>
    <w:rsid w:val="005C1BD3"/>
    <w:rsid w:val="005C1C52"/>
    <w:rsid w:val="005C2252"/>
    <w:rsid w:val="005C2E4C"/>
    <w:rsid w:val="005C4563"/>
    <w:rsid w:val="005C5325"/>
    <w:rsid w:val="005C6408"/>
    <w:rsid w:val="005D026B"/>
    <w:rsid w:val="005D0550"/>
    <w:rsid w:val="005D194E"/>
    <w:rsid w:val="005D1D14"/>
    <w:rsid w:val="005D2109"/>
    <w:rsid w:val="005D244A"/>
    <w:rsid w:val="005D2458"/>
    <w:rsid w:val="005D2F08"/>
    <w:rsid w:val="005D4E5D"/>
    <w:rsid w:val="005D5EF9"/>
    <w:rsid w:val="005E068D"/>
    <w:rsid w:val="005E07FC"/>
    <w:rsid w:val="005E30A8"/>
    <w:rsid w:val="005E3FFF"/>
    <w:rsid w:val="005E6F72"/>
    <w:rsid w:val="005E734E"/>
    <w:rsid w:val="005E7F1A"/>
    <w:rsid w:val="005F089D"/>
    <w:rsid w:val="005F107C"/>
    <w:rsid w:val="005F25DE"/>
    <w:rsid w:val="005F3ADD"/>
    <w:rsid w:val="005F3D0D"/>
    <w:rsid w:val="005F5266"/>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277BC"/>
    <w:rsid w:val="0063010E"/>
    <w:rsid w:val="006313F4"/>
    <w:rsid w:val="00631CD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04AC"/>
    <w:rsid w:val="006539C9"/>
    <w:rsid w:val="0065446A"/>
    <w:rsid w:val="00654A41"/>
    <w:rsid w:val="00657847"/>
    <w:rsid w:val="00660E17"/>
    <w:rsid w:val="0066273F"/>
    <w:rsid w:val="00662DA9"/>
    <w:rsid w:val="00662FB2"/>
    <w:rsid w:val="00663621"/>
    <w:rsid w:val="006644F8"/>
    <w:rsid w:val="00664C3F"/>
    <w:rsid w:val="00665A89"/>
    <w:rsid w:val="00666E51"/>
    <w:rsid w:val="00666EC1"/>
    <w:rsid w:val="00666F54"/>
    <w:rsid w:val="006736B9"/>
    <w:rsid w:val="00673C88"/>
    <w:rsid w:val="00673DBA"/>
    <w:rsid w:val="006744C3"/>
    <w:rsid w:val="00675636"/>
    <w:rsid w:val="00675BBB"/>
    <w:rsid w:val="00676590"/>
    <w:rsid w:val="00676D7A"/>
    <w:rsid w:val="00677FAE"/>
    <w:rsid w:val="00680239"/>
    <w:rsid w:val="00680729"/>
    <w:rsid w:val="00680E9D"/>
    <w:rsid w:val="00681BA8"/>
    <w:rsid w:val="00681D4D"/>
    <w:rsid w:val="00682B6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A01C4"/>
    <w:rsid w:val="006A025F"/>
    <w:rsid w:val="006A0ABE"/>
    <w:rsid w:val="006A154E"/>
    <w:rsid w:val="006A1717"/>
    <w:rsid w:val="006A2657"/>
    <w:rsid w:val="006A3314"/>
    <w:rsid w:val="006A34E5"/>
    <w:rsid w:val="006A4CD6"/>
    <w:rsid w:val="006A5446"/>
    <w:rsid w:val="006A5D53"/>
    <w:rsid w:val="006B0491"/>
    <w:rsid w:val="006B2897"/>
    <w:rsid w:val="006B3A74"/>
    <w:rsid w:val="006B5115"/>
    <w:rsid w:val="006B542A"/>
    <w:rsid w:val="006C08C0"/>
    <w:rsid w:val="006C22CE"/>
    <w:rsid w:val="006C22F5"/>
    <w:rsid w:val="006C3C95"/>
    <w:rsid w:val="006C4017"/>
    <w:rsid w:val="006C4117"/>
    <w:rsid w:val="006C47BD"/>
    <w:rsid w:val="006C563F"/>
    <w:rsid w:val="006C657D"/>
    <w:rsid w:val="006D231D"/>
    <w:rsid w:val="006D79A8"/>
    <w:rsid w:val="006E139F"/>
    <w:rsid w:val="006E2A5B"/>
    <w:rsid w:val="006E321E"/>
    <w:rsid w:val="006E44E2"/>
    <w:rsid w:val="006E55AD"/>
    <w:rsid w:val="006E68B0"/>
    <w:rsid w:val="006E6FF3"/>
    <w:rsid w:val="006F0EC0"/>
    <w:rsid w:val="006F12AA"/>
    <w:rsid w:val="006F33F3"/>
    <w:rsid w:val="006F4495"/>
    <w:rsid w:val="006F44D4"/>
    <w:rsid w:val="006F555B"/>
    <w:rsid w:val="006F5DB3"/>
    <w:rsid w:val="006F6BFF"/>
    <w:rsid w:val="006F6C0F"/>
    <w:rsid w:val="006F7881"/>
    <w:rsid w:val="00700C20"/>
    <w:rsid w:val="0070120B"/>
    <w:rsid w:val="00701B42"/>
    <w:rsid w:val="00702D34"/>
    <w:rsid w:val="00704188"/>
    <w:rsid w:val="00707CDD"/>
    <w:rsid w:val="00710216"/>
    <w:rsid w:val="00710303"/>
    <w:rsid w:val="00710952"/>
    <w:rsid w:val="0071298C"/>
    <w:rsid w:val="00712CAB"/>
    <w:rsid w:val="00712CE5"/>
    <w:rsid w:val="00713A11"/>
    <w:rsid w:val="00713EBB"/>
    <w:rsid w:val="007233CB"/>
    <w:rsid w:val="00724712"/>
    <w:rsid w:val="00725C35"/>
    <w:rsid w:val="00726AF9"/>
    <w:rsid w:val="00727985"/>
    <w:rsid w:val="00727A73"/>
    <w:rsid w:val="00727CFB"/>
    <w:rsid w:val="007305E4"/>
    <w:rsid w:val="00730F55"/>
    <w:rsid w:val="00731B8D"/>
    <w:rsid w:val="00732E95"/>
    <w:rsid w:val="007337A7"/>
    <w:rsid w:val="00733FB9"/>
    <w:rsid w:val="00734D4B"/>
    <w:rsid w:val="0073608F"/>
    <w:rsid w:val="0074039D"/>
    <w:rsid w:val="00740DC9"/>
    <w:rsid w:val="00741775"/>
    <w:rsid w:val="0074420F"/>
    <w:rsid w:val="00744776"/>
    <w:rsid w:val="007464E5"/>
    <w:rsid w:val="00750061"/>
    <w:rsid w:val="0075099D"/>
    <w:rsid w:val="0075186E"/>
    <w:rsid w:val="00752552"/>
    <w:rsid w:val="007531FD"/>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FD0"/>
    <w:rsid w:val="00775226"/>
    <w:rsid w:val="00775A9C"/>
    <w:rsid w:val="0077629C"/>
    <w:rsid w:val="007764FD"/>
    <w:rsid w:val="007773F0"/>
    <w:rsid w:val="00777B97"/>
    <w:rsid w:val="00780111"/>
    <w:rsid w:val="0078026F"/>
    <w:rsid w:val="00782B6B"/>
    <w:rsid w:val="00782C9C"/>
    <w:rsid w:val="007855E9"/>
    <w:rsid w:val="0078662C"/>
    <w:rsid w:val="00786AEE"/>
    <w:rsid w:val="00786B13"/>
    <w:rsid w:val="00787EF8"/>
    <w:rsid w:val="00790EEA"/>
    <w:rsid w:val="007917FF"/>
    <w:rsid w:val="007918DB"/>
    <w:rsid w:val="00792BC7"/>
    <w:rsid w:val="00793ECF"/>
    <w:rsid w:val="0079762C"/>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2E2B"/>
    <w:rsid w:val="007B341A"/>
    <w:rsid w:val="007B37ED"/>
    <w:rsid w:val="007B3D2D"/>
    <w:rsid w:val="007B4CE7"/>
    <w:rsid w:val="007B4EA0"/>
    <w:rsid w:val="007B75F4"/>
    <w:rsid w:val="007C09F7"/>
    <w:rsid w:val="007C1573"/>
    <w:rsid w:val="007C57D9"/>
    <w:rsid w:val="007C603F"/>
    <w:rsid w:val="007C6788"/>
    <w:rsid w:val="007C692F"/>
    <w:rsid w:val="007C7EE8"/>
    <w:rsid w:val="007D15DC"/>
    <w:rsid w:val="007D2FE9"/>
    <w:rsid w:val="007D5041"/>
    <w:rsid w:val="007D5142"/>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D3F"/>
    <w:rsid w:val="007F747E"/>
    <w:rsid w:val="007F7CF2"/>
    <w:rsid w:val="007F7EE2"/>
    <w:rsid w:val="00800250"/>
    <w:rsid w:val="00800556"/>
    <w:rsid w:val="00802650"/>
    <w:rsid w:val="00803EE9"/>
    <w:rsid w:val="00807480"/>
    <w:rsid w:val="00807ACA"/>
    <w:rsid w:val="0081230B"/>
    <w:rsid w:val="00812924"/>
    <w:rsid w:val="00812DD7"/>
    <w:rsid w:val="00814ED9"/>
    <w:rsid w:val="00816820"/>
    <w:rsid w:val="008174B7"/>
    <w:rsid w:val="00817F05"/>
    <w:rsid w:val="0082001C"/>
    <w:rsid w:val="00820BBA"/>
    <w:rsid w:val="00820DA4"/>
    <w:rsid w:val="0082160F"/>
    <w:rsid w:val="00823351"/>
    <w:rsid w:val="008235B2"/>
    <w:rsid w:val="00823E77"/>
    <w:rsid w:val="00823F63"/>
    <w:rsid w:val="00824022"/>
    <w:rsid w:val="00825A1B"/>
    <w:rsid w:val="00825FC0"/>
    <w:rsid w:val="008268A4"/>
    <w:rsid w:val="0082721B"/>
    <w:rsid w:val="00831174"/>
    <w:rsid w:val="0083118C"/>
    <w:rsid w:val="00831E7D"/>
    <w:rsid w:val="0083231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5778F"/>
    <w:rsid w:val="00860889"/>
    <w:rsid w:val="008608E0"/>
    <w:rsid w:val="0086303D"/>
    <w:rsid w:val="008647DF"/>
    <w:rsid w:val="00864CCA"/>
    <w:rsid w:val="00865D6B"/>
    <w:rsid w:val="008664DA"/>
    <w:rsid w:val="00867B5A"/>
    <w:rsid w:val="008706DF"/>
    <w:rsid w:val="00871849"/>
    <w:rsid w:val="00871B20"/>
    <w:rsid w:val="008724E3"/>
    <w:rsid w:val="0087285C"/>
    <w:rsid w:val="00872DFA"/>
    <w:rsid w:val="00874F65"/>
    <w:rsid w:val="00875C20"/>
    <w:rsid w:val="008809BF"/>
    <w:rsid w:val="00880D19"/>
    <w:rsid w:val="00881BBD"/>
    <w:rsid w:val="008820E6"/>
    <w:rsid w:val="0088392A"/>
    <w:rsid w:val="00883EDF"/>
    <w:rsid w:val="008845E0"/>
    <w:rsid w:val="0088761D"/>
    <w:rsid w:val="008905F3"/>
    <w:rsid w:val="00893A1C"/>
    <w:rsid w:val="008949F7"/>
    <w:rsid w:val="00895E9E"/>
    <w:rsid w:val="00897326"/>
    <w:rsid w:val="008A022C"/>
    <w:rsid w:val="008A0486"/>
    <w:rsid w:val="008A0829"/>
    <w:rsid w:val="008A277E"/>
    <w:rsid w:val="008A3C92"/>
    <w:rsid w:val="008A475D"/>
    <w:rsid w:val="008A503F"/>
    <w:rsid w:val="008B0D90"/>
    <w:rsid w:val="008B13D0"/>
    <w:rsid w:val="008B1400"/>
    <w:rsid w:val="008B30DE"/>
    <w:rsid w:val="008B35B2"/>
    <w:rsid w:val="008B42BF"/>
    <w:rsid w:val="008C0F71"/>
    <w:rsid w:val="008C1FCE"/>
    <w:rsid w:val="008C47B7"/>
    <w:rsid w:val="008C4C51"/>
    <w:rsid w:val="008C5897"/>
    <w:rsid w:val="008C630F"/>
    <w:rsid w:val="008C68DB"/>
    <w:rsid w:val="008C7423"/>
    <w:rsid w:val="008C7AF4"/>
    <w:rsid w:val="008D19D9"/>
    <w:rsid w:val="008D39A5"/>
    <w:rsid w:val="008D3E76"/>
    <w:rsid w:val="008D3FF8"/>
    <w:rsid w:val="008D483C"/>
    <w:rsid w:val="008D5FBF"/>
    <w:rsid w:val="008D6ACF"/>
    <w:rsid w:val="008D7297"/>
    <w:rsid w:val="008E1181"/>
    <w:rsid w:val="008E11B1"/>
    <w:rsid w:val="008E1FC1"/>
    <w:rsid w:val="008E2477"/>
    <w:rsid w:val="008E5F28"/>
    <w:rsid w:val="008E63F8"/>
    <w:rsid w:val="008E69CA"/>
    <w:rsid w:val="008F0C9E"/>
    <w:rsid w:val="008F0F9D"/>
    <w:rsid w:val="008F1A8D"/>
    <w:rsid w:val="008F2B46"/>
    <w:rsid w:val="008F2E8E"/>
    <w:rsid w:val="008F5247"/>
    <w:rsid w:val="008F5DA9"/>
    <w:rsid w:val="008F62F7"/>
    <w:rsid w:val="008F6B14"/>
    <w:rsid w:val="008F7D83"/>
    <w:rsid w:val="009014F8"/>
    <w:rsid w:val="00901B88"/>
    <w:rsid w:val="00903AD0"/>
    <w:rsid w:val="00903B8F"/>
    <w:rsid w:val="00904932"/>
    <w:rsid w:val="00906D6B"/>
    <w:rsid w:val="009074F2"/>
    <w:rsid w:val="00907E73"/>
    <w:rsid w:val="00910637"/>
    <w:rsid w:val="00910A94"/>
    <w:rsid w:val="00911804"/>
    <w:rsid w:val="009125A5"/>
    <w:rsid w:val="00912B67"/>
    <w:rsid w:val="00912F6C"/>
    <w:rsid w:val="00913B0C"/>
    <w:rsid w:val="00916E91"/>
    <w:rsid w:val="00917D44"/>
    <w:rsid w:val="00921281"/>
    <w:rsid w:val="00922283"/>
    <w:rsid w:val="00922498"/>
    <w:rsid w:val="00922EAA"/>
    <w:rsid w:val="00922F6D"/>
    <w:rsid w:val="00923CE5"/>
    <w:rsid w:val="009277A9"/>
    <w:rsid w:val="009316BC"/>
    <w:rsid w:val="00933C48"/>
    <w:rsid w:val="009341A8"/>
    <w:rsid w:val="009356B4"/>
    <w:rsid w:val="00935A30"/>
    <w:rsid w:val="0093676B"/>
    <w:rsid w:val="00936C7C"/>
    <w:rsid w:val="00937B75"/>
    <w:rsid w:val="00940423"/>
    <w:rsid w:val="009406B1"/>
    <w:rsid w:val="009408BE"/>
    <w:rsid w:val="009448A4"/>
    <w:rsid w:val="00944BCA"/>
    <w:rsid w:val="0094661E"/>
    <w:rsid w:val="00947818"/>
    <w:rsid w:val="00947D4A"/>
    <w:rsid w:val="0095081A"/>
    <w:rsid w:val="009512E5"/>
    <w:rsid w:val="009524F7"/>
    <w:rsid w:val="00954C59"/>
    <w:rsid w:val="00954FAB"/>
    <w:rsid w:val="00955579"/>
    <w:rsid w:val="009556F5"/>
    <w:rsid w:val="0095795D"/>
    <w:rsid w:val="00957F4D"/>
    <w:rsid w:val="00963A37"/>
    <w:rsid w:val="009640A8"/>
    <w:rsid w:val="0096414C"/>
    <w:rsid w:val="009657F2"/>
    <w:rsid w:val="00971EE6"/>
    <w:rsid w:val="00972FD4"/>
    <w:rsid w:val="009768CE"/>
    <w:rsid w:val="0098045C"/>
    <w:rsid w:val="00984C4A"/>
    <w:rsid w:val="00984D49"/>
    <w:rsid w:val="0098531E"/>
    <w:rsid w:val="009856D1"/>
    <w:rsid w:val="00986996"/>
    <w:rsid w:val="0099175C"/>
    <w:rsid w:val="00992BFD"/>
    <w:rsid w:val="0099351E"/>
    <w:rsid w:val="009945DC"/>
    <w:rsid w:val="00994B62"/>
    <w:rsid w:val="00994D37"/>
    <w:rsid w:val="00994EA4"/>
    <w:rsid w:val="00994FFC"/>
    <w:rsid w:val="00995328"/>
    <w:rsid w:val="009962A7"/>
    <w:rsid w:val="009979F4"/>
    <w:rsid w:val="009A02D6"/>
    <w:rsid w:val="009A03EF"/>
    <w:rsid w:val="009A150A"/>
    <w:rsid w:val="009A15DB"/>
    <w:rsid w:val="009A19C6"/>
    <w:rsid w:val="009A1A0E"/>
    <w:rsid w:val="009A20BD"/>
    <w:rsid w:val="009A3954"/>
    <w:rsid w:val="009A3CA4"/>
    <w:rsid w:val="009A3EBA"/>
    <w:rsid w:val="009A3FA9"/>
    <w:rsid w:val="009A487B"/>
    <w:rsid w:val="009A49B6"/>
    <w:rsid w:val="009A621C"/>
    <w:rsid w:val="009A6294"/>
    <w:rsid w:val="009A694F"/>
    <w:rsid w:val="009A6A42"/>
    <w:rsid w:val="009A6CBB"/>
    <w:rsid w:val="009A73AE"/>
    <w:rsid w:val="009A7BB1"/>
    <w:rsid w:val="009B2026"/>
    <w:rsid w:val="009B2081"/>
    <w:rsid w:val="009B2259"/>
    <w:rsid w:val="009B336F"/>
    <w:rsid w:val="009B3856"/>
    <w:rsid w:val="009B4090"/>
    <w:rsid w:val="009B4CD5"/>
    <w:rsid w:val="009B4D95"/>
    <w:rsid w:val="009B51A0"/>
    <w:rsid w:val="009B53A1"/>
    <w:rsid w:val="009B54CB"/>
    <w:rsid w:val="009B5BB2"/>
    <w:rsid w:val="009B5D3E"/>
    <w:rsid w:val="009B6E40"/>
    <w:rsid w:val="009C538D"/>
    <w:rsid w:val="009C5F12"/>
    <w:rsid w:val="009C799A"/>
    <w:rsid w:val="009C7C84"/>
    <w:rsid w:val="009D02A0"/>
    <w:rsid w:val="009D09D4"/>
    <w:rsid w:val="009D39A7"/>
    <w:rsid w:val="009D5075"/>
    <w:rsid w:val="009D5C0B"/>
    <w:rsid w:val="009D6680"/>
    <w:rsid w:val="009D74C4"/>
    <w:rsid w:val="009E18DB"/>
    <w:rsid w:val="009E1DDD"/>
    <w:rsid w:val="009E1E5F"/>
    <w:rsid w:val="009E1EC2"/>
    <w:rsid w:val="009E1F8E"/>
    <w:rsid w:val="009E2139"/>
    <w:rsid w:val="009E3B13"/>
    <w:rsid w:val="009E3BD1"/>
    <w:rsid w:val="009E3C97"/>
    <w:rsid w:val="009E72EE"/>
    <w:rsid w:val="009E7531"/>
    <w:rsid w:val="009E776F"/>
    <w:rsid w:val="009F05A3"/>
    <w:rsid w:val="009F2019"/>
    <w:rsid w:val="009F3BCB"/>
    <w:rsid w:val="009F46BC"/>
    <w:rsid w:val="009F54F2"/>
    <w:rsid w:val="009F5911"/>
    <w:rsid w:val="009F7151"/>
    <w:rsid w:val="009F7F91"/>
    <w:rsid w:val="00A01942"/>
    <w:rsid w:val="00A030B9"/>
    <w:rsid w:val="00A07A91"/>
    <w:rsid w:val="00A100FE"/>
    <w:rsid w:val="00A120F7"/>
    <w:rsid w:val="00A12B93"/>
    <w:rsid w:val="00A12F22"/>
    <w:rsid w:val="00A13A7E"/>
    <w:rsid w:val="00A15014"/>
    <w:rsid w:val="00A15F1B"/>
    <w:rsid w:val="00A17410"/>
    <w:rsid w:val="00A175F7"/>
    <w:rsid w:val="00A17A3B"/>
    <w:rsid w:val="00A17D02"/>
    <w:rsid w:val="00A20973"/>
    <w:rsid w:val="00A20B32"/>
    <w:rsid w:val="00A227B4"/>
    <w:rsid w:val="00A24321"/>
    <w:rsid w:val="00A24DE0"/>
    <w:rsid w:val="00A25DAD"/>
    <w:rsid w:val="00A267E4"/>
    <w:rsid w:val="00A26FA7"/>
    <w:rsid w:val="00A2728E"/>
    <w:rsid w:val="00A273B3"/>
    <w:rsid w:val="00A27DFD"/>
    <w:rsid w:val="00A30898"/>
    <w:rsid w:val="00A30C45"/>
    <w:rsid w:val="00A320A6"/>
    <w:rsid w:val="00A32233"/>
    <w:rsid w:val="00A3267E"/>
    <w:rsid w:val="00A331E4"/>
    <w:rsid w:val="00A3332C"/>
    <w:rsid w:val="00A33905"/>
    <w:rsid w:val="00A33EB0"/>
    <w:rsid w:val="00A33FE7"/>
    <w:rsid w:val="00A35E9B"/>
    <w:rsid w:val="00A400C9"/>
    <w:rsid w:val="00A4095A"/>
    <w:rsid w:val="00A40AB5"/>
    <w:rsid w:val="00A423C4"/>
    <w:rsid w:val="00A476CF"/>
    <w:rsid w:val="00A479DB"/>
    <w:rsid w:val="00A47D1D"/>
    <w:rsid w:val="00A50BA3"/>
    <w:rsid w:val="00A52074"/>
    <w:rsid w:val="00A54891"/>
    <w:rsid w:val="00A60798"/>
    <w:rsid w:val="00A6091E"/>
    <w:rsid w:val="00A61AB7"/>
    <w:rsid w:val="00A64B29"/>
    <w:rsid w:val="00A71AC5"/>
    <w:rsid w:val="00A71E59"/>
    <w:rsid w:val="00A72966"/>
    <w:rsid w:val="00A74EB0"/>
    <w:rsid w:val="00A7678C"/>
    <w:rsid w:val="00A77D38"/>
    <w:rsid w:val="00A80722"/>
    <w:rsid w:val="00A82597"/>
    <w:rsid w:val="00A83547"/>
    <w:rsid w:val="00A8368B"/>
    <w:rsid w:val="00A85B4A"/>
    <w:rsid w:val="00A867A1"/>
    <w:rsid w:val="00A919BF"/>
    <w:rsid w:val="00A921CF"/>
    <w:rsid w:val="00A92237"/>
    <w:rsid w:val="00A925F9"/>
    <w:rsid w:val="00A9328A"/>
    <w:rsid w:val="00A93DB4"/>
    <w:rsid w:val="00A94E47"/>
    <w:rsid w:val="00A95C07"/>
    <w:rsid w:val="00AA08F1"/>
    <w:rsid w:val="00AA1ABF"/>
    <w:rsid w:val="00AA1D57"/>
    <w:rsid w:val="00AA2259"/>
    <w:rsid w:val="00AA546F"/>
    <w:rsid w:val="00AA5C95"/>
    <w:rsid w:val="00AA5D7A"/>
    <w:rsid w:val="00AA63F4"/>
    <w:rsid w:val="00AA75F5"/>
    <w:rsid w:val="00AB05E5"/>
    <w:rsid w:val="00AB14E7"/>
    <w:rsid w:val="00AB1A7A"/>
    <w:rsid w:val="00AB1A84"/>
    <w:rsid w:val="00AB287C"/>
    <w:rsid w:val="00AB2C59"/>
    <w:rsid w:val="00AB2DCB"/>
    <w:rsid w:val="00AB454B"/>
    <w:rsid w:val="00AB4CE3"/>
    <w:rsid w:val="00AC039A"/>
    <w:rsid w:val="00AC0666"/>
    <w:rsid w:val="00AC5716"/>
    <w:rsid w:val="00AC7F7C"/>
    <w:rsid w:val="00AD07FD"/>
    <w:rsid w:val="00AD0CCA"/>
    <w:rsid w:val="00AD1EE5"/>
    <w:rsid w:val="00AD2A26"/>
    <w:rsid w:val="00AD3C6B"/>
    <w:rsid w:val="00AD5B31"/>
    <w:rsid w:val="00AD5E13"/>
    <w:rsid w:val="00AD5F9B"/>
    <w:rsid w:val="00AD75F1"/>
    <w:rsid w:val="00AD7C6B"/>
    <w:rsid w:val="00AE01F9"/>
    <w:rsid w:val="00AE2A45"/>
    <w:rsid w:val="00AE2C06"/>
    <w:rsid w:val="00AE3E62"/>
    <w:rsid w:val="00AE58E1"/>
    <w:rsid w:val="00AE59A4"/>
    <w:rsid w:val="00AE5A82"/>
    <w:rsid w:val="00AE667C"/>
    <w:rsid w:val="00AE7297"/>
    <w:rsid w:val="00AE7A11"/>
    <w:rsid w:val="00AE7A8F"/>
    <w:rsid w:val="00AF07EE"/>
    <w:rsid w:val="00AF07F7"/>
    <w:rsid w:val="00AF138B"/>
    <w:rsid w:val="00AF2648"/>
    <w:rsid w:val="00AF30EA"/>
    <w:rsid w:val="00AF3AF8"/>
    <w:rsid w:val="00AF5BEF"/>
    <w:rsid w:val="00AF6219"/>
    <w:rsid w:val="00AF74D2"/>
    <w:rsid w:val="00AF7C18"/>
    <w:rsid w:val="00AF7EEF"/>
    <w:rsid w:val="00B02721"/>
    <w:rsid w:val="00B03248"/>
    <w:rsid w:val="00B03963"/>
    <w:rsid w:val="00B03D9F"/>
    <w:rsid w:val="00B041BE"/>
    <w:rsid w:val="00B05EEE"/>
    <w:rsid w:val="00B06631"/>
    <w:rsid w:val="00B06B6C"/>
    <w:rsid w:val="00B1024C"/>
    <w:rsid w:val="00B10FA6"/>
    <w:rsid w:val="00B1221B"/>
    <w:rsid w:val="00B12282"/>
    <w:rsid w:val="00B122E5"/>
    <w:rsid w:val="00B12F5E"/>
    <w:rsid w:val="00B13B26"/>
    <w:rsid w:val="00B162D5"/>
    <w:rsid w:val="00B205EC"/>
    <w:rsid w:val="00B20948"/>
    <w:rsid w:val="00B21E8E"/>
    <w:rsid w:val="00B21FB3"/>
    <w:rsid w:val="00B22203"/>
    <w:rsid w:val="00B2221E"/>
    <w:rsid w:val="00B236D8"/>
    <w:rsid w:val="00B237B1"/>
    <w:rsid w:val="00B23B21"/>
    <w:rsid w:val="00B27560"/>
    <w:rsid w:val="00B27DAB"/>
    <w:rsid w:val="00B3077A"/>
    <w:rsid w:val="00B32E37"/>
    <w:rsid w:val="00B33305"/>
    <w:rsid w:val="00B34C3C"/>
    <w:rsid w:val="00B3590F"/>
    <w:rsid w:val="00B36B83"/>
    <w:rsid w:val="00B36EF9"/>
    <w:rsid w:val="00B370B2"/>
    <w:rsid w:val="00B374E2"/>
    <w:rsid w:val="00B374E8"/>
    <w:rsid w:val="00B40087"/>
    <w:rsid w:val="00B4017D"/>
    <w:rsid w:val="00B41704"/>
    <w:rsid w:val="00B422A3"/>
    <w:rsid w:val="00B457FA"/>
    <w:rsid w:val="00B45A54"/>
    <w:rsid w:val="00B45E5F"/>
    <w:rsid w:val="00B45F28"/>
    <w:rsid w:val="00B461CC"/>
    <w:rsid w:val="00B47069"/>
    <w:rsid w:val="00B50FDB"/>
    <w:rsid w:val="00B51670"/>
    <w:rsid w:val="00B51732"/>
    <w:rsid w:val="00B5674F"/>
    <w:rsid w:val="00B608A4"/>
    <w:rsid w:val="00B60FE0"/>
    <w:rsid w:val="00B6116B"/>
    <w:rsid w:val="00B612D2"/>
    <w:rsid w:val="00B62462"/>
    <w:rsid w:val="00B62984"/>
    <w:rsid w:val="00B631DE"/>
    <w:rsid w:val="00B63B39"/>
    <w:rsid w:val="00B6421C"/>
    <w:rsid w:val="00B6454E"/>
    <w:rsid w:val="00B64630"/>
    <w:rsid w:val="00B65361"/>
    <w:rsid w:val="00B7044A"/>
    <w:rsid w:val="00B70E91"/>
    <w:rsid w:val="00B7189C"/>
    <w:rsid w:val="00B74BA0"/>
    <w:rsid w:val="00B76DC8"/>
    <w:rsid w:val="00B80AD8"/>
    <w:rsid w:val="00B81E91"/>
    <w:rsid w:val="00B82798"/>
    <w:rsid w:val="00B83A3E"/>
    <w:rsid w:val="00B84F03"/>
    <w:rsid w:val="00B903F2"/>
    <w:rsid w:val="00B9054A"/>
    <w:rsid w:val="00B95DD3"/>
    <w:rsid w:val="00B96089"/>
    <w:rsid w:val="00B96FEF"/>
    <w:rsid w:val="00BA12D4"/>
    <w:rsid w:val="00BA202A"/>
    <w:rsid w:val="00BA39B3"/>
    <w:rsid w:val="00BA552E"/>
    <w:rsid w:val="00BA58FC"/>
    <w:rsid w:val="00BA6D3E"/>
    <w:rsid w:val="00BA7D2D"/>
    <w:rsid w:val="00BA7E2B"/>
    <w:rsid w:val="00BB0DC9"/>
    <w:rsid w:val="00BB18CB"/>
    <w:rsid w:val="00BB21D0"/>
    <w:rsid w:val="00BB3CC8"/>
    <w:rsid w:val="00BB41B2"/>
    <w:rsid w:val="00BB4E04"/>
    <w:rsid w:val="00BB68FD"/>
    <w:rsid w:val="00BB6E9D"/>
    <w:rsid w:val="00BC0674"/>
    <w:rsid w:val="00BC0EA1"/>
    <w:rsid w:val="00BC1542"/>
    <w:rsid w:val="00BC4DBC"/>
    <w:rsid w:val="00BC5C06"/>
    <w:rsid w:val="00BC70C5"/>
    <w:rsid w:val="00BC7827"/>
    <w:rsid w:val="00BC7B1B"/>
    <w:rsid w:val="00BD0132"/>
    <w:rsid w:val="00BD0843"/>
    <w:rsid w:val="00BD08B7"/>
    <w:rsid w:val="00BD1F1A"/>
    <w:rsid w:val="00BD310A"/>
    <w:rsid w:val="00BD3BCE"/>
    <w:rsid w:val="00BD4E6A"/>
    <w:rsid w:val="00BD70CB"/>
    <w:rsid w:val="00BE3772"/>
    <w:rsid w:val="00BE5260"/>
    <w:rsid w:val="00BE5AEF"/>
    <w:rsid w:val="00BE6675"/>
    <w:rsid w:val="00BE685F"/>
    <w:rsid w:val="00BF098C"/>
    <w:rsid w:val="00BF0E7E"/>
    <w:rsid w:val="00BF2EA9"/>
    <w:rsid w:val="00BF305C"/>
    <w:rsid w:val="00BF3548"/>
    <w:rsid w:val="00BF42ED"/>
    <w:rsid w:val="00BF503D"/>
    <w:rsid w:val="00BF6EB6"/>
    <w:rsid w:val="00C02BA1"/>
    <w:rsid w:val="00C02C10"/>
    <w:rsid w:val="00C039B1"/>
    <w:rsid w:val="00C03F4D"/>
    <w:rsid w:val="00C0492A"/>
    <w:rsid w:val="00C04C3D"/>
    <w:rsid w:val="00C05299"/>
    <w:rsid w:val="00C05426"/>
    <w:rsid w:val="00C06D76"/>
    <w:rsid w:val="00C1070E"/>
    <w:rsid w:val="00C10C9B"/>
    <w:rsid w:val="00C12393"/>
    <w:rsid w:val="00C15017"/>
    <w:rsid w:val="00C16F83"/>
    <w:rsid w:val="00C172F2"/>
    <w:rsid w:val="00C20AED"/>
    <w:rsid w:val="00C22076"/>
    <w:rsid w:val="00C230A7"/>
    <w:rsid w:val="00C23CE3"/>
    <w:rsid w:val="00C24076"/>
    <w:rsid w:val="00C2442B"/>
    <w:rsid w:val="00C2475C"/>
    <w:rsid w:val="00C25CF2"/>
    <w:rsid w:val="00C25D33"/>
    <w:rsid w:val="00C26036"/>
    <w:rsid w:val="00C263AE"/>
    <w:rsid w:val="00C312BC"/>
    <w:rsid w:val="00C31554"/>
    <w:rsid w:val="00C31C23"/>
    <w:rsid w:val="00C3281E"/>
    <w:rsid w:val="00C32C14"/>
    <w:rsid w:val="00C346A9"/>
    <w:rsid w:val="00C34948"/>
    <w:rsid w:val="00C35262"/>
    <w:rsid w:val="00C352C4"/>
    <w:rsid w:val="00C35C46"/>
    <w:rsid w:val="00C35D02"/>
    <w:rsid w:val="00C37361"/>
    <w:rsid w:val="00C40E8C"/>
    <w:rsid w:val="00C41187"/>
    <w:rsid w:val="00C41A79"/>
    <w:rsid w:val="00C41D79"/>
    <w:rsid w:val="00C423DE"/>
    <w:rsid w:val="00C434E4"/>
    <w:rsid w:val="00C459B7"/>
    <w:rsid w:val="00C45DDF"/>
    <w:rsid w:val="00C47795"/>
    <w:rsid w:val="00C51C99"/>
    <w:rsid w:val="00C52663"/>
    <w:rsid w:val="00C53658"/>
    <w:rsid w:val="00C53C89"/>
    <w:rsid w:val="00C54A67"/>
    <w:rsid w:val="00C557D7"/>
    <w:rsid w:val="00C60ADB"/>
    <w:rsid w:val="00C619DE"/>
    <w:rsid w:val="00C62420"/>
    <w:rsid w:val="00C63B37"/>
    <w:rsid w:val="00C65875"/>
    <w:rsid w:val="00C6618D"/>
    <w:rsid w:val="00C675BD"/>
    <w:rsid w:val="00C67BFC"/>
    <w:rsid w:val="00C703FE"/>
    <w:rsid w:val="00C71F6B"/>
    <w:rsid w:val="00C74103"/>
    <w:rsid w:val="00C76BC8"/>
    <w:rsid w:val="00C77389"/>
    <w:rsid w:val="00C775D0"/>
    <w:rsid w:val="00C77F43"/>
    <w:rsid w:val="00C8083C"/>
    <w:rsid w:val="00C80A8F"/>
    <w:rsid w:val="00C828EE"/>
    <w:rsid w:val="00C82CC4"/>
    <w:rsid w:val="00C83009"/>
    <w:rsid w:val="00C83310"/>
    <w:rsid w:val="00C83482"/>
    <w:rsid w:val="00C84BA6"/>
    <w:rsid w:val="00C85415"/>
    <w:rsid w:val="00C857A3"/>
    <w:rsid w:val="00C85B5A"/>
    <w:rsid w:val="00C865D7"/>
    <w:rsid w:val="00C87747"/>
    <w:rsid w:val="00C9317E"/>
    <w:rsid w:val="00C93E0A"/>
    <w:rsid w:val="00C9498E"/>
    <w:rsid w:val="00CA0068"/>
    <w:rsid w:val="00CA1FCC"/>
    <w:rsid w:val="00CA2960"/>
    <w:rsid w:val="00CA2E7E"/>
    <w:rsid w:val="00CA33C9"/>
    <w:rsid w:val="00CA37B9"/>
    <w:rsid w:val="00CA43E2"/>
    <w:rsid w:val="00CA4699"/>
    <w:rsid w:val="00CA4804"/>
    <w:rsid w:val="00CA4A57"/>
    <w:rsid w:val="00CA7396"/>
    <w:rsid w:val="00CA74E3"/>
    <w:rsid w:val="00CB1119"/>
    <w:rsid w:val="00CB1FF4"/>
    <w:rsid w:val="00CB2C92"/>
    <w:rsid w:val="00CB31E3"/>
    <w:rsid w:val="00CB5B4F"/>
    <w:rsid w:val="00CB5C64"/>
    <w:rsid w:val="00CB646E"/>
    <w:rsid w:val="00CB6D16"/>
    <w:rsid w:val="00CB79F6"/>
    <w:rsid w:val="00CB7A02"/>
    <w:rsid w:val="00CC2E05"/>
    <w:rsid w:val="00CC6BD9"/>
    <w:rsid w:val="00CD0504"/>
    <w:rsid w:val="00CD3A45"/>
    <w:rsid w:val="00CD3B1E"/>
    <w:rsid w:val="00CD3FF9"/>
    <w:rsid w:val="00CD5098"/>
    <w:rsid w:val="00CD50B5"/>
    <w:rsid w:val="00CD5313"/>
    <w:rsid w:val="00CD5417"/>
    <w:rsid w:val="00CD5DC4"/>
    <w:rsid w:val="00CD626D"/>
    <w:rsid w:val="00CD68D6"/>
    <w:rsid w:val="00CD6BCC"/>
    <w:rsid w:val="00CE02EA"/>
    <w:rsid w:val="00CE0624"/>
    <w:rsid w:val="00CE3492"/>
    <w:rsid w:val="00CE3730"/>
    <w:rsid w:val="00CE400D"/>
    <w:rsid w:val="00CE4386"/>
    <w:rsid w:val="00CE4A2F"/>
    <w:rsid w:val="00CE64C0"/>
    <w:rsid w:val="00CE75FA"/>
    <w:rsid w:val="00CE7BF7"/>
    <w:rsid w:val="00CF1A74"/>
    <w:rsid w:val="00CF1FFA"/>
    <w:rsid w:val="00CF2706"/>
    <w:rsid w:val="00CF5E00"/>
    <w:rsid w:val="00D0032E"/>
    <w:rsid w:val="00D00588"/>
    <w:rsid w:val="00D008C8"/>
    <w:rsid w:val="00D00B1A"/>
    <w:rsid w:val="00D0174B"/>
    <w:rsid w:val="00D021D8"/>
    <w:rsid w:val="00D029AC"/>
    <w:rsid w:val="00D03F5B"/>
    <w:rsid w:val="00D10D22"/>
    <w:rsid w:val="00D11496"/>
    <w:rsid w:val="00D127BE"/>
    <w:rsid w:val="00D12E26"/>
    <w:rsid w:val="00D136FA"/>
    <w:rsid w:val="00D15B88"/>
    <w:rsid w:val="00D16982"/>
    <w:rsid w:val="00D20D19"/>
    <w:rsid w:val="00D228A2"/>
    <w:rsid w:val="00D22CF1"/>
    <w:rsid w:val="00D2333D"/>
    <w:rsid w:val="00D2526C"/>
    <w:rsid w:val="00D25682"/>
    <w:rsid w:val="00D258B1"/>
    <w:rsid w:val="00D26425"/>
    <w:rsid w:val="00D30137"/>
    <w:rsid w:val="00D31CA4"/>
    <w:rsid w:val="00D32813"/>
    <w:rsid w:val="00D33D05"/>
    <w:rsid w:val="00D37757"/>
    <w:rsid w:val="00D37C89"/>
    <w:rsid w:val="00D40BFE"/>
    <w:rsid w:val="00D43C59"/>
    <w:rsid w:val="00D44740"/>
    <w:rsid w:val="00D44872"/>
    <w:rsid w:val="00D44A14"/>
    <w:rsid w:val="00D45242"/>
    <w:rsid w:val="00D46054"/>
    <w:rsid w:val="00D462DF"/>
    <w:rsid w:val="00D46316"/>
    <w:rsid w:val="00D5260F"/>
    <w:rsid w:val="00D52C8F"/>
    <w:rsid w:val="00D5439B"/>
    <w:rsid w:val="00D55789"/>
    <w:rsid w:val="00D55C76"/>
    <w:rsid w:val="00D56BF4"/>
    <w:rsid w:val="00D57ACA"/>
    <w:rsid w:val="00D57F49"/>
    <w:rsid w:val="00D60D66"/>
    <w:rsid w:val="00D619EB"/>
    <w:rsid w:val="00D63432"/>
    <w:rsid w:val="00D643F9"/>
    <w:rsid w:val="00D6588B"/>
    <w:rsid w:val="00D658E4"/>
    <w:rsid w:val="00D65D73"/>
    <w:rsid w:val="00D66B19"/>
    <w:rsid w:val="00D670E6"/>
    <w:rsid w:val="00D70142"/>
    <w:rsid w:val="00D703B0"/>
    <w:rsid w:val="00D7169D"/>
    <w:rsid w:val="00D7218B"/>
    <w:rsid w:val="00D737E2"/>
    <w:rsid w:val="00D740EC"/>
    <w:rsid w:val="00D74D96"/>
    <w:rsid w:val="00D75667"/>
    <w:rsid w:val="00D801C5"/>
    <w:rsid w:val="00D831C3"/>
    <w:rsid w:val="00D83857"/>
    <w:rsid w:val="00D840B6"/>
    <w:rsid w:val="00D846EA"/>
    <w:rsid w:val="00D85F39"/>
    <w:rsid w:val="00D87FD2"/>
    <w:rsid w:val="00D905B6"/>
    <w:rsid w:val="00D90766"/>
    <w:rsid w:val="00D935A8"/>
    <w:rsid w:val="00D94C00"/>
    <w:rsid w:val="00D9511B"/>
    <w:rsid w:val="00D95B22"/>
    <w:rsid w:val="00D9796E"/>
    <w:rsid w:val="00DA1259"/>
    <w:rsid w:val="00DA198C"/>
    <w:rsid w:val="00DA2701"/>
    <w:rsid w:val="00DA2BA9"/>
    <w:rsid w:val="00DA33BB"/>
    <w:rsid w:val="00DA39D6"/>
    <w:rsid w:val="00DA3CEB"/>
    <w:rsid w:val="00DA4915"/>
    <w:rsid w:val="00DA4D9A"/>
    <w:rsid w:val="00DA66D3"/>
    <w:rsid w:val="00DA6C4E"/>
    <w:rsid w:val="00DA6CF1"/>
    <w:rsid w:val="00DA7BA8"/>
    <w:rsid w:val="00DA7DCA"/>
    <w:rsid w:val="00DB1971"/>
    <w:rsid w:val="00DB3C67"/>
    <w:rsid w:val="00DB409A"/>
    <w:rsid w:val="00DB45C9"/>
    <w:rsid w:val="00DB482E"/>
    <w:rsid w:val="00DB5287"/>
    <w:rsid w:val="00DB58CD"/>
    <w:rsid w:val="00DB5D7D"/>
    <w:rsid w:val="00DC19BB"/>
    <w:rsid w:val="00DC29FC"/>
    <w:rsid w:val="00DC3391"/>
    <w:rsid w:val="00DC351A"/>
    <w:rsid w:val="00DC4DD9"/>
    <w:rsid w:val="00DC539A"/>
    <w:rsid w:val="00DC722D"/>
    <w:rsid w:val="00DC7685"/>
    <w:rsid w:val="00DD2477"/>
    <w:rsid w:val="00DD75D0"/>
    <w:rsid w:val="00DD79DF"/>
    <w:rsid w:val="00DD7D45"/>
    <w:rsid w:val="00DE0699"/>
    <w:rsid w:val="00DE40D7"/>
    <w:rsid w:val="00DE59EF"/>
    <w:rsid w:val="00DF0E05"/>
    <w:rsid w:val="00DF1020"/>
    <w:rsid w:val="00DF1CC7"/>
    <w:rsid w:val="00DF1EF8"/>
    <w:rsid w:val="00DF27CA"/>
    <w:rsid w:val="00DF3271"/>
    <w:rsid w:val="00DF3AAB"/>
    <w:rsid w:val="00DF5B5E"/>
    <w:rsid w:val="00DF5D71"/>
    <w:rsid w:val="00DF7160"/>
    <w:rsid w:val="00DF7793"/>
    <w:rsid w:val="00E0212A"/>
    <w:rsid w:val="00E07793"/>
    <w:rsid w:val="00E1017A"/>
    <w:rsid w:val="00E12C47"/>
    <w:rsid w:val="00E13183"/>
    <w:rsid w:val="00E135C8"/>
    <w:rsid w:val="00E1421B"/>
    <w:rsid w:val="00E1672D"/>
    <w:rsid w:val="00E179DF"/>
    <w:rsid w:val="00E2014B"/>
    <w:rsid w:val="00E20D2E"/>
    <w:rsid w:val="00E21798"/>
    <w:rsid w:val="00E228FC"/>
    <w:rsid w:val="00E23016"/>
    <w:rsid w:val="00E25B27"/>
    <w:rsid w:val="00E25F85"/>
    <w:rsid w:val="00E261DC"/>
    <w:rsid w:val="00E26424"/>
    <w:rsid w:val="00E2661F"/>
    <w:rsid w:val="00E267EC"/>
    <w:rsid w:val="00E27036"/>
    <w:rsid w:val="00E3492F"/>
    <w:rsid w:val="00E34A4A"/>
    <w:rsid w:val="00E36F6B"/>
    <w:rsid w:val="00E41EDC"/>
    <w:rsid w:val="00E42848"/>
    <w:rsid w:val="00E42D7B"/>
    <w:rsid w:val="00E43749"/>
    <w:rsid w:val="00E44DEC"/>
    <w:rsid w:val="00E45E82"/>
    <w:rsid w:val="00E46E7D"/>
    <w:rsid w:val="00E500F8"/>
    <w:rsid w:val="00E503FB"/>
    <w:rsid w:val="00E517B6"/>
    <w:rsid w:val="00E51ED3"/>
    <w:rsid w:val="00E52A6A"/>
    <w:rsid w:val="00E53169"/>
    <w:rsid w:val="00E53CB8"/>
    <w:rsid w:val="00E54764"/>
    <w:rsid w:val="00E54958"/>
    <w:rsid w:val="00E566AA"/>
    <w:rsid w:val="00E57B70"/>
    <w:rsid w:val="00E61683"/>
    <w:rsid w:val="00E61CB7"/>
    <w:rsid w:val="00E635E4"/>
    <w:rsid w:val="00E641E9"/>
    <w:rsid w:val="00E642CA"/>
    <w:rsid w:val="00E6521E"/>
    <w:rsid w:val="00E654D6"/>
    <w:rsid w:val="00E65554"/>
    <w:rsid w:val="00E662EF"/>
    <w:rsid w:val="00E67C65"/>
    <w:rsid w:val="00E703F2"/>
    <w:rsid w:val="00E71A66"/>
    <w:rsid w:val="00E7337A"/>
    <w:rsid w:val="00E73F5E"/>
    <w:rsid w:val="00E76CF0"/>
    <w:rsid w:val="00E80160"/>
    <w:rsid w:val="00E81D97"/>
    <w:rsid w:val="00E8207F"/>
    <w:rsid w:val="00E82F06"/>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520"/>
    <w:rsid w:val="00E95ACA"/>
    <w:rsid w:val="00E965E4"/>
    <w:rsid w:val="00E97C5C"/>
    <w:rsid w:val="00EA141C"/>
    <w:rsid w:val="00EA156C"/>
    <w:rsid w:val="00EA5462"/>
    <w:rsid w:val="00EA5ED3"/>
    <w:rsid w:val="00EA6A2A"/>
    <w:rsid w:val="00EA6E15"/>
    <w:rsid w:val="00EA7A4D"/>
    <w:rsid w:val="00EB00A6"/>
    <w:rsid w:val="00EB0C7A"/>
    <w:rsid w:val="00EB1006"/>
    <w:rsid w:val="00EB1575"/>
    <w:rsid w:val="00EB62CA"/>
    <w:rsid w:val="00EB7560"/>
    <w:rsid w:val="00EC020B"/>
    <w:rsid w:val="00EC1338"/>
    <w:rsid w:val="00EC36B8"/>
    <w:rsid w:val="00EC440E"/>
    <w:rsid w:val="00EC5449"/>
    <w:rsid w:val="00EC5C58"/>
    <w:rsid w:val="00EC613C"/>
    <w:rsid w:val="00EC798E"/>
    <w:rsid w:val="00EC7BEC"/>
    <w:rsid w:val="00EC7C34"/>
    <w:rsid w:val="00EC7D66"/>
    <w:rsid w:val="00ED3463"/>
    <w:rsid w:val="00ED3495"/>
    <w:rsid w:val="00ED3538"/>
    <w:rsid w:val="00ED376A"/>
    <w:rsid w:val="00ED3F99"/>
    <w:rsid w:val="00ED47AB"/>
    <w:rsid w:val="00ED545C"/>
    <w:rsid w:val="00ED669B"/>
    <w:rsid w:val="00ED76FF"/>
    <w:rsid w:val="00ED7CE2"/>
    <w:rsid w:val="00EE0130"/>
    <w:rsid w:val="00EE0136"/>
    <w:rsid w:val="00EE1458"/>
    <w:rsid w:val="00EE242F"/>
    <w:rsid w:val="00EE28A1"/>
    <w:rsid w:val="00EE2CDF"/>
    <w:rsid w:val="00EE2E29"/>
    <w:rsid w:val="00EE3082"/>
    <w:rsid w:val="00EE5A82"/>
    <w:rsid w:val="00EE6005"/>
    <w:rsid w:val="00EE60C5"/>
    <w:rsid w:val="00EE62D2"/>
    <w:rsid w:val="00EE71AD"/>
    <w:rsid w:val="00EE7B13"/>
    <w:rsid w:val="00EF1A82"/>
    <w:rsid w:val="00EF2D99"/>
    <w:rsid w:val="00EF759C"/>
    <w:rsid w:val="00F01E57"/>
    <w:rsid w:val="00F032DE"/>
    <w:rsid w:val="00F03524"/>
    <w:rsid w:val="00F03934"/>
    <w:rsid w:val="00F03F50"/>
    <w:rsid w:val="00F1066B"/>
    <w:rsid w:val="00F11F0E"/>
    <w:rsid w:val="00F130B3"/>
    <w:rsid w:val="00F13D28"/>
    <w:rsid w:val="00F13F85"/>
    <w:rsid w:val="00F14323"/>
    <w:rsid w:val="00F14E27"/>
    <w:rsid w:val="00F1512F"/>
    <w:rsid w:val="00F15DDF"/>
    <w:rsid w:val="00F16F14"/>
    <w:rsid w:val="00F21B83"/>
    <w:rsid w:val="00F21C63"/>
    <w:rsid w:val="00F228A4"/>
    <w:rsid w:val="00F24D70"/>
    <w:rsid w:val="00F25D4A"/>
    <w:rsid w:val="00F27DFB"/>
    <w:rsid w:val="00F30E1E"/>
    <w:rsid w:val="00F32C6C"/>
    <w:rsid w:val="00F32EF0"/>
    <w:rsid w:val="00F3354D"/>
    <w:rsid w:val="00F342EF"/>
    <w:rsid w:val="00F34689"/>
    <w:rsid w:val="00F358D6"/>
    <w:rsid w:val="00F36FFF"/>
    <w:rsid w:val="00F3770A"/>
    <w:rsid w:val="00F40FCE"/>
    <w:rsid w:val="00F41159"/>
    <w:rsid w:val="00F419BD"/>
    <w:rsid w:val="00F4519A"/>
    <w:rsid w:val="00F45CCF"/>
    <w:rsid w:val="00F46E58"/>
    <w:rsid w:val="00F470DC"/>
    <w:rsid w:val="00F504ED"/>
    <w:rsid w:val="00F50AE8"/>
    <w:rsid w:val="00F50F07"/>
    <w:rsid w:val="00F51C90"/>
    <w:rsid w:val="00F52614"/>
    <w:rsid w:val="00F53058"/>
    <w:rsid w:val="00F53948"/>
    <w:rsid w:val="00F54D49"/>
    <w:rsid w:val="00F5531C"/>
    <w:rsid w:val="00F55823"/>
    <w:rsid w:val="00F55AB3"/>
    <w:rsid w:val="00F565ED"/>
    <w:rsid w:val="00F56C13"/>
    <w:rsid w:val="00F6326C"/>
    <w:rsid w:val="00F63A90"/>
    <w:rsid w:val="00F65217"/>
    <w:rsid w:val="00F66FE6"/>
    <w:rsid w:val="00F67937"/>
    <w:rsid w:val="00F70C0E"/>
    <w:rsid w:val="00F71AC5"/>
    <w:rsid w:val="00F7262E"/>
    <w:rsid w:val="00F746DC"/>
    <w:rsid w:val="00F76033"/>
    <w:rsid w:val="00F76966"/>
    <w:rsid w:val="00F77D49"/>
    <w:rsid w:val="00F77FF0"/>
    <w:rsid w:val="00F80731"/>
    <w:rsid w:val="00F81E15"/>
    <w:rsid w:val="00F8276D"/>
    <w:rsid w:val="00F82B81"/>
    <w:rsid w:val="00F83961"/>
    <w:rsid w:val="00F846AA"/>
    <w:rsid w:val="00F84766"/>
    <w:rsid w:val="00F84B50"/>
    <w:rsid w:val="00F8524E"/>
    <w:rsid w:val="00F8709C"/>
    <w:rsid w:val="00F8744E"/>
    <w:rsid w:val="00F87486"/>
    <w:rsid w:val="00F87DB8"/>
    <w:rsid w:val="00F90918"/>
    <w:rsid w:val="00F90E21"/>
    <w:rsid w:val="00F918A3"/>
    <w:rsid w:val="00F91C23"/>
    <w:rsid w:val="00F92643"/>
    <w:rsid w:val="00F938C1"/>
    <w:rsid w:val="00F93996"/>
    <w:rsid w:val="00F968E3"/>
    <w:rsid w:val="00F97CBB"/>
    <w:rsid w:val="00FA071C"/>
    <w:rsid w:val="00FA0E43"/>
    <w:rsid w:val="00FA0F33"/>
    <w:rsid w:val="00FA1E88"/>
    <w:rsid w:val="00FA25E9"/>
    <w:rsid w:val="00FA2C23"/>
    <w:rsid w:val="00FA3E67"/>
    <w:rsid w:val="00FA7117"/>
    <w:rsid w:val="00FA7A22"/>
    <w:rsid w:val="00FB030C"/>
    <w:rsid w:val="00FB4CB6"/>
    <w:rsid w:val="00FB5B41"/>
    <w:rsid w:val="00FB705F"/>
    <w:rsid w:val="00FB734F"/>
    <w:rsid w:val="00FC18B4"/>
    <w:rsid w:val="00FC1DD9"/>
    <w:rsid w:val="00FC394B"/>
    <w:rsid w:val="00FD1F06"/>
    <w:rsid w:val="00FD39AB"/>
    <w:rsid w:val="00FD3B4B"/>
    <w:rsid w:val="00FD42EC"/>
    <w:rsid w:val="00FD47CF"/>
    <w:rsid w:val="00FD50BB"/>
    <w:rsid w:val="00FD71DD"/>
    <w:rsid w:val="00FE0A2E"/>
    <w:rsid w:val="00FE0EE0"/>
    <w:rsid w:val="00FE209D"/>
    <w:rsid w:val="00FE2A5E"/>
    <w:rsid w:val="00FE3347"/>
    <w:rsid w:val="00FE4AFA"/>
    <w:rsid w:val="00FE4BFD"/>
    <w:rsid w:val="00FE4F00"/>
    <w:rsid w:val="00FE698D"/>
    <w:rsid w:val="00FF07C7"/>
    <w:rsid w:val="00FF0F71"/>
    <w:rsid w:val="00FF189C"/>
    <w:rsid w:val="00FF1C42"/>
    <w:rsid w:val="00FF2374"/>
    <w:rsid w:val="00FF376C"/>
    <w:rsid w:val="00FF66BE"/>
    <w:rsid w:val="00FF6A86"/>
    <w:rsid w:val="00FF7EE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33434F"/>
  <w15:docId w15:val="{F86A9FF2-3D66-40C5-BA3D-0E7391AB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D9"/>
    <w:pPr>
      <w:spacing w:after="20" w:line="250" w:lineRule="atLeast"/>
    </w:pPr>
    <w:rPr>
      <w:rFonts w:ascii="Arial" w:hAnsi="Arial"/>
      <w:sz w:val="20"/>
    </w:rPr>
  </w:style>
  <w:style w:type="paragraph" w:styleId="Heading1">
    <w:name w:val="heading 1"/>
    <w:basedOn w:val="Normal"/>
    <w:next w:val="Normal"/>
    <w:link w:val="Heading1Char"/>
    <w:uiPriority w:val="9"/>
    <w:semiHidden/>
    <w:qFormat/>
    <w:rsid w:val="008D3F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42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52"/>
    <w:rPr>
      <w:rFonts w:ascii="Tahoma" w:hAnsi="Tahoma" w:cs="Tahoma"/>
      <w:sz w:val="16"/>
      <w:szCs w:val="16"/>
    </w:rPr>
  </w:style>
  <w:style w:type="paragraph" w:styleId="Header">
    <w:name w:val="header"/>
    <w:basedOn w:val="Normal"/>
    <w:link w:val="HeaderChar"/>
    <w:uiPriority w:val="99"/>
    <w:semiHidden/>
    <w:rsid w:val="002E6499"/>
    <w:pPr>
      <w:tabs>
        <w:tab w:val="center" w:pos="4536"/>
        <w:tab w:val="right" w:pos="9072"/>
      </w:tabs>
      <w:spacing w:after="0"/>
    </w:pPr>
  </w:style>
  <w:style w:type="character" w:customStyle="1" w:styleId="HeaderChar">
    <w:name w:val="Header Char"/>
    <w:basedOn w:val="DefaultParagraphFont"/>
    <w:link w:val="Header"/>
    <w:uiPriority w:val="99"/>
    <w:semiHidden/>
    <w:rsid w:val="00710952"/>
    <w:rPr>
      <w:rFonts w:ascii="HelveticaNeueLT Std" w:hAnsi="HelveticaNeueLT Std"/>
      <w:sz w:val="20"/>
    </w:rPr>
  </w:style>
  <w:style w:type="paragraph" w:styleId="Footer">
    <w:name w:val="footer"/>
    <w:basedOn w:val="Normal"/>
    <w:link w:val="FooterChar"/>
    <w:uiPriority w:val="99"/>
    <w:rsid w:val="002E6499"/>
    <w:pPr>
      <w:tabs>
        <w:tab w:val="center" w:pos="4536"/>
        <w:tab w:val="right" w:pos="9072"/>
      </w:tabs>
      <w:spacing w:after="0"/>
    </w:pPr>
  </w:style>
  <w:style w:type="character" w:customStyle="1" w:styleId="FooterChar">
    <w:name w:val="Footer Char"/>
    <w:basedOn w:val="DefaultParagraphFont"/>
    <w:link w:val="Footer"/>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Normal"/>
    <w:qFormat/>
    <w:rsid w:val="00662FB2"/>
    <w:pPr>
      <w:framePr w:w="5103" w:wrap="around" w:vAnchor="page" w:hAnchor="text" w:y="2042" w:anchorLock="1"/>
      <w:spacing w:after="0"/>
    </w:pPr>
    <w:rPr>
      <w:b/>
      <w:color w:val="005391"/>
      <w:sz w:val="40"/>
      <w:szCs w:val="16"/>
    </w:rPr>
  </w:style>
  <w:style w:type="character" w:styleId="Hyperlink">
    <w:name w:val="Hyperlink"/>
    <w:basedOn w:val="DefaultParagraphFont"/>
    <w:uiPriority w:val="99"/>
    <w:rsid w:val="00712CAB"/>
    <w:rPr>
      <w:color w:val="0000FF" w:themeColor="hyperlink"/>
      <w:u w:val="single"/>
    </w:rPr>
  </w:style>
  <w:style w:type="paragraph" w:customStyle="1" w:styleId="ANRegister">
    <w:name w:val="AN Register"/>
    <w:basedOn w:val="Header"/>
    <w:qFormat/>
    <w:rsid w:val="00FF376C"/>
    <w:pPr>
      <w:framePr w:wrap="around" w:vAnchor="page" w:hAnchor="text" w:y="16189" w:anchorLock="1"/>
      <w:spacing w:line="240" w:lineRule="auto"/>
    </w:pPr>
    <w:rPr>
      <w:color w:val="005391"/>
      <w:sz w:val="12"/>
    </w:rPr>
  </w:style>
  <w:style w:type="paragraph" w:customStyle="1" w:styleId="ANAddress">
    <w:name w:val="AN Address"/>
    <w:basedOn w:val="Header"/>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Normal"/>
    <w:qFormat/>
    <w:rsid w:val="00DC4DD9"/>
    <w:pPr>
      <w:spacing w:before="160" w:after="280"/>
    </w:pPr>
    <w:rPr>
      <w:sz w:val="24"/>
    </w:rPr>
  </w:style>
  <w:style w:type="paragraph" w:customStyle="1" w:styleId="ANNote">
    <w:name w:val="AN Note"/>
    <w:basedOn w:val="Normal"/>
    <w:qFormat/>
    <w:rsid w:val="00D831C3"/>
    <w:pPr>
      <w:spacing w:after="0" w:line="240" w:lineRule="auto"/>
    </w:pPr>
    <w:rPr>
      <w:sz w:val="14"/>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leGrid">
    <w:name w:val="Table Grid"/>
    <w:basedOn w:val="TableNormal"/>
    <w:rsid w:val="003918C4"/>
    <w:pPr>
      <w:widowControl w:val="0"/>
      <w:spacing w:after="0" w:line="250" w:lineRule="atLeast"/>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Bullet List Paragraph,Use Case List Paragraph,List Paragraph1"/>
    <w:basedOn w:val="Normal"/>
    <w:link w:val="ListParagraphChar"/>
    <w:uiPriority w:val="34"/>
    <w:qFormat/>
    <w:rsid w:val="003918C4"/>
    <w:pPr>
      <w:widowControl w:val="0"/>
      <w:spacing w:after="0"/>
      <w:ind w:left="720"/>
      <w:contextualSpacing/>
    </w:pPr>
    <w:rPr>
      <w:rFonts w:eastAsia="Times New Roman" w:cs="Times New Roman"/>
      <w:szCs w:val="20"/>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ANNormalText">
    <w:name w:val="AN Normal Text"/>
    <w:basedOn w:val="Normal"/>
    <w:rsid w:val="004678D1"/>
    <w:pPr>
      <w:widowControl w:val="0"/>
      <w:spacing w:after="240"/>
    </w:pPr>
    <w:rPr>
      <w:rFonts w:eastAsia="Times New Roman" w:cs="Times New Roman"/>
      <w:szCs w:val="20"/>
    </w:rPr>
  </w:style>
  <w:style w:type="paragraph" w:customStyle="1" w:styleId="ANSignoffs">
    <w:name w:val="AN Signoffs"/>
    <w:basedOn w:val="Normal"/>
    <w:rsid w:val="004678D1"/>
    <w:pPr>
      <w:widowControl w:val="0"/>
      <w:spacing w:after="0" w:line="160" w:lineRule="atLeast"/>
    </w:pPr>
    <w:rPr>
      <w:rFonts w:eastAsia="Times New Roman" w:cs="Times New Roman"/>
      <w:b/>
      <w:sz w:val="14"/>
      <w:szCs w:val="20"/>
    </w:rPr>
  </w:style>
  <w:style w:type="character" w:customStyle="1" w:styleId="apple-style-span">
    <w:name w:val="apple-style-span"/>
    <w:rsid w:val="004678D1"/>
  </w:style>
  <w:style w:type="character" w:styleId="CommentReference">
    <w:name w:val="annotation reference"/>
    <w:basedOn w:val="DefaultParagraphFont"/>
    <w:uiPriority w:val="99"/>
    <w:semiHidden/>
    <w:rsid w:val="00F8524E"/>
    <w:rPr>
      <w:sz w:val="16"/>
      <w:szCs w:val="16"/>
    </w:rPr>
  </w:style>
  <w:style w:type="paragraph" w:styleId="CommentText">
    <w:name w:val="annotation text"/>
    <w:basedOn w:val="Normal"/>
    <w:link w:val="CommentTextChar"/>
    <w:uiPriority w:val="99"/>
    <w:semiHidden/>
    <w:rsid w:val="00F8524E"/>
    <w:pPr>
      <w:spacing w:line="240" w:lineRule="auto"/>
    </w:pPr>
    <w:rPr>
      <w:szCs w:val="20"/>
    </w:rPr>
  </w:style>
  <w:style w:type="character" w:customStyle="1" w:styleId="CommentTextChar">
    <w:name w:val="Comment Text Char"/>
    <w:basedOn w:val="DefaultParagraphFont"/>
    <w:link w:val="CommentText"/>
    <w:uiPriority w:val="99"/>
    <w:semiHidden/>
    <w:rsid w:val="00F8524E"/>
    <w:rPr>
      <w:rFonts w:ascii="Arial" w:hAnsi="Arial"/>
      <w:sz w:val="20"/>
      <w:szCs w:val="20"/>
    </w:rPr>
  </w:style>
  <w:style w:type="paragraph" w:styleId="CommentSubject">
    <w:name w:val="annotation subject"/>
    <w:basedOn w:val="CommentText"/>
    <w:next w:val="CommentText"/>
    <w:link w:val="CommentSubjectChar"/>
    <w:uiPriority w:val="99"/>
    <w:semiHidden/>
    <w:rsid w:val="00F8524E"/>
    <w:rPr>
      <w:b/>
      <w:bCs/>
    </w:rPr>
  </w:style>
  <w:style w:type="character" w:customStyle="1" w:styleId="CommentSubjectChar">
    <w:name w:val="Comment Subject Char"/>
    <w:basedOn w:val="CommentTextChar"/>
    <w:link w:val="CommentSubject"/>
    <w:uiPriority w:val="99"/>
    <w:semiHidden/>
    <w:rsid w:val="00F8524E"/>
    <w:rPr>
      <w:rFonts w:ascii="Arial" w:hAnsi="Arial"/>
      <w:b/>
      <w:bCs/>
      <w:sz w:val="20"/>
      <w:szCs w:val="20"/>
    </w:rPr>
  </w:style>
  <w:style w:type="character" w:customStyle="1" w:styleId="Heading3Char">
    <w:name w:val="Heading 3 Char"/>
    <w:basedOn w:val="DefaultParagraphFont"/>
    <w:link w:val="Heading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TableNormal"/>
    <w:next w:val="TableGrid"/>
    <w:rsid w:val="00910A94"/>
    <w:pPr>
      <w:widowControl w:val="0"/>
      <w:spacing w:after="0" w:line="250" w:lineRule="atLeast"/>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7C62"/>
    <w:rPr>
      <w:b/>
      <w:bCs/>
    </w:rPr>
  </w:style>
  <w:style w:type="character" w:styleId="FollowedHyperlink">
    <w:name w:val="FollowedHyperlink"/>
    <w:basedOn w:val="DefaultParagraphFont"/>
    <w:uiPriority w:val="99"/>
    <w:semiHidden/>
    <w:rsid w:val="00A17D02"/>
    <w:rPr>
      <w:color w:val="800080" w:themeColor="followedHyperlink"/>
      <w:u w:val="single"/>
    </w:rPr>
  </w:style>
  <w:style w:type="paragraph" w:customStyle="1" w:styleId="Pa6">
    <w:name w:val="Pa6"/>
    <w:basedOn w:val="Normal"/>
    <w:next w:val="Normal"/>
    <w:uiPriority w:val="99"/>
    <w:rsid w:val="006A34E5"/>
    <w:pPr>
      <w:autoSpaceDE w:val="0"/>
      <w:autoSpaceDN w:val="0"/>
      <w:adjustRightInd w:val="0"/>
      <w:spacing w:after="0" w:line="241" w:lineRule="atLeast"/>
    </w:pPr>
    <w:rPr>
      <w:rFonts w:ascii="HelveticaNeueLT Std" w:hAnsi="HelveticaNeueLT Std"/>
      <w:sz w:val="24"/>
      <w:szCs w:val="24"/>
    </w:rPr>
  </w:style>
  <w:style w:type="character" w:customStyle="1" w:styleId="ListParagraphChar">
    <w:name w:val="List Paragraph Char"/>
    <w:aliases w:val="cS List Paragraph Char,Bullet List Paragraph Char,Use Case List Paragraph Char,List Paragraph1 Char"/>
    <w:basedOn w:val="DefaultParagraphFont"/>
    <w:link w:val="ListParagraph"/>
    <w:uiPriority w:val="34"/>
    <w:locked/>
    <w:rsid w:val="001F00AA"/>
    <w:rPr>
      <w:rFonts w:ascii="Arial" w:eastAsia="Times New Roman" w:hAnsi="Arial" w:cs="Times New Roman"/>
      <w:sz w:val="20"/>
      <w:szCs w:val="20"/>
      <w:lang w:val="de-DE"/>
    </w:rPr>
  </w:style>
  <w:style w:type="paragraph" w:customStyle="1" w:styleId="maincontent-introduction">
    <w:name w:val="maincontent-introduction"/>
    <w:basedOn w:val="Normal"/>
    <w:rsid w:val="007E4CF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Revision">
    <w:name w:val="Revision"/>
    <w:hidden/>
    <w:uiPriority w:val="99"/>
    <w:semiHidden/>
    <w:rsid w:val="007557B7"/>
    <w:pPr>
      <w:spacing w:after="0" w:line="240" w:lineRule="auto"/>
    </w:pPr>
    <w:rPr>
      <w:rFonts w:ascii="Arial" w:hAnsi="Arial"/>
      <w:sz w:val="20"/>
    </w:rPr>
  </w:style>
  <w:style w:type="paragraph" w:styleId="Date">
    <w:name w:val="Date"/>
    <w:basedOn w:val="Normal"/>
    <w:next w:val="Normal"/>
    <w:link w:val="DateChar"/>
    <w:uiPriority w:val="99"/>
    <w:semiHidden/>
    <w:rsid w:val="003B430C"/>
  </w:style>
  <w:style w:type="character" w:customStyle="1" w:styleId="DateChar">
    <w:name w:val="Date Char"/>
    <w:basedOn w:val="DefaultParagraphFont"/>
    <w:link w:val="Date"/>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Normal"/>
    <w:rsid w:val="00153E92"/>
    <w:pPr>
      <w:spacing w:after="0" w:line="240" w:lineRule="auto"/>
    </w:pPr>
    <w:rPr>
      <w:rFonts w:ascii="Times New Roman" w:hAnsi="Times New Roman" w:cs="Times New Roman"/>
      <w:sz w:val="24"/>
      <w:szCs w:val="24"/>
    </w:rPr>
  </w:style>
  <w:style w:type="character" w:customStyle="1" w:styleId="spellingerror">
    <w:name w:val="spellingerror"/>
    <w:basedOn w:val="DefaultParagraphFont"/>
    <w:rsid w:val="00153E92"/>
  </w:style>
  <w:style w:type="character" w:customStyle="1" w:styleId="normaltextrun1">
    <w:name w:val="normaltextrun1"/>
    <w:basedOn w:val="DefaultParagraphFont"/>
    <w:rsid w:val="00153E92"/>
  </w:style>
  <w:style w:type="character" w:customStyle="1" w:styleId="eop">
    <w:name w:val="eop"/>
    <w:basedOn w:val="DefaultParagraphFont"/>
    <w:rsid w:val="00153E92"/>
  </w:style>
  <w:style w:type="character" w:customStyle="1" w:styleId="UnresolvedMention1">
    <w:name w:val="Unresolved Mention1"/>
    <w:basedOn w:val="DefaultParagraphFont"/>
    <w:uiPriority w:val="99"/>
    <w:semiHidden/>
    <w:unhideWhenUsed/>
    <w:rsid w:val="00F21B83"/>
    <w:rPr>
      <w:color w:val="808080"/>
      <w:shd w:val="clear" w:color="auto" w:fill="E6E6E6"/>
    </w:rPr>
  </w:style>
  <w:style w:type="character" w:customStyle="1" w:styleId="Heading1Char">
    <w:name w:val="Heading 1 Char"/>
    <w:basedOn w:val="DefaultParagraphFont"/>
    <w:link w:val="Heading1"/>
    <w:uiPriority w:val="9"/>
    <w:semiHidden/>
    <w:rsid w:val="008D3FF8"/>
    <w:rPr>
      <w:rFonts w:asciiTheme="majorHAnsi" w:eastAsiaTheme="majorEastAsia" w:hAnsiTheme="majorHAnsi" w:cstheme="majorBidi"/>
      <w:color w:val="365F91" w:themeColor="accent1" w:themeShade="BF"/>
      <w:sz w:val="32"/>
      <w:szCs w:val="32"/>
    </w:rPr>
  </w:style>
  <w:style w:type="paragraph" w:customStyle="1" w:styleId="hs18">
    <w:name w:val="hs18"/>
    <w:basedOn w:val="Normal"/>
    <w:rsid w:val="008D3FF8"/>
    <w:pPr>
      <w:snapToGrid w:val="0"/>
      <w:spacing w:after="0" w:line="240" w:lineRule="auto"/>
    </w:pPr>
    <w:rPr>
      <w:rFonts w:ascii="Times New Roman" w:hAnsi="Times New Roman" w:cs="Times New Roman"/>
      <w:color w:val="000000"/>
      <w:szCs w:val="20"/>
    </w:rPr>
  </w:style>
  <w:style w:type="paragraph" w:customStyle="1" w:styleId="hs11">
    <w:name w:val="hs11"/>
    <w:basedOn w:val="Normal"/>
    <w:rsid w:val="008D3FF8"/>
    <w:pPr>
      <w:snapToGrid w:val="0"/>
      <w:spacing w:after="0" w:line="240" w:lineRule="auto"/>
    </w:pPr>
    <w:rPr>
      <w:rFonts w:ascii="Times New Roman" w:hAnsi="Times New Roman" w:cs="Times New Roman"/>
      <w:color w:val="000000"/>
      <w:szCs w:val="20"/>
    </w:rPr>
  </w:style>
  <w:style w:type="character" w:customStyle="1" w:styleId="hs41">
    <w:name w:val="hs41"/>
    <w:basedOn w:val="DefaultParagraphFont"/>
    <w:rsid w:val="008D3FF8"/>
    <w:rPr>
      <w:strike w:val="0"/>
      <w:dstrike w:val="0"/>
      <w:color w:val="auto"/>
      <w:u w:val="none"/>
      <w:effect w:val="none"/>
    </w:rPr>
  </w:style>
  <w:style w:type="character" w:customStyle="1" w:styleId="hs51">
    <w:name w:val="hs51"/>
    <w:basedOn w:val="DefaultParagraphFont"/>
    <w:rsid w:val="008D3FF8"/>
    <w:rPr>
      <w:color w:val="auto"/>
    </w:rPr>
  </w:style>
  <w:style w:type="character" w:customStyle="1" w:styleId="UnresolvedMention2">
    <w:name w:val="Unresolved Mention2"/>
    <w:basedOn w:val="DefaultParagraphFont"/>
    <w:uiPriority w:val="99"/>
    <w:semiHidden/>
    <w:unhideWhenUsed/>
    <w:rsid w:val="00C619DE"/>
    <w:rPr>
      <w:color w:val="808080"/>
      <w:shd w:val="clear" w:color="auto" w:fill="E6E6E6"/>
    </w:rPr>
  </w:style>
  <w:style w:type="paragraph" w:customStyle="1" w:styleId="NoParagraphStyle">
    <w:name w:val="[No Paragraph Style]"/>
    <w:basedOn w:val="Normal"/>
    <w:rsid w:val="001B4E02"/>
    <w:pPr>
      <w:autoSpaceDE w:val="0"/>
      <w:autoSpaceDN w:val="0"/>
      <w:spacing w:after="0" w:line="288" w:lineRule="auto"/>
    </w:pPr>
    <w:rPr>
      <w:rFonts w:ascii="Times Regular" w:hAnsi="Times Regular" w:cs="Calibri"/>
      <w:color w:val="000000"/>
      <w:sz w:val="24"/>
      <w:szCs w:val="24"/>
    </w:rPr>
  </w:style>
  <w:style w:type="paragraph" w:customStyle="1" w:styleId="Pa0">
    <w:name w:val="Pa0"/>
    <w:basedOn w:val="Default"/>
    <w:next w:val="Default"/>
    <w:uiPriority w:val="99"/>
    <w:rsid w:val="002E3A8A"/>
    <w:pPr>
      <w:spacing w:line="241" w:lineRule="atLeast"/>
    </w:pPr>
    <w:rPr>
      <w:rFonts w:ascii="HelveticaNeueLT Std" w:eastAsiaTheme="minorHAnsi" w:hAnsi="HelveticaNeueLT Std" w:cstheme="minorBidi"/>
      <w:color w:val="auto"/>
      <w:lang w:eastAsia="en-US"/>
    </w:rPr>
  </w:style>
  <w:style w:type="character" w:customStyle="1" w:styleId="A7">
    <w:name w:val="A7"/>
    <w:uiPriority w:val="99"/>
    <w:rsid w:val="002E3A8A"/>
    <w:rPr>
      <w:rFonts w:cs="HelveticaNeueLT Std"/>
      <w:b/>
      <w:bCs/>
      <w:color w:val="000000"/>
      <w:sz w:val="20"/>
      <w:szCs w:val="20"/>
    </w:rPr>
  </w:style>
  <w:style w:type="character" w:customStyle="1" w:styleId="UnresolvedMention3">
    <w:name w:val="Unresolved Mention3"/>
    <w:basedOn w:val="DefaultParagraphFont"/>
    <w:uiPriority w:val="99"/>
    <w:semiHidden/>
    <w:unhideWhenUsed/>
    <w:rsid w:val="00710216"/>
    <w:rPr>
      <w:color w:val="808080"/>
      <w:shd w:val="clear" w:color="auto" w:fill="E6E6E6"/>
    </w:rPr>
  </w:style>
  <w:style w:type="paragraph" w:customStyle="1" w:styleId="hs9">
    <w:name w:val="hs9"/>
    <w:basedOn w:val="Normal"/>
    <w:rsid w:val="008A022C"/>
    <w:pPr>
      <w:spacing w:after="0" w:line="240" w:lineRule="auto"/>
    </w:pPr>
    <w:rPr>
      <w:rFonts w:ascii="Times New Roman" w:hAnsi="Times New Roman" w:cs="Times New Roman"/>
      <w:color w:val="000000"/>
      <w:szCs w:val="20"/>
    </w:rPr>
  </w:style>
  <w:style w:type="character" w:customStyle="1" w:styleId="hs31">
    <w:name w:val="hs31"/>
    <w:basedOn w:val="DefaultParagraphFont"/>
    <w:rsid w:val="008A022C"/>
    <w:rPr>
      <w:color w:val="auto"/>
    </w:rPr>
  </w:style>
  <w:style w:type="character" w:customStyle="1" w:styleId="UnresolvedMention4">
    <w:name w:val="Unresolved Mention4"/>
    <w:basedOn w:val="DefaultParagraphFont"/>
    <w:uiPriority w:val="99"/>
    <w:semiHidden/>
    <w:unhideWhenUsed/>
    <w:rsid w:val="00663621"/>
    <w:rPr>
      <w:color w:val="605E5C"/>
      <w:shd w:val="clear" w:color="auto" w:fill="E1DFDD"/>
    </w:rPr>
  </w:style>
  <w:style w:type="character" w:customStyle="1" w:styleId="UnresolvedMention5">
    <w:name w:val="Unresolved Mention5"/>
    <w:basedOn w:val="DefaultParagraphFont"/>
    <w:uiPriority w:val="99"/>
    <w:semiHidden/>
    <w:unhideWhenUsed/>
    <w:rsid w:val="005B2ACA"/>
    <w:rPr>
      <w:color w:val="605E5C"/>
      <w:shd w:val="clear" w:color="auto" w:fill="E1DFDD"/>
    </w:rPr>
  </w:style>
  <w:style w:type="paragraph" w:styleId="PlainText">
    <w:name w:val="Plain Text"/>
    <w:basedOn w:val="Normal"/>
    <w:link w:val="PlainTextChar"/>
    <w:uiPriority w:val="99"/>
    <w:semiHidden/>
    <w:unhideWhenUsed/>
    <w:rsid w:val="00172E23"/>
    <w:pPr>
      <w:spacing w:after="0" w:line="240" w:lineRule="auto"/>
    </w:pPr>
    <w:rPr>
      <w:rFonts w:cs="Arial"/>
      <w:sz w:val="22"/>
    </w:rPr>
  </w:style>
  <w:style w:type="character" w:customStyle="1" w:styleId="PlainTextChar">
    <w:name w:val="Plain Text Char"/>
    <w:basedOn w:val="DefaultParagraphFont"/>
    <w:link w:val="PlainText"/>
    <w:uiPriority w:val="99"/>
    <w:semiHidden/>
    <w:rsid w:val="00172E23"/>
    <w:rPr>
      <w:rFonts w:ascii="Arial" w:hAnsi="Arial" w:cs="Arial"/>
      <w:lang w:val="de-DE"/>
    </w:rPr>
  </w:style>
  <w:style w:type="character" w:customStyle="1" w:styleId="UnresolvedMention6">
    <w:name w:val="Unresolved Mention6"/>
    <w:basedOn w:val="DefaultParagraphFont"/>
    <w:uiPriority w:val="99"/>
    <w:semiHidden/>
    <w:unhideWhenUsed/>
    <w:rsid w:val="002340F7"/>
    <w:rPr>
      <w:color w:val="605E5C"/>
      <w:shd w:val="clear" w:color="auto" w:fill="E1DFDD"/>
    </w:rPr>
  </w:style>
  <w:style w:type="paragraph" w:customStyle="1" w:styleId="GFootnotes">
    <w:name w:val="G_Footnotes"/>
    <w:basedOn w:val="Normal"/>
    <w:uiPriority w:val="99"/>
    <w:rsid w:val="00CF5E00"/>
    <w:pPr>
      <w:autoSpaceDE w:val="0"/>
      <w:autoSpaceDN w:val="0"/>
      <w:spacing w:after="0" w:line="140" w:lineRule="atLeast"/>
    </w:pPr>
    <w:rPr>
      <w:rFonts w:ascii="Helvetica Neue LT Std 45 Light" w:hAnsi="Helvetica Neue LT Std 45 Light" w:cs="Calibri"/>
      <w:color w:val="807E82"/>
      <w:sz w:val="11"/>
      <w:szCs w:val="1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152">
      <w:bodyDiv w:val="1"/>
      <w:marLeft w:val="0"/>
      <w:marRight w:val="0"/>
      <w:marTop w:val="0"/>
      <w:marBottom w:val="0"/>
      <w:divBdr>
        <w:top w:val="none" w:sz="0" w:space="0" w:color="auto"/>
        <w:left w:val="none" w:sz="0" w:space="0" w:color="auto"/>
        <w:bottom w:val="none" w:sz="0" w:space="0" w:color="auto"/>
        <w:right w:val="none" w:sz="0" w:space="0" w:color="auto"/>
      </w:divBdr>
    </w:div>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130829185">
      <w:bodyDiv w:val="1"/>
      <w:marLeft w:val="0"/>
      <w:marRight w:val="0"/>
      <w:marTop w:val="0"/>
      <w:marBottom w:val="0"/>
      <w:divBdr>
        <w:top w:val="none" w:sz="0" w:space="0" w:color="auto"/>
        <w:left w:val="none" w:sz="0" w:space="0" w:color="auto"/>
        <w:bottom w:val="none" w:sz="0" w:space="0" w:color="auto"/>
        <w:right w:val="none" w:sz="0" w:space="0" w:color="auto"/>
      </w:divBdr>
    </w:div>
    <w:div w:id="140463271">
      <w:bodyDiv w:val="1"/>
      <w:marLeft w:val="0"/>
      <w:marRight w:val="0"/>
      <w:marTop w:val="0"/>
      <w:marBottom w:val="0"/>
      <w:divBdr>
        <w:top w:val="none" w:sz="0" w:space="0" w:color="auto"/>
        <w:left w:val="none" w:sz="0" w:space="0" w:color="auto"/>
        <w:bottom w:val="none" w:sz="0" w:space="0" w:color="auto"/>
        <w:right w:val="none" w:sz="0" w:space="0" w:color="auto"/>
      </w:divBdr>
    </w:div>
    <w:div w:id="202837389">
      <w:bodyDiv w:val="1"/>
      <w:marLeft w:val="0"/>
      <w:marRight w:val="0"/>
      <w:marTop w:val="0"/>
      <w:marBottom w:val="0"/>
      <w:divBdr>
        <w:top w:val="none" w:sz="0" w:space="0" w:color="auto"/>
        <w:left w:val="none" w:sz="0" w:space="0" w:color="auto"/>
        <w:bottom w:val="none" w:sz="0" w:space="0" w:color="auto"/>
        <w:right w:val="none" w:sz="0" w:space="0" w:color="auto"/>
      </w:divBdr>
    </w:div>
    <w:div w:id="208808960">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57127896">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436099445">
      <w:bodyDiv w:val="1"/>
      <w:marLeft w:val="0"/>
      <w:marRight w:val="0"/>
      <w:marTop w:val="0"/>
      <w:marBottom w:val="0"/>
      <w:divBdr>
        <w:top w:val="none" w:sz="0" w:space="0" w:color="auto"/>
        <w:left w:val="none" w:sz="0" w:space="0" w:color="auto"/>
        <w:bottom w:val="none" w:sz="0" w:space="0" w:color="auto"/>
        <w:right w:val="none" w:sz="0" w:space="0" w:color="auto"/>
      </w:divBdr>
    </w:div>
    <w:div w:id="486093823">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852114560">
      <w:bodyDiv w:val="1"/>
      <w:marLeft w:val="0"/>
      <w:marRight w:val="0"/>
      <w:marTop w:val="0"/>
      <w:marBottom w:val="0"/>
      <w:divBdr>
        <w:top w:val="none" w:sz="0" w:space="0" w:color="auto"/>
        <w:left w:val="none" w:sz="0" w:space="0" w:color="auto"/>
        <w:bottom w:val="none" w:sz="0" w:space="0" w:color="auto"/>
        <w:right w:val="none" w:sz="0" w:space="0" w:color="auto"/>
      </w:divBdr>
      <w:divsChild>
        <w:div w:id="2000184722">
          <w:marLeft w:val="288"/>
          <w:marRight w:val="0"/>
          <w:marTop w:val="120"/>
          <w:marBottom w:val="40"/>
          <w:divBdr>
            <w:top w:val="none" w:sz="0" w:space="0" w:color="auto"/>
            <w:left w:val="none" w:sz="0" w:space="0" w:color="auto"/>
            <w:bottom w:val="none" w:sz="0" w:space="0" w:color="auto"/>
            <w:right w:val="none" w:sz="0" w:space="0" w:color="auto"/>
          </w:divBdr>
        </w:div>
      </w:divsChild>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75417366">
      <w:bodyDiv w:val="1"/>
      <w:marLeft w:val="0"/>
      <w:marRight w:val="0"/>
      <w:marTop w:val="0"/>
      <w:marBottom w:val="0"/>
      <w:divBdr>
        <w:top w:val="none" w:sz="0" w:space="0" w:color="auto"/>
        <w:left w:val="none" w:sz="0" w:space="0" w:color="auto"/>
        <w:bottom w:val="none" w:sz="0" w:space="0" w:color="auto"/>
        <w:right w:val="none" w:sz="0" w:space="0" w:color="auto"/>
      </w:divBdr>
    </w:div>
    <w:div w:id="1201476350">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250849866">
      <w:bodyDiv w:val="1"/>
      <w:marLeft w:val="0"/>
      <w:marRight w:val="0"/>
      <w:marTop w:val="0"/>
      <w:marBottom w:val="0"/>
      <w:divBdr>
        <w:top w:val="none" w:sz="0" w:space="0" w:color="auto"/>
        <w:left w:val="none" w:sz="0" w:space="0" w:color="auto"/>
        <w:bottom w:val="none" w:sz="0" w:space="0" w:color="auto"/>
        <w:right w:val="none" w:sz="0" w:space="0" w:color="auto"/>
      </w:divBdr>
      <w:divsChild>
        <w:div w:id="799759968">
          <w:marLeft w:val="288"/>
          <w:marRight w:val="0"/>
          <w:marTop w:val="120"/>
          <w:marBottom w:val="120"/>
          <w:divBdr>
            <w:top w:val="none" w:sz="0" w:space="0" w:color="auto"/>
            <w:left w:val="none" w:sz="0" w:space="0" w:color="auto"/>
            <w:bottom w:val="none" w:sz="0" w:space="0" w:color="auto"/>
            <w:right w:val="none" w:sz="0" w:space="0" w:color="auto"/>
          </w:divBdr>
        </w:div>
        <w:div w:id="168838670">
          <w:marLeft w:val="562"/>
          <w:marRight w:val="0"/>
          <w:marTop w:val="40"/>
          <w:marBottom w:val="120"/>
          <w:divBdr>
            <w:top w:val="none" w:sz="0" w:space="0" w:color="auto"/>
            <w:left w:val="none" w:sz="0" w:space="0" w:color="auto"/>
            <w:bottom w:val="none" w:sz="0" w:space="0" w:color="auto"/>
            <w:right w:val="none" w:sz="0" w:space="0" w:color="auto"/>
          </w:divBdr>
        </w:div>
        <w:div w:id="2136176488">
          <w:marLeft w:val="562"/>
          <w:marRight w:val="0"/>
          <w:marTop w:val="40"/>
          <w:marBottom w:val="120"/>
          <w:divBdr>
            <w:top w:val="none" w:sz="0" w:space="0" w:color="auto"/>
            <w:left w:val="none" w:sz="0" w:space="0" w:color="auto"/>
            <w:bottom w:val="none" w:sz="0" w:space="0" w:color="auto"/>
            <w:right w:val="none" w:sz="0" w:space="0" w:color="auto"/>
          </w:divBdr>
        </w:div>
        <w:div w:id="1278681323">
          <w:marLeft w:val="562"/>
          <w:marRight w:val="0"/>
          <w:marTop w:val="40"/>
          <w:marBottom w:val="120"/>
          <w:divBdr>
            <w:top w:val="none" w:sz="0" w:space="0" w:color="auto"/>
            <w:left w:val="none" w:sz="0" w:space="0" w:color="auto"/>
            <w:bottom w:val="none" w:sz="0" w:space="0" w:color="auto"/>
            <w:right w:val="none" w:sz="0" w:space="0" w:color="auto"/>
          </w:divBdr>
        </w:div>
        <w:div w:id="677001464">
          <w:marLeft w:val="288"/>
          <w:marRight w:val="0"/>
          <w:marTop w:val="120"/>
          <w:marBottom w:val="120"/>
          <w:divBdr>
            <w:top w:val="none" w:sz="0" w:space="0" w:color="auto"/>
            <w:left w:val="none" w:sz="0" w:space="0" w:color="auto"/>
            <w:bottom w:val="none" w:sz="0" w:space="0" w:color="auto"/>
            <w:right w:val="none" w:sz="0" w:space="0" w:color="auto"/>
          </w:divBdr>
        </w:div>
        <w:div w:id="375352204">
          <w:marLeft w:val="562"/>
          <w:marRight w:val="0"/>
          <w:marTop w:val="40"/>
          <w:marBottom w:val="120"/>
          <w:divBdr>
            <w:top w:val="none" w:sz="0" w:space="0" w:color="auto"/>
            <w:left w:val="none" w:sz="0" w:space="0" w:color="auto"/>
            <w:bottom w:val="none" w:sz="0" w:space="0" w:color="auto"/>
            <w:right w:val="none" w:sz="0" w:space="0" w:color="auto"/>
          </w:divBdr>
        </w:div>
        <w:div w:id="1512597239">
          <w:marLeft w:val="562"/>
          <w:marRight w:val="0"/>
          <w:marTop w:val="40"/>
          <w:marBottom w:val="120"/>
          <w:divBdr>
            <w:top w:val="none" w:sz="0" w:space="0" w:color="auto"/>
            <w:left w:val="none" w:sz="0" w:space="0" w:color="auto"/>
            <w:bottom w:val="none" w:sz="0" w:space="0" w:color="auto"/>
            <w:right w:val="none" w:sz="0" w:space="0" w:color="auto"/>
          </w:divBdr>
        </w:div>
        <w:div w:id="911624928">
          <w:marLeft w:val="288"/>
          <w:marRight w:val="0"/>
          <w:marTop w:val="120"/>
          <w:marBottom w:val="120"/>
          <w:divBdr>
            <w:top w:val="none" w:sz="0" w:space="0" w:color="auto"/>
            <w:left w:val="none" w:sz="0" w:space="0" w:color="auto"/>
            <w:bottom w:val="none" w:sz="0" w:space="0" w:color="auto"/>
            <w:right w:val="none" w:sz="0" w:space="0" w:color="auto"/>
          </w:divBdr>
        </w:div>
        <w:div w:id="1176924340">
          <w:marLeft w:val="288"/>
          <w:marRight w:val="0"/>
          <w:marTop w:val="120"/>
          <w:marBottom w:val="120"/>
          <w:divBdr>
            <w:top w:val="none" w:sz="0" w:space="0" w:color="auto"/>
            <w:left w:val="none" w:sz="0" w:space="0" w:color="auto"/>
            <w:bottom w:val="none" w:sz="0" w:space="0" w:color="auto"/>
            <w:right w:val="none" w:sz="0" w:space="0" w:color="auto"/>
          </w:divBdr>
        </w:div>
      </w:divsChild>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35622632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492483760">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01831723">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61481736">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5289992">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031711">
      <w:bodyDiv w:val="1"/>
      <w:marLeft w:val="0"/>
      <w:marRight w:val="0"/>
      <w:marTop w:val="0"/>
      <w:marBottom w:val="0"/>
      <w:divBdr>
        <w:top w:val="none" w:sz="0" w:space="0" w:color="auto"/>
        <w:left w:val="none" w:sz="0" w:space="0" w:color="auto"/>
        <w:bottom w:val="none" w:sz="0" w:space="0" w:color="auto"/>
        <w:right w:val="none" w:sz="0" w:space="0" w:color="auto"/>
      </w:divBdr>
    </w:div>
    <w:div w:id="1922059243">
      <w:bodyDiv w:val="1"/>
      <w:marLeft w:val="0"/>
      <w:marRight w:val="0"/>
      <w:marTop w:val="0"/>
      <w:marBottom w:val="0"/>
      <w:divBdr>
        <w:top w:val="none" w:sz="0" w:space="0" w:color="auto"/>
        <w:left w:val="none" w:sz="0" w:space="0" w:color="auto"/>
        <w:bottom w:val="none" w:sz="0" w:space="0" w:color="auto"/>
        <w:right w:val="none" w:sz="0" w:space="0" w:color="auto"/>
      </w:divBdr>
    </w:div>
    <w:div w:id="1933658420">
      <w:bodyDiv w:val="1"/>
      <w:marLeft w:val="0"/>
      <w:marRight w:val="0"/>
      <w:marTop w:val="0"/>
      <w:marBottom w:val="0"/>
      <w:divBdr>
        <w:top w:val="none" w:sz="0" w:space="0" w:color="auto"/>
        <w:left w:val="none" w:sz="0" w:space="0" w:color="auto"/>
        <w:bottom w:val="none" w:sz="0" w:space="0" w:color="auto"/>
        <w:right w:val="none" w:sz="0" w:space="0" w:color="auto"/>
      </w:divBdr>
    </w:div>
    <w:div w:id="2030834886">
      <w:bodyDiv w:val="1"/>
      <w:marLeft w:val="0"/>
      <w:marRight w:val="0"/>
      <w:marTop w:val="0"/>
      <w:marBottom w:val="0"/>
      <w:divBdr>
        <w:top w:val="none" w:sz="0" w:space="0" w:color="auto"/>
        <w:left w:val="none" w:sz="0" w:space="0" w:color="auto"/>
        <w:bottom w:val="none" w:sz="0" w:space="0" w:color="auto"/>
        <w:right w:val="none" w:sz="0" w:space="0" w:color="auto"/>
      </w:divBdr>
      <w:divsChild>
        <w:div w:id="1165393181">
          <w:marLeft w:val="288"/>
          <w:marRight w:val="0"/>
          <w:marTop w:val="120"/>
          <w:marBottom w:val="40"/>
          <w:divBdr>
            <w:top w:val="none" w:sz="0" w:space="0" w:color="auto"/>
            <w:left w:val="none" w:sz="0" w:space="0" w:color="auto"/>
            <w:bottom w:val="none" w:sz="0" w:space="0" w:color="auto"/>
            <w:right w:val="none" w:sz="0" w:space="0" w:color="auto"/>
          </w:divBdr>
        </w:div>
      </w:divsChild>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01443691">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or.relations@akzonobe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relations@akzonobe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kzo.no/Q420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kzonobe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1736FFF87EB409126D683E2F3A35C" ma:contentTypeVersion="13" ma:contentTypeDescription="Create a new document." ma:contentTypeScope="" ma:versionID="76c48224e18a2c9377659261020c8dd8">
  <xsd:schema xmlns:xsd="http://www.w3.org/2001/XMLSchema" xmlns:xs="http://www.w3.org/2001/XMLSchema" xmlns:p="http://schemas.microsoft.com/office/2006/metadata/properties" xmlns:ns3="71af49c5-6064-475d-ae98-43fe38a4a846" xmlns:ns4="06f071d1-0779-4f4e-a84f-c5c1d62ec776" targetNamespace="http://schemas.microsoft.com/office/2006/metadata/properties" ma:root="true" ma:fieldsID="5f4610268b6680205de8a42f15baca08" ns3:_="" ns4:_="">
    <xsd:import namespace="71af49c5-6064-475d-ae98-43fe38a4a846"/>
    <xsd:import namespace="06f071d1-0779-4f4e-a84f-c5c1d62ec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49c5-6064-475d-ae98-43fe38a4a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071d1-0779-4f4e-a84f-c5c1d62ec7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2.xml><?xml version="1.0" encoding="utf-8"?>
<ds:datastoreItem xmlns:ds="http://schemas.openxmlformats.org/officeDocument/2006/customXml" ds:itemID="{6BF78E72-13D1-4657-A76B-07487D38EC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49c5-6064-475d-ae98-43fe38a4a846"/>
    <ds:schemaRef ds:uri="http://purl.org/dc/terms/"/>
    <ds:schemaRef ds:uri="http://schemas.openxmlformats.org/package/2006/metadata/core-properties"/>
    <ds:schemaRef ds:uri="06f071d1-0779-4f4e-a84f-c5c1d62ec776"/>
    <ds:schemaRef ds:uri="http://www.w3.org/XML/1998/namespace"/>
    <ds:schemaRef ds:uri="http://purl.org/dc/dcmitype/"/>
  </ds:schemaRefs>
</ds:datastoreItem>
</file>

<file path=customXml/itemProps3.xml><?xml version="1.0" encoding="utf-8"?>
<ds:datastoreItem xmlns:ds="http://schemas.openxmlformats.org/officeDocument/2006/customXml" ds:itemID="{37140056-F1DF-4ABE-96E3-9927E2B15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49c5-6064-475d-ae98-43fe38a4a846"/>
    <ds:schemaRef ds:uri="06f071d1-0779-4f4e-a84f-c5c1d62e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3B9DC-4778-49AA-92DA-B71ADE07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9489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Stienstra, H.A. (Hugo)</dc:creator>
  <cp:lastModifiedBy>Jenni, B. (Barbara)</cp:lastModifiedBy>
  <cp:revision>2</cp:revision>
  <cp:lastPrinted>2020-02-12T09:19:00Z</cp:lastPrinted>
  <dcterms:created xsi:type="dcterms:W3CDTF">2020-02-12T09:49:00Z</dcterms:created>
  <dcterms:modified xsi:type="dcterms:W3CDTF">2020-02-12T09:49:00Z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0x0101007221736FFF87EB409126D683E2F3A35C</vt:lpwstr>
  </property>
  <property fmtid="{D5CDD505-2E9C-101B-9397-08002B2CF9AE}" pid="3" name="AN-ClusterCode">
    <vt:lpwstr>6;#CEUR|c2b0dd99-0ebb-4475-af32-8c000ce005d6</vt:lpwstr>
  </property>
  <property fmtid="{D5CDD505-2E9C-101B-9397-08002B2CF9AE}" pid="4" name="AN-CountryCode">
    <vt:lpwstr>21;#NL|9f4958bd-1869-478b-8336-595b3208e9ea</vt:lpwstr>
  </property>
  <property fmtid="{D5CDD505-2E9C-101B-9397-08002B2CF9AE}" pid="5" name="AN-ClusterName">
    <vt:lpwstr>7;#Central Europe|b1cfca3a-f357-40e6-98ad-6479002c6777</vt:lpwstr>
  </property>
  <property fmtid="{D5CDD505-2E9C-101B-9397-08002B2CF9AE}" pid="6" name="AN-BusinessAreaCode">
    <vt:lpwstr>17;#OC|f1b01b99-3585-40ee-98a3-9a7d88f753be</vt:lpwstr>
  </property>
  <property fmtid="{D5CDD505-2E9C-101B-9397-08002B2CF9AE}" pid="7" name="AN-Keywords">
    <vt:lpwstr/>
  </property>
  <property fmtid="{D5CDD505-2E9C-101B-9397-08002B2CF9AE}" pid="8" name="AN-BusinessUnitCode">
    <vt:lpwstr>19;#HQ|2f27ac55-718c-479f-ae64-2ca809d97290</vt:lpwstr>
  </property>
  <property fmtid="{D5CDD505-2E9C-101B-9397-08002B2CF9AE}" pid="9" name="AN-CountryName">
    <vt:lpwstr>22;#Netherlands|ed1c09d8-4a4e-45fe-97d5-146264f42403</vt:lpwstr>
  </property>
  <property fmtid="{D5CDD505-2E9C-101B-9397-08002B2CF9AE}" pid="10" name="AN-SecurityClass">
    <vt:lpwstr>45;#Restricted|bbd8224c-5f2c-46d6-b6c8-7d3985b69fd1</vt:lpwstr>
  </property>
  <property fmtid="{D5CDD505-2E9C-101B-9397-08002B2CF9AE}" pid="11" name="AN-BusinessAreaName">
    <vt:lpwstr>18;#Other|28e9acb3-fbbc-4d9d-bba8-2ba86c5016d2</vt:lpwstr>
  </property>
  <property fmtid="{D5CDD505-2E9C-101B-9397-08002B2CF9AE}" pid="12" name="AN-BusinessUnitName">
    <vt:lpwstr>30;#Corporate Communications and Public Affairs|071986f4-f637-475f-bc64-438ab2e3d18e</vt:lpwstr>
  </property>
  <property fmtid="{D5CDD505-2E9C-101B-9397-08002B2CF9AE}" pid="13" name="AN-SiteCode">
    <vt:lpwstr>32;#AMB|6f36cb94-d9a9-4ac0-9976-6e8a8e42450f</vt:lpwstr>
  </property>
  <property fmtid="{D5CDD505-2E9C-101B-9397-08002B2CF9AE}" pid="14" name="AN-SiteName">
    <vt:lpwstr>28;#Amsterdam|7372b14a-68dc-431b-9ebc-dc4e8e27c37f</vt:lpwstr>
  </property>
  <property fmtid="{D5CDD505-2E9C-101B-9397-08002B2CF9AE}" pid="15" name="AN-TopicArea">
    <vt:lpwstr>25;#Communication|679be991-455d-4b1e-9b5a-ea1100e23e6c</vt:lpwstr>
  </property>
  <property fmtid="{D5CDD505-2E9C-101B-9397-08002B2CF9AE}" pid="16" name="AN-RegionCode">
    <vt:lpwstr>37;#GLOBAL|47f36c45-72ab-45e3-85c3-75f6b6e5b871</vt:lpwstr>
  </property>
  <property fmtid="{D5CDD505-2E9C-101B-9397-08002B2CF9AE}" pid="17" name="ad2168abc306415a91d71ea6c7fad86b">
    <vt:lpwstr/>
  </property>
  <property fmtid="{D5CDD505-2E9C-101B-9397-08002B2CF9AE}" pid="18" name="AN-RegionName">
    <vt:lpwstr>38;#Global|addd0586-e911-426d-9fd2-c973c246c0de</vt:lpwstr>
  </property>
  <property fmtid="{D5CDD505-2E9C-101B-9397-08002B2CF9AE}" pid="19" name="_dlc_DocIdItemGuid">
    <vt:lpwstr>7f1540a1-a74e-4028-ac51-52542ed1e072</vt:lpwstr>
  </property>
</Properties>
</file>