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74" w:rsidRDefault="000A7E74" w:rsidP="000061D9">
      <w:pPr>
        <w:pStyle w:val="PressInformation"/>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3.75pt;height:31.5pt;visibility:visible">
            <v:imagedata r:id="rId7" o:title=""/>
          </v:shape>
        </w:pict>
      </w:r>
    </w:p>
    <w:p w:rsidR="000A7E74" w:rsidRDefault="000A7E74" w:rsidP="000061D9">
      <w:pPr>
        <w:pStyle w:val="PressInformation"/>
        <w:rPr>
          <w:lang w:val="en-US"/>
        </w:rPr>
      </w:pPr>
    </w:p>
    <w:p w:rsidR="000A7E74" w:rsidRPr="004C10F1" w:rsidRDefault="000A7E74" w:rsidP="00B05B16">
      <w:pPr>
        <w:ind w:left="4680" w:right="-540"/>
        <w:rPr>
          <w:rFonts w:ascii="Arial" w:hAnsi="Arial" w:cs="Arial"/>
          <w:sz w:val="22"/>
          <w:szCs w:val="22"/>
          <w:u w:val="single"/>
          <w:lang w:val="sv-SE"/>
        </w:rPr>
      </w:pPr>
      <w:r w:rsidRPr="004C10F1">
        <w:rPr>
          <w:rFonts w:ascii="Arial" w:hAnsi="Arial" w:cs="Arial"/>
          <w:sz w:val="20"/>
          <w:szCs w:val="20"/>
          <w:u w:val="single"/>
          <w:lang w:val="sv-SE"/>
        </w:rPr>
        <w:t>Kontakt:</w:t>
      </w:r>
    </w:p>
    <w:p w:rsidR="000A7E74" w:rsidRPr="00C93027" w:rsidRDefault="000A7E74" w:rsidP="00B05B16">
      <w:pPr>
        <w:ind w:left="4680" w:right="-540"/>
        <w:rPr>
          <w:rFonts w:ascii="Arial" w:hAnsi="Arial" w:cs="Arial"/>
          <w:sz w:val="20"/>
          <w:szCs w:val="20"/>
          <w:lang w:val="sv-SE"/>
        </w:rPr>
      </w:pPr>
      <w:r w:rsidRPr="00C93027">
        <w:rPr>
          <w:rFonts w:ascii="Arial" w:hAnsi="Arial" w:cs="Arial"/>
          <w:sz w:val="20"/>
          <w:szCs w:val="20"/>
          <w:lang w:val="sv-SE"/>
        </w:rPr>
        <w:t>Linda Brandelius</w:t>
      </w:r>
    </w:p>
    <w:p w:rsidR="000A7E74" w:rsidRPr="00C93027" w:rsidRDefault="000A7E74" w:rsidP="00B05B16">
      <w:pPr>
        <w:ind w:left="4680" w:right="-540"/>
        <w:rPr>
          <w:rFonts w:ascii="Arial" w:hAnsi="Arial" w:cs="Arial"/>
          <w:sz w:val="20"/>
          <w:szCs w:val="20"/>
          <w:lang w:val="sv-SE"/>
        </w:rPr>
      </w:pPr>
      <w:r w:rsidRPr="00C93027">
        <w:rPr>
          <w:rFonts w:ascii="Arial" w:hAnsi="Arial" w:cs="Arial"/>
          <w:sz w:val="20"/>
          <w:szCs w:val="20"/>
          <w:lang w:val="sv-SE"/>
        </w:rPr>
        <w:t>Tel: 070-3990757</w:t>
      </w:r>
    </w:p>
    <w:p w:rsidR="000A7E74" w:rsidRPr="00C93027" w:rsidRDefault="000A7E74" w:rsidP="00B05B16">
      <w:pPr>
        <w:ind w:left="4680" w:right="-540"/>
        <w:rPr>
          <w:rFonts w:ascii="Arial" w:hAnsi="Arial" w:cs="Arial"/>
          <w:sz w:val="20"/>
          <w:szCs w:val="20"/>
          <w:lang w:val="sv-SE"/>
        </w:rPr>
      </w:pPr>
      <w:r w:rsidRPr="00C93027">
        <w:rPr>
          <w:rFonts w:ascii="Arial" w:hAnsi="Arial" w:cs="Arial"/>
          <w:sz w:val="20"/>
          <w:szCs w:val="20"/>
          <w:lang w:val="sv-SE"/>
        </w:rPr>
        <w:t xml:space="preserve">E-mail: </w:t>
      </w:r>
      <w:hyperlink r:id="rId8" w:history="1">
        <w:r w:rsidRPr="00C93027">
          <w:rPr>
            <w:rStyle w:val="Hyperlink"/>
            <w:rFonts w:ascii="Arial" w:hAnsi="Arial" w:cs="Arial"/>
            <w:sz w:val="20"/>
            <w:szCs w:val="20"/>
            <w:lang w:val="sv-SE"/>
          </w:rPr>
          <w:t>Linda_brandelius@goodyear.com</w:t>
        </w:r>
      </w:hyperlink>
    </w:p>
    <w:p w:rsidR="000A7E74" w:rsidRPr="00C93027" w:rsidRDefault="000A7E74" w:rsidP="00B05B16">
      <w:pPr>
        <w:ind w:left="4680" w:right="-540"/>
        <w:rPr>
          <w:rFonts w:ascii="Arial" w:hAnsi="Arial" w:cs="Arial"/>
          <w:sz w:val="20"/>
          <w:szCs w:val="20"/>
          <w:lang w:val="sv-SE" w:eastAsia="en-GB"/>
        </w:rPr>
      </w:pPr>
    </w:p>
    <w:p w:rsidR="000A7E74" w:rsidRPr="004C10F1" w:rsidRDefault="000A7E74" w:rsidP="00840B3F">
      <w:pPr>
        <w:rPr>
          <w:rFonts w:ascii="Arial" w:hAnsi="Arial" w:cs="Arial"/>
          <w:b/>
          <w:sz w:val="32"/>
          <w:lang w:val="sv-SE"/>
        </w:rPr>
      </w:pPr>
      <w:r w:rsidRPr="004C10F1">
        <w:rPr>
          <w:rFonts w:ascii="Arial" w:hAnsi="Arial" w:cs="Arial"/>
          <w:b/>
          <w:sz w:val="32"/>
          <w:lang w:val="sv-SE"/>
        </w:rPr>
        <w:t>Pressinformation</w:t>
      </w:r>
    </w:p>
    <w:p w:rsidR="000A7E74" w:rsidRPr="004C10F1" w:rsidRDefault="000A7E74" w:rsidP="00840B3F">
      <w:pPr>
        <w:pStyle w:val="Title"/>
        <w:spacing w:line="360" w:lineRule="auto"/>
        <w:rPr>
          <w:sz w:val="10"/>
          <w:szCs w:val="10"/>
          <w:lang w:val="sv-SE"/>
        </w:rPr>
      </w:pPr>
    </w:p>
    <w:p w:rsidR="000A7E74" w:rsidRPr="004C10F1" w:rsidRDefault="000A7E74" w:rsidP="008B5A6B">
      <w:pPr>
        <w:pStyle w:val="Title"/>
        <w:spacing w:line="360" w:lineRule="auto"/>
        <w:rPr>
          <w:sz w:val="28"/>
          <w:lang w:val="sv-SE"/>
        </w:rPr>
      </w:pPr>
      <w:bookmarkStart w:id="0" w:name="OLE_LINK39"/>
      <w:r w:rsidRPr="004C10F1">
        <w:rPr>
          <w:sz w:val="28"/>
          <w:lang w:val="sv-SE"/>
        </w:rPr>
        <w:t>Goodyear utökar Omnitrac-s</w:t>
      </w:r>
      <w:r>
        <w:rPr>
          <w:sz w:val="28"/>
          <w:lang w:val="sv-SE"/>
        </w:rPr>
        <w:t>ortimentet</w:t>
      </w:r>
      <w:r w:rsidRPr="004C10F1">
        <w:rPr>
          <w:sz w:val="28"/>
          <w:lang w:val="sv-SE"/>
        </w:rPr>
        <w:t xml:space="preserve"> för blandad körning </w:t>
      </w:r>
    </w:p>
    <w:p w:rsidR="000A7E74" w:rsidRPr="004C10F1" w:rsidRDefault="000A7E74" w:rsidP="008B5A6B">
      <w:pPr>
        <w:tabs>
          <w:tab w:val="left" w:pos="7560"/>
          <w:tab w:val="left" w:pos="9000"/>
        </w:tabs>
        <w:spacing w:after="120" w:line="360" w:lineRule="auto"/>
        <w:jc w:val="both"/>
        <w:rPr>
          <w:rFonts w:ascii="Arial" w:hAnsi="Arial" w:cs="Arial"/>
          <w:sz w:val="22"/>
          <w:szCs w:val="22"/>
          <w:lang w:val="sv-SE"/>
        </w:rPr>
      </w:pPr>
      <w:r>
        <w:rPr>
          <w:noProof/>
          <w:lang w:val="en-US"/>
        </w:rPr>
        <w:pict>
          <v:shape id="Picture 1" o:spid="_x0000_s1026" type="#_x0000_t75" style="position:absolute;left:0;text-align:left;margin-left:323.25pt;margin-top:2.1pt;width:125.2pt;height:196.95pt;z-index:251658240;visibility:visible">
            <v:imagedata r:id="rId9" o:title=""/>
            <w10:wrap type="square"/>
          </v:shape>
        </w:pict>
      </w:r>
      <w:r w:rsidRPr="00C93027">
        <w:rPr>
          <w:rFonts w:ascii="Arial" w:hAnsi="Arial"/>
          <w:b/>
          <w:bCs/>
          <w:noProof/>
          <w:sz w:val="22"/>
          <w:lang w:val="sv-SE" w:eastAsia="ja-JP"/>
        </w:rPr>
        <w:t>Stockholm 13 december</w:t>
      </w:r>
      <w:r w:rsidRPr="00C93027">
        <w:rPr>
          <w:noProof/>
          <w:lang w:val="sv-SE" w:eastAsia="ja-JP"/>
        </w:rPr>
        <w:t xml:space="preserve"> </w:t>
      </w:r>
      <w:r w:rsidRPr="004C10F1">
        <w:rPr>
          <w:rFonts w:ascii="Arial" w:hAnsi="Arial" w:cs="Arial"/>
          <w:b/>
          <w:sz w:val="22"/>
          <w:szCs w:val="22"/>
          <w:lang w:val="sv-SE"/>
        </w:rPr>
        <w:t xml:space="preserve"> 2011</w:t>
      </w:r>
      <w:r w:rsidRPr="004C10F1">
        <w:rPr>
          <w:rFonts w:ascii="Arial" w:hAnsi="Arial" w:cs="Arial"/>
          <w:sz w:val="22"/>
          <w:szCs w:val="22"/>
          <w:lang w:val="sv-SE"/>
        </w:rPr>
        <w:t xml:space="preserve"> – Goodyear lanserar 14 nya däck i sina serier </w:t>
      </w:r>
      <w:r w:rsidRPr="004C10F1">
        <w:rPr>
          <w:rFonts w:ascii="Arial" w:hAnsi="Arial" w:cs="Arial"/>
          <w:i/>
          <w:sz w:val="22"/>
          <w:szCs w:val="22"/>
          <w:lang w:val="sv-SE"/>
        </w:rPr>
        <w:t>Goodyear Omnitrac MSS II</w:t>
      </w:r>
      <w:r w:rsidRPr="004C10F1">
        <w:rPr>
          <w:rFonts w:ascii="Arial" w:hAnsi="Arial" w:cs="Arial"/>
          <w:sz w:val="22"/>
          <w:szCs w:val="22"/>
          <w:lang w:val="sv-SE"/>
        </w:rPr>
        <w:t xml:space="preserve"> och </w:t>
      </w:r>
      <w:r w:rsidRPr="004C10F1">
        <w:rPr>
          <w:rFonts w:ascii="Arial" w:hAnsi="Arial" w:cs="Arial"/>
          <w:i/>
          <w:sz w:val="22"/>
          <w:szCs w:val="22"/>
          <w:lang w:val="sv-SE"/>
        </w:rPr>
        <w:t>MSD II</w:t>
      </w:r>
      <w:r w:rsidRPr="004C10F1">
        <w:rPr>
          <w:rFonts w:ascii="Arial" w:hAnsi="Arial" w:cs="Arial"/>
          <w:sz w:val="22"/>
          <w:szCs w:val="22"/>
          <w:lang w:val="sv-SE"/>
        </w:rPr>
        <w:t xml:space="preserve"> med lastbilsdäck för blandad körning.  Serierna används vanligen för fordon som körs både onroad och offroad, exempelvis på byggplatser, soptippar och stenbrott. De omfattar nu alla huvudstorlekar och har versioner med Duraseal-tekn</w:t>
      </w:r>
      <w:r>
        <w:rPr>
          <w:rFonts w:ascii="Arial" w:hAnsi="Arial" w:cs="Arial"/>
          <w:sz w:val="22"/>
          <w:szCs w:val="22"/>
          <w:lang w:val="sv-SE"/>
        </w:rPr>
        <w:t xml:space="preserve">ologi </w:t>
      </w:r>
      <w:r w:rsidRPr="004C10F1">
        <w:rPr>
          <w:rFonts w:ascii="Arial" w:hAnsi="Arial" w:cs="Arial"/>
          <w:sz w:val="22"/>
          <w:szCs w:val="22"/>
          <w:lang w:val="sv-SE"/>
        </w:rPr>
        <w:t xml:space="preserve">som förhindrar luftläckage vid punktering.  </w:t>
      </w:r>
    </w:p>
    <w:p w:rsidR="000A7E74" w:rsidRPr="004C10F1" w:rsidRDefault="000A7E74" w:rsidP="00D37EB9">
      <w:pPr>
        <w:tabs>
          <w:tab w:val="left" w:pos="7560"/>
          <w:tab w:val="left" w:pos="9000"/>
        </w:tabs>
        <w:spacing w:after="120" w:line="360" w:lineRule="auto"/>
        <w:jc w:val="both"/>
        <w:rPr>
          <w:rFonts w:ascii="Arial" w:hAnsi="Arial" w:cs="Arial"/>
          <w:sz w:val="22"/>
          <w:szCs w:val="22"/>
          <w:lang w:val="sv-SE"/>
        </w:rPr>
      </w:pPr>
      <w:r>
        <w:rPr>
          <w:noProof/>
          <w:lang w:val="en-US"/>
        </w:rPr>
        <w:pict>
          <v:shape id="Picture 3" o:spid="_x0000_s1027" type="#_x0000_t75" style="position:absolute;left:0;text-align:left;margin-left:0;margin-top:116.1pt;width:129.75pt;height:206.1pt;z-index:251659264;visibility:visible">
            <v:imagedata r:id="rId10" o:title=""/>
            <w10:wrap type="square"/>
          </v:shape>
        </w:pict>
      </w:r>
      <w:r w:rsidRPr="004C10F1">
        <w:rPr>
          <w:rFonts w:ascii="Arial" w:hAnsi="Arial" w:cs="Arial"/>
          <w:sz w:val="22"/>
          <w:szCs w:val="22"/>
          <w:lang w:val="sv-SE"/>
        </w:rPr>
        <w:t xml:space="preserve">Goodyears </w:t>
      </w:r>
      <w:r w:rsidRPr="004C10F1">
        <w:rPr>
          <w:rFonts w:ascii="Arial" w:hAnsi="Arial" w:cs="Arial"/>
          <w:i/>
          <w:sz w:val="22"/>
          <w:szCs w:val="22"/>
          <w:lang w:val="sv-SE"/>
        </w:rPr>
        <w:t xml:space="preserve">Omnitrac MSS II </w:t>
      </w:r>
      <w:r w:rsidRPr="004C10F1">
        <w:rPr>
          <w:rFonts w:ascii="Arial" w:hAnsi="Arial" w:cs="Arial"/>
          <w:sz w:val="22"/>
          <w:szCs w:val="22"/>
          <w:lang w:val="sv-SE"/>
        </w:rPr>
        <w:t xml:space="preserve">är </w:t>
      </w:r>
      <w:r w:rsidRPr="004C10F1">
        <w:rPr>
          <w:rFonts w:ascii="Arial" w:hAnsi="Arial" w:cs="Arial"/>
          <w:i/>
          <w:sz w:val="22"/>
          <w:szCs w:val="22"/>
          <w:lang w:val="sv-SE"/>
        </w:rPr>
        <w:t>MSD II</w:t>
      </w:r>
      <w:r w:rsidRPr="004C10F1">
        <w:rPr>
          <w:rFonts w:ascii="Arial" w:hAnsi="Arial" w:cs="Arial"/>
          <w:sz w:val="22"/>
          <w:szCs w:val="22"/>
          <w:lang w:val="sv-SE"/>
        </w:rPr>
        <w:t xml:space="preserve"> är styraxel- respektive drivaxeldäck, varav båda har Omnitrac Max Technology som kombinerar senaste material och </w:t>
      </w:r>
      <w:r>
        <w:rPr>
          <w:rFonts w:ascii="Arial" w:hAnsi="Arial" w:cs="Arial"/>
          <w:sz w:val="22"/>
          <w:szCs w:val="22"/>
          <w:lang w:val="sv-SE"/>
        </w:rPr>
        <w:t>mönster</w:t>
      </w:r>
      <w:r w:rsidRPr="004C10F1">
        <w:rPr>
          <w:rFonts w:ascii="Arial" w:hAnsi="Arial" w:cs="Arial"/>
          <w:sz w:val="22"/>
          <w:szCs w:val="22"/>
          <w:lang w:val="sv-SE"/>
        </w:rPr>
        <w:t>design, inklusive skadetåliga slitbaneblandningar, robusta stomkonstruktioner och optimerade slitbanemönster.  Det ger utmärkt körsträcka både onroad och offroad såväl som utmärkta väghållningsegenskaper jämfört med föregångarna</w:t>
      </w:r>
      <w:r>
        <w:rPr>
          <w:rStyle w:val="FootnoteReference"/>
          <w:rFonts w:ascii="Arial" w:hAnsi="Arial"/>
          <w:sz w:val="22"/>
          <w:szCs w:val="22"/>
          <w:lang w:val="en-US"/>
        </w:rPr>
        <w:footnoteReference w:id="1"/>
      </w:r>
      <w:r w:rsidRPr="004C10F1">
        <w:rPr>
          <w:rFonts w:ascii="Arial" w:hAnsi="Arial" w:cs="Arial"/>
          <w:sz w:val="22"/>
          <w:szCs w:val="22"/>
          <w:lang w:val="sv-SE"/>
        </w:rPr>
        <w:t>. Bland egenskaperna märks breda slitbanor för längre körsträcka, skydd mot stenskador, undanträngning av lera och god regummerbarhet för en effektivare fordonspark. Förbättringarna av slitbanan ger även bättre bromsförmåga och minskar bullernivån. Skyddet mot skador är oumbärligt för däck som används under tuffa förhållanden, för att förhindra skärskador och punkteringar som annars kan göra stommarna odugliga för regummering.</w:t>
      </w:r>
    </w:p>
    <w:p w:rsidR="000A7E74" w:rsidRPr="004C10F1" w:rsidRDefault="000A7E74" w:rsidP="006B44B9">
      <w:pPr>
        <w:tabs>
          <w:tab w:val="left" w:pos="7560"/>
          <w:tab w:val="left" w:pos="9000"/>
        </w:tabs>
        <w:spacing w:after="120" w:line="360" w:lineRule="auto"/>
        <w:jc w:val="both"/>
        <w:rPr>
          <w:rFonts w:ascii="Arial" w:hAnsi="Arial" w:cs="Arial"/>
          <w:sz w:val="22"/>
          <w:szCs w:val="22"/>
          <w:lang w:val="sv-SE"/>
        </w:rPr>
      </w:pPr>
      <w:r w:rsidRPr="004C10F1">
        <w:rPr>
          <w:rFonts w:ascii="Arial" w:hAnsi="Arial" w:cs="Arial"/>
          <w:sz w:val="22"/>
          <w:szCs w:val="22"/>
          <w:lang w:val="sv-SE"/>
        </w:rPr>
        <w:t>Den nya optimerade stomkonstruktionen ger motstånd mot skador, bra hållbarhet och följaktligen utmärkt regummerbarhet.  Längre körsträcka, bättre motstånd mot skador, korrosionsresistens och ökad robusthet är resultatet av en slitbaneblandning som motstår skador och föråldring, en särskild blandning i mellanbältet, specialutformade slitbanemönster och stommaterial med extra hög hållfasthet.  Det innebär större tillförlitlighet, mindre stilleståndstid och bättre ekonomi</w:t>
      </w:r>
      <w:r>
        <w:rPr>
          <w:rFonts w:ascii="Arial" w:hAnsi="Arial" w:cs="Arial"/>
          <w:sz w:val="22"/>
          <w:szCs w:val="22"/>
          <w:lang w:val="sv-SE"/>
        </w:rPr>
        <w:t xml:space="preserve"> för åkerierna</w:t>
      </w:r>
      <w:r w:rsidRPr="004C10F1">
        <w:rPr>
          <w:rFonts w:ascii="Arial" w:hAnsi="Arial" w:cs="Arial"/>
          <w:sz w:val="22"/>
          <w:szCs w:val="22"/>
          <w:lang w:val="sv-SE"/>
        </w:rPr>
        <w:t>.</w:t>
      </w:r>
    </w:p>
    <w:p w:rsidR="000A7E74" w:rsidRPr="004C10F1" w:rsidRDefault="000A7E74" w:rsidP="0075315D">
      <w:pPr>
        <w:tabs>
          <w:tab w:val="left" w:pos="7560"/>
          <w:tab w:val="left" w:pos="9000"/>
        </w:tabs>
        <w:jc w:val="both"/>
        <w:rPr>
          <w:rFonts w:ascii="Arial" w:hAnsi="Arial" w:cs="Arial"/>
          <w:b/>
          <w:sz w:val="22"/>
          <w:szCs w:val="22"/>
          <w:lang w:val="sv-SE"/>
        </w:rPr>
      </w:pPr>
    </w:p>
    <w:p w:rsidR="000A7E74" w:rsidRPr="004C10F1" w:rsidRDefault="000A7E74" w:rsidP="0075315D">
      <w:pPr>
        <w:tabs>
          <w:tab w:val="left" w:pos="7560"/>
          <w:tab w:val="left" w:pos="9000"/>
        </w:tabs>
        <w:jc w:val="both"/>
        <w:rPr>
          <w:rFonts w:ascii="Arial" w:hAnsi="Arial" w:cs="Arial"/>
          <w:b/>
          <w:sz w:val="22"/>
          <w:szCs w:val="22"/>
          <w:lang w:val="sv-SE"/>
        </w:rPr>
      </w:pPr>
      <w:bookmarkStart w:id="1" w:name="_GoBack"/>
      <w:bookmarkEnd w:id="1"/>
      <w:r w:rsidRPr="004C10F1">
        <w:rPr>
          <w:rFonts w:ascii="Arial" w:hAnsi="Arial" w:cs="Arial"/>
          <w:b/>
          <w:sz w:val="22"/>
          <w:szCs w:val="22"/>
          <w:lang w:val="sv-SE"/>
        </w:rPr>
        <w:t>DURASEAL-TEKN</w:t>
      </w:r>
      <w:r>
        <w:rPr>
          <w:rFonts w:ascii="Arial" w:hAnsi="Arial" w:cs="Arial"/>
          <w:b/>
          <w:sz w:val="22"/>
          <w:szCs w:val="22"/>
          <w:lang w:val="sv-SE"/>
        </w:rPr>
        <w:t>OLOGI</w:t>
      </w:r>
    </w:p>
    <w:p w:rsidR="000A7E74" w:rsidRPr="004C10F1" w:rsidRDefault="000A7E74" w:rsidP="00A66374">
      <w:pPr>
        <w:spacing w:after="120" w:line="360" w:lineRule="auto"/>
        <w:ind w:right="57"/>
        <w:jc w:val="both"/>
        <w:rPr>
          <w:rFonts w:ascii="Arial" w:hAnsi="Arial" w:cs="Arial"/>
          <w:sz w:val="22"/>
          <w:szCs w:val="22"/>
          <w:lang w:val="sv-SE"/>
        </w:rPr>
      </w:pPr>
      <w:r w:rsidRPr="004C10F1">
        <w:rPr>
          <w:rFonts w:ascii="Arial" w:hAnsi="Arial" w:cs="Arial"/>
          <w:sz w:val="22"/>
          <w:szCs w:val="22"/>
          <w:lang w:val="sv-SE"/>
        </w:rPr>
        <w:t>Goodyears unika, patenterade och innovativa Duraseal-tekn</w:t>
      </w:r>
      <w:r>
        <w:rPr>
          <w:rFonts w:ascii="Arial" w:hAnsi="Arial" w:cs="Arial"/>
          <w:sz w:val="22"/>
          <w:szCs w:val="22"/>
          <w:lang w:val="sv-SE"/>
        </w:rPr>
        <w:t>ologi</w:t>
      </w:r>
      <w:r w:rsidRPr="004C10F1">
        <w:rPr>
          <w:rFonts w:ascii="Arial" w:hAnsi="Arial" w:cs="Arial"/>
          <w:sz w:val="22"/>
          <w:szCs w:val="22"/>
          <w:lang w:val="sv-SE"/>
        </w:rPr>
        <w:t xml:space="preserve"> finns i vissa </w:t>
      </w:r>
      <w:r w:rsidRPr="004C10F1">
        <w:rPr>
          <w:rFonts w:ascii="Arial" w:hAnsi="Arial" w:cs="Arial"/>
          <w:i/>
          <w:sz w:val="22"/>
          <w:szCs w:val="22"/>
          <w:lang w:val="sv-SE"/>
        </w:rPr>
        <w:t>Omnitrac MSS II</w:t>
      </w:r>
      <w:r w:rsidRPr="004C10F1">
        <w:rPr>
          <w:rFonts w:ascii="Arial" w:hAnsi="Arial" w:cs="Arial"/>
          <w:sz w:val="22"/>
          <w:szCs w:val="22"/>
          <w:lang w:val="sv-SE"/>
        </w:rPr>
        <w:t xml:space="preserve">- och </w:t>
      </w:r>
      <w:r w:rsidRPr="004C10F1">
        <w:rPr>
          <w:rFonts w:ascii="Arial" w:hAnsi="Arial" w:cs="Arial"/>
          <w:i/>
          <w:sz w:val="22"/>
          <w:szCs w:val="22"/>
          <w:lang w:val="sv-SE"/>
        </w:rPr>
        <w:t>MSD II</w:t>
      </w:r>
      <w:r w:rsidRPr="004C10F1">
        <w:rPr>
          <w:rFonts w:ascii="Arial" w:hAnsi="Arial" w:cs="Arial"/>
          <w:sz w:val="22"/>
          <w:szCs w:val="22"/>
          <w:lang w:val="sv-SE"/>
        </w:rPr>
        <w:t xml:space="preserve">-däck. Om ett föremål med en diameter på upp till 6 mm tränger igenom slitbanan förhindrar Duraseals inbyggda tätningslager i slitbanepaketet att luft strömmar ut, även när föremålet avlägsnas. Det innebär att lastbilar kan fortsätta köra även om föremål har trängt igenom slitbanan och du slipper kostsam stilleståndstid. Med </w:t>
      </w:r>
      <w:r>
        <w:rPr>
          <w:rFonts w:ascii="Arial" w:hAnsi="Arial" w:cs="Arial"/>
          <w:sz w:val="22"/>
          <w:szCs w:val="22"/>
          <w:lang w:val="sv-SE"/>
        </w:rPr>
        <w:t xml:space="preserve">denna </w:t>
      </w:r>
      <w:r w:rsidRPr="004C10F1">
        <w:rPr>
          <w:rFonts w:ascii="Arial" w:hAnsi="Arial" w:cs="Arial"/>
          <w:sz w:val="22"/>
          <w:szCs w:val="22"/>
          <w:lang w:val="sv-SE"/>
        </w:rPr>
        <w:t>tekn</w:t>
      </w:r>
      <w:r>
        <w:rPr>
          <w:rFonts w:ascii="Arial" w:hAnsi="Arial" w:cs="Arial"/>
          <w:sz w:val="22"/>
          <w:szCs w:val="22"/>
          <w:lang w:val="sv-SE"/>
        </w:rPr>
        <w:t>ologi</w:t>
      </w:r>
      <w:r w:rsidRPr="004C10F1">
        <w:rPr>
          <w:rFonts w:ascii="Arial" w:hAnsi="Arial" w:cs="Arial"/>
          <w:sz w:val="22"/>
          <w:szCs w:val="22"/>
          <w:lang w:val="sv-SE"/>
        </w:rPr>
        <w:t xml:space="preserve"> undviks även körning med för lågt lufttryck, vilket är en av de främsta orsakerna till att däck slits ut i förtid. </w:t>
      </w:r>
    </w:p>
    <w:p w:rsidR="000A7E74" w:rsidRPr="004C10F1" w:rsidRDefault="000A7E74" w:rsidP="006B44B9">
      <w:pPr>
        <w:rPr>
          <w:rFonts w:ascii="Arial" w:hAnsi="Arial" w:cs="Arial"/>
          <w:b/>
          <w:sz w:val="22"/>
          <w:szCs w:val="22"/>
          <w:lang w:val="sv-SE"/>
        </w:rPr>
      </w:pPr>
      <w:r w:rsidRPr="004C10F1">
        <w:rPr>
          <w:rFonts w:ascii="Arial" w:hAnsi="Arial" w:cs="Arial"/>
          <w:b/>
          <w:sz w:val="22"/>
          <w:szCs w:val="22"/>
          <w:lang w:val="sv-SE"/>
        </w:rPr>
        <w:t>OMNITRAC MSS II</w:t>
      </w:r>
    </w:p>
    <w:p w:rsidR="000A7E74" w:rsidRPr="004C10F1" w:rsidRDefault="000A7E74" w:rsidP="006B44B9">
      <w:pPr>
        <w:tabs>
          <w:tab w:val="left" w:pos="7560"/>
          <w:tab w:val="left" w:pos="9000"/>
        </w:tabs>
        <w:spacing w:after="120" w:line="360" w:lineRule="auto"/>
        <w:jc w:val="both"/>
        <w:rPr>
          <w:rFonts w:ascii="Arial" w:hAnsi="Arial" w:cs="Arial"/>
          <w:sz w:val="22"/>
          <w:szCs w:val="22"/>
          <w:lang w:val="sv-SE"/>
        </w:rPr>
      </w:pPr>
      <w:r w:rsidRPr="004C10F1">
        <w:rPr>
          <w:rFonts w:ascii="Arial" w:hAnsi="Arial" w:cs="Arial"/>
          <w:sz w:val="22"/>
          <w:szCs w:val="22"/>
          <w:lang w:val="sv-SE"/>
        </w:rPr>
        <w:t xml:space="preserve">Goodyears </w:t>
      </w:r>
      <w:r w:rsidRPr="004C10F1">
        <w:rPr>
          <w:rFonts w:ascii="Arial" w:hAnsi="Arial" w:cs="Arial"/>
          <w:i/>
          <w:sz w:val="22"/>
          <w:szCs w:val="22"/>
          <w:lang w:val="sv-SE"/>
        </w:rPr>
        <w:t>Omnitrac MSS II</w:t>
      </w:r>
      <w:r w:rsidRPr="004C10F1">
        <w:rPr>
          <w:rFonts w:ascii="Arial" w:hAnsi="Arial" w:cs="Arial"/>
          <w:sz w:val="22"/>
          <w:szCs w:val="22"/>
          <w:lang w:val="sv-SE"/>
        </w:rPr>
        <w:t>-styrdäck har en bred slitbana med slalomformade mittlinjespår och solida skulderribbor. Skyddet mot stenskador tillsammans med en dubbel spårvinkel ger bättre motstånd mot steninträngning och bättre självrengörande egenskaper.  Det innebär längre körsträcka, bättre bromsförmåga onroad/offroad och bättre motstånd mot skador. Slitbanemönstret, som har fyra eller fem ribbor beroende på storlek, har en specifik mönsterblocksstorlek som minskar vägbullret.  Omnitrac MSS II uppfyller även kraven i EG-förordning 661 om buller och rullmotstånd (som träder i kraft 2012).</w:t>
      </w:r>
    </w:p>
    <w:p w:rsidR="000A7E74" w:rsidRPr="004C10F1" w:rsidRDefault="000A7E74" w:rsidP="006B44B9">
      <w:pPr>
        <w:rPr>
          <w:rFonts w:ascii="Arial" w:hAnsi="Arial" w:cs="Arial"/>
          <w:b/>
          <w:sz w:val="22"/>
          <w:szCs w:val="22"/>
          <w:lang w:val="sv-SE"/>
        </w:rPr>
      </w:pPr>
      <w:r w:rsidRPr="004C10F1">
        <w:rPr>
          <w:rFonts w:ascii="Arial" w:hAnsi="Arial" w:cs="Arial"/>
          <w:b/>
          <w:sz w:val="22"/>
          <w:szCs w:val="22"/>
          <w:lang w:val="sv-SE"/>
        </w:rPr>
        <w:t>OMNITRAC MSD II</w:t>
      </w:r>
    </w:p>
    <w:p w:rsidR="000A7E74" w:rsidRPr="004C10F1" w:rsidRDefault="000A7E74" w:rsidP="006B44B9">
      <w:pPr>
        <w:tabs>
          <w:tab w:val="left" w:pos="7560"/>
          <w:tab w:val="left" w:pos="9000"/>
        </w:tabs>
        <w:spacing w:after="120" w:line="360" w:lineRule="auto"/>
        <w:jc w:val="both"/>
        <w:rPr>
          <w:rFonts w:ascii="Arial" w:hAnsi="Arial" w:cs="Arial"/>
          <w:sz w:val="22"/>
          <w:szCs w:val="22"/>
          <w:lang w:val="sv-SE"/>
        </w:rPr>
      </w:pPr>
      <w:r w:rsidRPr="004C10F1">
        <w:rPr>
          <w:rFonts w:ascii="Arial" w:hAnsi="Arial" w:cs="Arial"/>
          <w:sz w:val="22"/>
          <w:szCs w:val="22"/>
          <w:lang w:val="sv-SE"/>
        </w:rPr>
        <w:t xml:space="preserve">Tillsammans med det lägre rullmotstånd är körsträckan den främsta fördelen med Goodyear </w:t>
      </w:r>
      <w:r w:rsidRPr="004C10F1">
        <w:rPr>
          <w:rFonts w:ascii="Arial" w:hAnsi="Arial" w:cs="Arial"/>
          <w:i/>
          <w:sz w:val="22"/>
          <w:szCs w:val="22"/>
          <w:lang w:val="sv-SE"/>
        </w:rPr>
        <w:t>Omnitrac MSD II:s</w:t>
      </w:r>
      <w:r w:rsidRPr="004C10F1">
        <w:rPr>
          <w:rFonts w:ascii="Arial" w:hAnsi="Arial" w:cs="Arial"/>
          <w:sz w:val="22"/>
          <w:szCs w:val="22"/>
          <w:lang w:val="sv-SE"/>
        </w:rPr>
        <w:t xml:space="preserve"> konstruktion, vilket innebär lägre bränslekostnader och bullernivå. </w:t>
      </w:r>
      <w:r w:rsidRPr="004C10F1">
        <w:rPr>
          <w:rFonts w:ascii="Arial" w:hAnsi="Arial" w:cs="Arial"/>
          <w:i/>
          <w:sz w:val="22"/>
          <w:szCs w:val="22"/>
          <w:lang w:val="sv-SE"/>
        </w:rPr>
        <w:t>Omnitrac MSD II</w:t>
      </w:r>
      <w:r w:rsidRPr="004C10F1">
        <w:rPr>
          <w:rFonts w:ascii="Arial" w:hAnsi="Arial" w:cs="Arial"/>
          <w:sz w:val="22"/>
          <w:szCs w:val="22"/>
          <w:lang w:val="sv-SE"/>
        </w:rPr>
        <w:t xml:space="preserve"> uppfyller även kraven i EG-förordning 661 om buller och rullmotstånd (som träder i kraft 2012). </w:t>
      </w:r>
    </w:p>
    <w:p w:rsidR="000A7E74" w:rsidRPr="004C10F1" w:rsidRDefault="000A7E74" w:rsidP="006B44B9">
      <w:pPr>
        <w:tabs>
          <w:tab w:val="left" w:pos="7560"/>
          <w:tab w:val="left" w:pos="9000"/>
        </w:tabs>
        <w:spacing w:after="120" w:line="360" w:lineRule="auto"/>
        <w:jc w:val="both"/>
        <w:rPr>
          <w:rFonts w:ascii="Arial" w:hAnsi="Arial" w:cs="Arial"/>
          <w:sz w:val="22"/>
          <w:szCs w:val="22"/>
          <w:lang w:val="sv-SE"/>
        </w:rPr>
      </w:pPr>
      <w:r w:rsidRPr="004C10F1">
        <w:rPr>
          <w:rFonts w:ascii="Arial" w:hAnsi="Arial" w:cs="Arial"/>
          <w:sz w:val="22"/>
          <w:szCs w:val="22"/>
          <w:lang w:val="sv-SE"/>
        </w:rPr>
        <w:t xml:space="preserve">Goodyears </w:t>
      </w:r>
      <w:r w:rsidRPr="004C10F1">
        <w:rPr>
          <w:rFonts w:ascii="Arial" w:hAnsi="Arial" w:cs="Arial"/>
          <w:i/>
          <w:sz w:val="22"/>
          <w:szCs w:val="22"/>
          <w:lang w:val="sv-SE"/>
        </w:rPr>
        <w:t>Omnitrac MSD II</w:t>
      </w:r>
      <w:r w:rsidRPr="004C10F1">
        <w:rPr>
          <w:rFonts w:ascii="Arial" w:hAnsi="Arial" w:cs="Arial"/>
          <w:sz w:val="22"/>
          <w:szCs w:val="22"/>
          <w:lang w:val="sv-SE"/>
        </w:rPr>
        <w:t xml:space="preserve">-drivdäck har även en bred slitbana för längre körsträcka. Bland de övriga egenskaperna märks en massiv mittlinjeribba som motstår slitage, placerad mellan kontinuerligt öppna spår vinklade mot skuldrorna för bättre självrengöring. Greppet i lera stärks genom skulderblock med förskjuten kant. Som med </w:t>
      </w:r>
      <w:r w:rsidRPr="004C10F1">
        <w:rPr>
          <w:rFonts w:ascii="Arial" w:hAnsi="Arial" w:cs="Arial"/>
          <w:i/>
          <w:sz w:val="22"/>
          <w:szCs w:val="22"/>
          <w:lang w:val="sv-SE"/>
        </w:rPr>
        <w:t>Omnitrac MSS II</w:t>
      </w:r>
      <w:r w:rsidRPr="004C10F1">
        <w:rPr>
          <w:rFonts w:ascii="Arial" w:hAnsi="Arial" w:cs="Arial"/>
          <w:sz w:val="22"/>
          <w:szCs w:val="22"/>
          <w:lang w:val="sv-SE"/>
        </w:rPr>
        <w:t>, minskar den specifika mönsterblocksstorleken vägbullret.</w:t>
      </w:r>
    </w:p>
    <w:p w:rsidR="000A7E74" w:rsidRPr="004C10F1" w:rsidRDefault="000A7E74" w:rsidP="00C51132">
      <w:pPr>
        <w:tabs>
          <w:tab w:val="left" w:pos="7560"/>
          <w:tab w:val="left" w:pos="9000"/>
        </w:tabs>
        <w:jc w:val="both"/>
        <w:rPr>
          <w:rFonts w:ascii="Arial" w:hAnsi="Arial" w:cs="Arial"/>
          <w:b/>
          <w:sz w:val="22"/>
          <w:szCs w:val="22"/>
          <w:lang w:val="sv-SE"/>
        </w:rPr>
      </w:pPr>
      <w:r w:rsidRPr="004C10F1">
        <w:rPr>
          <w:rFonts w:ascii="Arial" w:hAnsi="Arial" w:cs="Arial"/>
          <w:b/>
          <w:sz w:val="22"/>
          <w:szCs w:val="22"/>
          <w:lang w:val="sv-SE"/>
        </w:rPr>
        <w:t>D</w:t>
      </w:r>
      <w:r>
        <w:rPr>
          <w:rFonts w:ascii="Arial" w:hAnsi="Arial" w:cs="Arial"/>
          <w:b/>
          <w:sz w:val="22"/>
          <w:szCs w:val="22"/>
          <w:lang w:val="sv-SE"/>
        </w:rPr>
        <w:t>Ä</w:t>
      </w:r>
      <w:r w:rsidRPr="004C10F1">
        <w:rPr>
          <w:rFonts w:ascii="Arial" w:hAnsi="Arial" w:cs="Arial"/>
          <w:b/>
          <w:sz w:val="22"/>
          <w:szCs w:val="22"/>
          <w:lang w:val="sv-SE"/>
        </w:rPr>
        <w:t>CKSTORLEK</w:t>
      </w:r>
    </w:p>
    <w:p w:rsidR="000A7E74" w:rsidRPr="004C10F1" w:rsidRDefault="000A7E74" w:rsidP="00A66374">
      <w:pPr>
        <w:spacing w:after="120" w:line="360" w:lineRule="auto"/>
        <w:ind w:right="57"/>
        <w:jc w:val="both"/>
        <w:rPr>
          <w:rFonts w:ascii="Arial" w:hAnsi="Arial" w:cs="Arial"/>
          <w:sz w:val="22"/>
          <w:szCs w:val="22"/>
          <w:lang w:val="sv-SE"/>
        </w:rPr>
      </w:pPr>
      <w:r w:rsidRPr="004C10F1">
        <w:rPr>
          <w:rFonts w:ascii="Arial" w:hAnsi="Arial" w:cs="Arial"/>
          <w:sz w:val="22"/>
          <w:szCs w:val="22"/>
          <w:lang w:val="sv-SE"/>
        </w:rPr>
        <w:t>För att göra sitt utbud av däck för blandad körning komplett har Goodyear lanserat en ny däckstorlek. 325/95R24 är slanglöst och den metriska motsvarigheten till 12.00R24.  De nya däcken ger en ökad lastkapacitet på 500 kg per axel jämfört med 12.00R24.</w:t>
      </w:r>
    </w:p>
    <w:p w:rsidR="000A7E74" w:rsidRPr="004C10F1" w:rsidRDefault="000A7E74" w:rsidP="005A4EBC">
      <w:pPr>
        <w:rPr>
          <w:rFonts w:ascii="Arial" w:hAnsi="Arial" w:cs="Arial"/>
          <w:color w:val="000000"/>
          <w:sz w:val="22"/>
          <w:szCs w:val="22"/>
          <w:lang w:val="sv-SE"/>
        </w:rPr>
      </w:pPr>
      <w:r w:rsidRPr="004C10F1">
        <w:rPr>
          <w:rFonts w:ascii="Arial" w:hAnsi="Arial" w:cs="Arial"/>
          <w:color w:val="000000"/>
          <w:sz w:val="22"/>
          <w:szCs w:val="22"/>
          <w:lang w:val="sv-SE"/>
        </w:rPr>
        <w:t>Nya storlekar:</w:t>
      </w:r>
    </w:p>
    <w:p w:rsidR="000A7E74" w:rsidRPr="004C10F1" w:rsidRDefault="000A7E74" w:rsidP="005A4EBC">
      <w:pPr>
        <w:rPr>
          <w:rFonts w:ascii="Arial" w:hAnsi="Arial" w:cs="Arial"/>
          <w:sz w:val="22"/>
          <w:szCs w:val="22"/>
          <w:lang w:val="sv-SE"/>
        </w:rPr>
      </w:pPr>
      <w:r w:rsidRPr="004C10F1">
        <w:rPr>
          <w:rFonts w:ascii="Arial" w:hAnsi="Arial" w:cs="Arial"/>
          <w:sz w:val="22"/>
          <w:szCs w:val="22"/>
          <w:lang w:val="sv-SE"/>
        </w:rPr>
        <w:t>12R22.5 MSS II  TL</w:t>
      </w:r>
      <w:r w:rsidRPr="004C10F1">
        <w:rPr>
          <w:lang w:val="sv-SE"/>
        </w:rPr>
        <w:br/>
      </w:r>
      <w:r w:rsidRPr="004C10F1">
        <w:rPr>
          <w:rFonts w:ascii="Arial" w:hAnsi="Arial" w:cs="Arial"/>
          <w:sz w:val="22"/>
          <w:szCs w:val="22"/>
          <w:lang w:val="sv-SE"/>
        </w:rPr>
        <w:t>12R22.5 MSD II  TL</w:t>
      </w:r>
      <w:r w:rsidRPr="004C10F1">
        <w:rPr>
          <w:lang w:val="sv-SE"/>
        </w:rPr>
        <w:br/>
      </w:r>
      <w:r w:rsidRPr="004C10F1">
        <w:rPr>
          <w:rFonts w:ascii="Arial" w:hAnsi="Arial" w:cs="Arial"/>
          <w:sz w:val="22"/>
          <w:szCs w:val="22"/>
          <w:lang w:val="sv-SE"/>
        </w:rPr>
        <w:t>12.00R20 MSS II  TT</w:t>
      </w:r>
      <w:r w:rsidRPr="004C10F1">
        <w:rPr>
          <w:lang w:val="sv-SE"/>
        </w:rPr>
        <w:br/>
      </w:r>
      <w:r w:rsidRPr="004C10F1">
        <w:rPr>
          <w:rFonts w:ascii="Arial" w:hAnsi="Arial" w:cs="Arial"/>
          <w:sz w:val="22"/>
          <w:szCs w:val="22"/>
          <w:lang w:val="sv-SE"/>
        </w:rPr>
        <w:t>12.00R20 MSD II  TT</w:t>
      </w:r>
      <w:r w:rsidRPr="004C10F1">
        <w:rPr>
          <w:lang w:val="sv-SE"/>
        </w:rPr>
        <w:br/>
      </w:r>
      <w:r w:rsidRPr="004C10F1">
        <w:rPr>
          <w:rFonts w:ascii="Arial" w:hAnsi="Arial" w:cs="Arial"/>
          <w:sz w:val="22"/>
          <w:szCs w:val="22"/>
          <w:lang w:val="sv-SE"/>
        </w:rPr>
        <w:t>275/70R22.5 MSS II  TL</w:t>
      </w:r>
      <w:r w:rsidRPr="004C10F1">
        <w:rPr>
          <w:lang w:val="sv-SE"/>
        </w:rPr>
        <w:br/>
      </w:r>
      <w:r w:rsidRPr="004C10F1">
        <w:rPr>
          <w:rFonts w:ascii="Arial" w:hAnsi="Arial" w:cs="Arial"/>
          <w:sz w:val="22"/>
          <w:szCs w:val="22"/>
          <w:lang w:val="sv-SE"/>
        </w:rPr>
        <w:t>265/70R19.5 MSS II  TL</w:t>
      </w:r>
      <w:r w:rsidRPr="004C10F1">
        <w:rPr>
          <w:lang w:val="sv-SE"/>
        </w:rPr>
        <w:br/>
      </w:r>
      <w:r w:rsidRPr="004C10F1">
        <w:rPr>
          <w:rFonts w:ascii="Arial" w:hAnsi="Arial" w:cs="Arial"/>
          <w:sz w:val="22"/>
          <w:szCs w:val="22"/>
          <w:lang w:val="sv-SE"/>
        </w:rPr>
        <w:t>12.00R24 MSS II  TT</w:t>
      </w:r>
      <w:r w:rsidRPr="004C10F1">
        <w:rPr>
          <w:lang w:val="sv-SE"/>
        </w:rPr>
        <w:br/>
      </w:r>
      <w:r w:rsidRPr="004C10F1">
        <w:rPr>
          <w:rFonts w:ascii="Arial" w:hAnsi="Arial" w:cs="Arial"/>
          <w:sz w:val="22"/>
          <w:szCs w:val="22"/>
          <w:lang w:val="sv-SE"/>
        </w:rPr>
        <w:t>12.00R24 MSD II  TT</w:t>
      </w:r>
      <w:r w:rsidRPr="004C10F1">
        <w:rPr>
          <w:lang w:val="sv-SE"/>
        </w:rPr>
        <w:br/>
      </w:r>
      <w:r w:rsidRPr="004C10F1">
        <w:rPr>
          <w:rFonts w:ascii="Arial" w:hAnsi="Arial" w:cs="Arial"/>
          <w:sz w:val="22"/>
          <w:szCs w:val="22"/>
          <w:lang w:val="sv-SE"/>
        </w:rPr>
        <w:t>325/95R24 MSS II  TL</w:t>
      </w:r>
      <w:r w:rsidRPr="004C10F1">
        <w:rPr>
          <w:lang w:val="sv-SE"/>
        </w:rPr>
        <w:br/>
      </w:r>
      <w:r w:rsidRPr="004C10F1">
        <w:rPr>
          <w:rFonts w:ascii="Arial" w:hAnsi="Arial" w:cs="Arial"/>
          <w:sz w:val="22"/>
          <w:szCs w:val="22"/>
          <w:lang w:val="sv-SE"/>
        </w:rPr>
        <w:t>325/95R24 MSD II  TL</w:t>
      </w:r>
      <w:r w:rsidRPr="004C10F1">
        <w:rPr>
          <w:lang w:val="sv-SE"/>
        </w:rPr>
        <w:br/>
      </w:r>
      <w:r w:rsidRPr="004C10F1">
        <w:rPr>
          <w:rFonts w:ascii="Arial" w:hAnsi="Arial" w:cs="Arial"/>
          <w:sz w:val="22"/>
          <w:szCs w:val="22"/>
          <w:lang w:val="sv-SE"/>
        </w:rPr>
        <w:t>385/65R22.5 MSS II  TL</w:t>
      </w:r>
      <w:r w:rsidRPr="004C10F1">
        <w:rPr>
          <w:lang w:val="sv-SE"/>
        </w:rPr>
        <w:br/>
      </w:r>
      <w:r w:rsidRPr="004C10F1">
        <w:rPr>
          <w:rFonts w:ascii="Arial" w:hAnsi="Arial" w:cs="Arial"/>
          <w:sz w:val="22"/>
          <w:szCs w:val="22"/>
          <w:lang w:val="sv-SE"/>
        </w:rPr>
        <w:t>385/65R22.5 MSS II Duraseal  TL</w:t>
      </w:r>
      <w:r w:rsidRPr="004C10F1">
        <w:rPr>
          <w:lang w:val="sv-SE"/>
        </w:rPr>
        <w:br/>
      </w:r>
      <w:r w:rsidRPr="004C10F1">
        <w:rPr>
          <w:rFonts w:ascii="Arial" w:hAnsi="Arial" w:cs="Arial"/>
          <w:sz w:val="22"/>
          <w:szCs w:val="22"/>
          <w:lang w:val="sv-SE"/>
        </w:rPr>
        <w:t>295/80R22.5 MSS II  TL</w:t>
      </w:r>
      <w:r w:rsidRPr="004C10F1">
        <w:rPr>
          <w:lang w:val="sv-SE"/>
        </w:rPr>
        <w:br/>
      </w:r>
      <w:r w:rsidRPr="004C10F1">
        <w:rPr>
          <w:rFonts w:ascii="Arial" w:hAnsi="Arial" w:cs="Arial"/>
          <w:sz w:val="22"/>
          <w:szCs w:val="22"/>
          <w:lang w:val="sv-SE"/>
        </w:rPr>
        <w:t>295/80R22.5 MSD II  TL II</w:t>
      </w:r>
      <w:r w:rsidRPr="004C10F1">
        <w:rPr>
          <w:lang w:val="sv-SE"/>
        </w:rPr>
        <w:br/>
      </w:r>
    </w:p>
    <w:p w:rsidR="000A7E74" w:rsidRPr="004C10F1" w:rsidRDefault="000A7E74" w:rsidP="0020772F">
      <w:pPr>
        <w:rPr>
          <w:rFonts w:ascii="Arial" w:hAnsi="Arial" w:cs="Arial"/>
          <w:sz w:val="22"/>
          <w:szCs w:val="22"/>
          <w:lang w:val="sv-SE"/>
        </w:rPr>
      </w:pPr>
    </w:p>
    <w:p w:rsidR="000A7E74" w:rsidRPr="004C10F1" w:rsidRDefault="000A7E74" w:rsidP="0020772F">
      <w:pPr>
        <w:rPr>
          <w:rFonts w:ascii="Arial" w:hAnsi="Arial" w:cs="Arial"/>
          <w:sz w:val="22"/>
          <w:szCs w:val="22"/>
          <w:lang w:val="sv-SE"/>
        </w:rPr>
      </w:pPr>
      <w:r w:rsidRPr="004C10F1">
        <w:rPr>
          <w:rFonts w:ascii="Arial" w:hAnsi="Arial" w:cs="Arial"/>
          <w:sz w:val="22"/>
          <w:szCs w:val="22"/>
          <w:lang w:val="sv-SE"/>
        </w:rPr>
        <w:t>Övriga tillgängliga storlekar:</w:t>
      </w:r>
    </w:p>
    <w:p w:rsidR="000A7E74" w:rsidRPr="004C10F1" w:rsidRDefault="000A7E74" w:rsidP="0020772F">
      <w:pPr>
        <w:rPr>
          <w:rFonts w:ascii="Arial" w:hAnsi="Arial" w:cs="Arial"/>
          <w:sz w:val="22"/>
          <w:szCs w:val="22"/>
          <w:lang w:val="sv-SE"/>
        </w:rPr>
      </w:pPr>
      <w:r w:rsidRPr="004C10F1">
        <w:rPr>
          <w:rFonts w:ascii="Arial" w:hAnsi="Arial" w:cs="Arial"/>
          <w:sz w:val="22"/>
          <w:szCs w:val="22"/>
          <w:lang w:val="sv-SE"/>
        </w:rPr>
        <w:t>315/80R22.5 MSS II</w:t>
      </w:r>
    </w:p>
    <w:p w:rsidR="000A7E74" w:rsidRPr="004C10F1" w:rsidRDefault="000A7E74" w:rsidP="0020772F">
      <w:pPr>
        <w:rPr>
          <w:rFonts w:ascii="Arial" w:hAnsi="Arial" w:cs="Arial"/>
          <w:sz w:val="22"/>
          <w:szCs w:val="22"/>
          <w:lang w:val="pt-BR"/>
        </w:rPr>
      </w:pPr>
      <w:r w:rsidRPr="004C10F1">
        <w:rPr>
          <w:rFonts w:ascii="Arial" w:hAnsi="Arial" w:cs="Arial"/>
          <w:sz w:val="22"/>
          <w:szCs w:val="22"/>
          <w:lang w:val="pt-BR"/>
        </w:rPr>
        <w:t>315/80R22.5 MSD II</w:t>
      </w:r>
    </w:p>
    <w:p w:rsidR="000A7E74" w:rsidRPr="004C10F1" w:rsidRDefault="000A7E74" w:rsidP="00C005E0">
      <w:pPr>
        <w:rPr>
          <w:rFonts w:ascii="Arial" w:hAnsi="Arial" w:cs="Arial"/>
          <w:sz w:val="22"/>
          <w:szCs w:val="22"/>
          <w:lang w:val="pt-BR"/>
        </w:rPr>
      </w:pPr>
      <w:r w:rsidRPr="004C10F1">
        <w:rPr>
          <w:rFonts w:ascii="Arial" w:hAnsi="Arial" w:cs="Arial"/>
          <w:sz w:val="22"/>
          <w:szCs w:val="22"/>
          <w:lang w:val="pt-BR"/>
        </w:rPr>
        <w:t>315/80R22.5 MSS II Duraseal</w:t>
      </w:r>
    </w:p>
    <w:p w:rsidR="000A7E74" w:rsidRPr="004C10F1" w:rsidRDefault="000A7E74" w:rsidP="00C005E0">
      <w:pPr>
        <w:rPr>
          <w:rFonts w:ascii="Arial" w:hAnsi="Arial" w:cs="Arial"/>
          <w:sz w:val="22"/>
          <w:szCs w:val="22"/>
          <w:lang w:val="pt-BR"/>
        </w:rPr>
      </w:pPr>
      <w:r w:rsidRPr="004C10F1">
        <w:rPr>
          <w:rFonts w:ascii="Arial" w:hAnsi="Arial" w:cs="Arial"/>
          <w:sz w:val="22"/>
          <w:szCs w:val="22"/>
          <w:lang w:val="pt-BR"/>
        </w:rPr>
        <w:t>315/80R22.5 MSD II Duraseal</w:t>
      </w:r>
    </w:p>
    <w:p w:rsidR="000A7E74" w:rsidRPr="004C10F1" w:rsidRDefault="000A7E74" w:rsidP="0020772F">
      <w:pPr>
        <w:rPr>
          <w:rFonts w:ascii="Arial" w:hAnsi="Arial" w:cs="Arial"/>
          <w:sz w:val="22"/>
          <w:szCs w:val="22"/>
          <w:lang w:val="pt-BR"/>
        </w:rPr>
      </w:pPr>
      <w:r w:rsidRPr="004C10F1">
        <w:rPr>
          <w:rFonts w:ascii="Arial" w:hAnsi="Arial" w:cs="Arial"/>
          <w:sz w:val="22"/>
          <w:szCs w:val="22"/>
          <w:lang w:val="pt-BR"/>
        </w:rPr>
        <w:t>13R22.5 MSS II</w:t>
      </w:r>
    </w:p>
    <w:p w:rsidR="000A7E74" w:rsidRPr="004C10F1" w:rsidRDefault="000A7E74" w:rsidP="0020772F">
      <w:pPr>
        <w:rPr>
          <w:rFonts w:ascii="Arial" w:hAnsi="Arial" w:cs="Arial"/>
          <w:sz w:val="22"/>
          <w:szCs w:val="22"/>
          <w:lang w:val="pt-BR"/>
        </w:rPr>
      </w:pPr>
      <w:r w:rsidRPr="004C10F1">
        <w:rPr>
          <w:rFonts w:ascii="Arial" w:hAnsi="Arial" w:cs="Arial"/>
          <w:sz w:val="22"/>
          <w:szCs w:val="22"/>
          <w:lang w:val="pt-BR"/>
        </w:rPr>
        <w:t>13R22.5 MSD II</w:t>
      </w:r>
    </w:p>
    <w:p w:rsidR="000A7E74" w:rsidRPr="004C10F1" w:rsidRDefault="000A7E74" w:rsidP="0020772F">
      <w:pPr>
        <w:rPr>
          <w:rFonts w:ascii="Arial" w:hAnsi="Arial" w:cs="Arial"/>
          <w:sz w:val="22"/>
          <w:szCs w:val="22"/>
          <w:lang w:val="pt-BR"/>
        </w:rPr>
      </w:pPr>
      <w:r w:rsidRPr="004C10F1">
        <w:rPr>
          <w:rFonts w:ascii="Arial" w:hAnsi="Arial" w:cs="Arial"/>
          <w:sz w:val="22"/>
          <w:szCs w:val="22"/>
          <w:lang w:val="pt-BR"/>
        </w:rPr>
        <w:t>13R22.5 MSS II Duraseal</w:t>
      </w:r>
    </w:p>
    <w:p w:rsidR="000A7E74" w:rsidRPr="004C10F1" w:rsidRDefault="000A7E74" w:rsidP="0020772F">
      <w:pPr>
        <w:rPr>
          <w:rFonts w:ascii="Arial" w:hAnsi="Arial" w:cs="Arial"/>
          <w:sz w:val="22"/>
          <w:szCs w:val="22"/>
          <w:lang w:val="pt-BR"/>
        </w:rPr>
      </w:pPr>
      <w:r w:rsidRPr="004C10F1">
        <w:rPr>
          <w:rFonts w:ascii="Arial" w:hAnsi="Arial" w:cs="Arial"/>
          <w:sz w:val="22"/>
          <w:szCs w:val="22"/>
          <w:lang w:val="pt-BR"/>
        </w:rPr>
        <w:t>13R22.5 MSD II Duraseal</w:t>
      </w:r>
    </w:p>
    <w:p w:rsidR="000A7E74" w:rsidRPr="004C10F1" w:rsidRDefault="000A7E74" w:rsidP="0020772F">
      <w:pPr>
        <w:rPr>
          <w:rFonts w:ascii="Arial" w:hAnsi="Arial" w:cs="Arial"/>
          <w:sz w:val="22"/>
          <w:szCs w:val="22"/>
          <w:lang w:val="pt-BR"/>
        </w:rPr>
      </w:pPr>
      <w:r w:rsidRPr="004C10F1">
        <w:rPr>
          <w:rFonts w:ascii="Arial" w:hAnsi="Arial" w:cs="Arial"/>
          <w:sz w:val="22"/>
          <w:szCs w:val="22"/>
          <w:lang w:val="pt-BR"/>
        </w:rPr>
        <w:t>385/55R22.5 MSD II (Super Single-dri</w:t>
      </w:r>
      <w:r>
        <w:rPr>
          <w:rFonts w:ascii="Arial" w:hAnsi="Arial" w:cs="Arial"/>
          <w:sz w:val="22"/>
          <w:szCs w:val="22"/>
          <w:lang w:val="pt-BR"/>
        </w:rPr>
        <w:t>v</w:t>
      </w:r>
      <w:r w:rsidRPr="004C10F1">
        <w:rPr>
          <w:rFonts w:ascii="Arial" w:hAnsi="Arial" w:cs="Arial"/>
          <w:sz w:val="22"/>
          <w:szCs w:val="22"/>
          <w:lang w:val="pt-BR"/>
        </w:rPr>
        <w:t>)</w:t>
      </w:r>
    </w:p>
    <w:p w:rsidR="000A7E74" w:rsidRPr="004C10F1" w:rsidRDefault="000A7E74" w:rsidP="0020772F">
      <w:pPr>
        <w:rPr>
          <w:rFonts w:ascii="Arial" w:hAnsi="Arial" w:cs="Arial"/>
          <w:sz w:val="22"/>
          <w:szCs w:val="22"/>
          <w:lang w:val="sv-SE"/>
        </w:rPr>
      </w:pPr>
      <w:r w:rsidRPr="004C10F1">
        <w:rPr>
          <w:rFonts w:ascii="Arial" w:hAnsi="Arial" w:cs="Arial"/>
          <w:sz w:val="22"/>
          <w:szCs w:val="22"/>
          <w:lang w:val="sv-SE"/>
        </w:rPr>
        <w:t>495/45R22.5 MSD II (Super Single-dri</w:t>
      </w:r>
      <w:r>
        <w:rPr>
          <w:rFonts w:ascii="Arial" w:hAnsi="Arial" w:cs="Arial"/>
          <w:sz w:val="22"/>
          <w:szCs w:val="22"/>
          <w:lang w:val="sv-SE"/>
        </w:rPr>
        <w:t>v</w:t>
      </w:r>
      <w:r w:rsidRPr="004C10F1">
        <w:rPr>
          <w:rFonts w:ascii="Arial" w:hAnsi="Arial" w:cs="Arial"/>
          <w:sz w:val="22"/>
          <w:szCs w:val="22"/>
          <w:lang w:val="sv-SE"/>
        </w:rPr>
        <w:t>)</w:t>
      </w:r>
    </w:p>
    <w:p w:rsidR="000A7E74" w:rsidRPr="004C10F1" w:rsidRDefault="000A7E74" w:rsidP="0020772F">
      <w:pPr>
        <w:rPr>
          <w:rFonts w:ascii="Arial" w:hAnsi="Arial" w:cs="Arial"/>
          <w:sz w:val="22"/>
          <w:szCs w:val="22"/>
          <w:lang w:val="sv-SE"/>
        </w:rPr>
      </w:pPr>
    </w:p>
    <w:p w:rsidR="000A7E74" w:rsidRPr="004C10F1" w:rsidRDefault="000A7E74" w:rsidP="00A66374">
      <w:pPr>
        <w:tabs>
          <w:tab w:val="left" w:pos="7560"/>
          <w:tab w:val="left" w:pos="9000"/>
        </w:tabs>
        <w:spacing w:after="120" w:line="360" w:lineRule="auto"/>
        <w:jc w:val="both"/>
        <w:rPr>
          <w:rFonts w:ascii="Arial" w:hAnsi="Arial" w:cs="Arial"/>
          <w:sz w:val="22"/>
          <w:szCs w:val="22"/>
          <w:lang w:val="sv-SE"/>
        </w:rPr>
      </w:pPr>
      <w:r w:rsidRPr="004C10F1">
        <w:rPr>
          <w:rFonts w:ascii="Arial" w:hAnsi="Arial" w:cs="Arial"/>
          <w:sz w:val="22"/>
          <w:szCs w:val="22"/>
          <w:lang w:val="sv-SE"/>
        </w:rPr>
        <w:t>All däck</w:t>
      </w:r>
      <w:r>
        <w:rPr>
          <w:rFonts w:ascii="Arial" w:hAnsi="Arial" w:cs="Arial"/>
          <w:sz w:val="22"/>
          <w:szCs w:val="22"/>
          <w:lang w:val="sv-SE"/>
        </w:rPr>
        <w:t>en kan med fördel mönsterskäras och regummeras.</w:t>
      </w:r>
    </w:p>
    <w:p w:rsidR="000A7E74" w:rsidRPr="004C10F1" w:rsidRDefault="000A7E74" w:rsidP="00E31286">
      <w:pPr>
        <w:spacing w:after="120" w:line="360" w:lineRule="auto"/>
        <w:jc w:val="both"/>
        <w:rPr>
          <w:rFonts w:ascii="Arial" w:hAnsi="Arial" w:cs="Arial"/>
          <w:sz w:val="20"/>
          <w:szCs w:val="20"/>
          <w:lang w:val="sv-SE"/>
        </w:rPr>
      </w:pPr>
    </w:p>
    <w:bookmarkEnd w:id="0"/>
    <w:p w:rsidR="000A7E74" w:rsidRPr="004C10F1" w:rsidRDefault="000A7E74" w:rsidP="004A4340">
      <w:pPr>
        <w:jc w:val="both"/>
        <w:rPr>
          <w:rFonts w:ascii="Arial" w:hAnsi="Arial" w:cs="Arial"/>
          <w:b/>
          <w:sz w:val="22"/>
          <w:szCs w:val="22"/>
          <w:lang w:val="sv-SE"/>
        </w:rPr>
      </w:pPr>
      <w:r w:rsidRPr="004C10F1">
        <w:rPr>
          <w:rFonts w:ascii="Arial" w:hAnsi="Arial" w:cs="Arial"/>
          <w:b/>
          <w:sz w:val="22"/>
          <w:szCs w:val="22"/>
          <w:lang w:val="sv-SE"/>
        </w:rPr>
        <w:t>Om Goodyear</w:t>
      </w:r>
    </w:p>
    <w:p w:rsidR="000A7E74" w:rsidRPr="004C10F1" w:rsidRDefault="000A7E74" w:rsidP="004A4340">
      <w:pPr>
        <w:spacing w:after="120"/>
        <w:jc w:val="both"/>
        <w:rPr>
          <w:rFonts w:ascii="Arial" w:hAnsi="Arial" w:cs="Arial"/>
          <w:sz w:val="18"/>
          <w:szCs w:val="18"/>
          <w:lang w:val="sv-SE"/>
        </w:rPr>
      </w:pPr>
      <w:r w:rsidRPr="004C10F1">
        <w:rPr>
          <w:rFonts w:ascii="Arial" w:hAnsi="Arial" w:cs="Arial"/>
          <w:sz w:val="18"/>
          <w:szCs w:val="18"/>
          <w:lang w:val="sv-SE"/>
        </w:rPr>
        <w:t xml:space="preserve">Goodyear är ett av världens största däckföretag. Företaget har cirka 73 000 anställda och tillverkning på mer än 54 anläggningar i 22 länder över hela världen. På dess två innovationscenter i Akron, Ohio, och Colmar-Berg, Luxemburg, utvecklas toppmoderna produkter och tjänster som sätter branschstandarden för teknik och prestanda. </w:t>
      </w:r>
    </w:p>
    <w:p w:rsidR="000A7E74" w:rsidRPr="004C10F1" w:rsidRDefault="000A7E74" w:rsidP="004A4340">
      <w:pPr>
        <w:spacing w:after="120"/>
        <w:jc w:val="both"/>
        <w:rPr>
          <w:rFonts w:ascii="Arial" w:hAnsi="Arial" w:cs="Arial"/>
          <w:sz w:val="18"/>
          <w:szCs w:val="18"/>
          <w:lang w:val="sv-SE"/>
        </w:rPr>
      </w:pPr>
      <w:r w:rsidRPr="004C10F1">
        <w:rPr>
          <w:rFonts w:ascii="Arial" w:hAnsi="Arial" w:cs="Arial"/>
          <w:sz w:val="18"/>
          <w:szCs w:val="18"/>
          <w:lang w:val="sv-SE"/>
        </w:rPr>
        <w:t xml:space="preserve">I Goodyear Dunlop Europes däcksortiment för kommersiella fordon och bussar finns mer än 400 olika däck i drygt 55 storlekar.  Många världsledande tillverkare av kommersiella fordon monterar däck från Goodyear som standard, bland andra DAF, Iveco, MAN, Mercedes-Benz, Renault Trucks, Scania och Volvo.  Goodyear levererar dessutom däck till alla större trailertillverkare. Med Fleet First, som innefattar servicenätverket TruckForce, vägassistanstjänsten ServiceLine 24h, Mobility, det webbaserade hanteringssystemet FleetOnlineSolutions Internet och Goodyear Retread Technologies, erbjuder Goodyear flest servicetjänster i branschen. </w:t>
      </w:r>
    </w:p>
    <w:p w:rsidR="000A7E74" w:rsidRPr="004C10F1" w:rsidRDefault="000A7E74" w:rsidP="004A4340">
      <w:pPr>
        <w:spacing w:after="120"/>
        <w:jc w:val="both"/>
        <w:rPr>
          <w:lang w:val="sv-SE"/>
        </w:rPr>
      </w:pPr>
      <w:r w:rsidRPr="004C10F1">
        <w:rPr>
          <w:rFonts w:ascii="Arial" w:hAnsi="Arial" w:cs="Arial"/>
          <w:color w:val="000000"/>
          <w:sz w:val="18"/>
          <w:szCs w:val="18"/>
          <w:lang w:val="sv-SE"/>
        </w:rPr>
        <w:t xml:space="preserve">Gå in på </w:t>
      </w:r>
      <w:hyperlink r:id="rId11" w:history="1">
        <w:r w:rsidRPr="00617516">
          <w:rPr>
            <w:rStyle w:val="Hyperlink"/>
            <w:rFonts w:ascii="Arial" w:hAnsi="Arial" w:cs="Arial"/>
            <w:sz w:val="18"/>
            <w:szCs w:val="18"/>
            <w:lang w:val="sv-SE"/>
          </w:rPr>
          <w:t>www.goodyear.se</w:t>
        </w:r>
      </w:hyperlink>
      <w:r w:rsidRPr="004C10F1">
        <w:rPr>
          <w:rFonts w:ascii="Arial" w:hAnsi="Arial" w:cs="Arial"/>
          <w:color w:val="000000"/>
          <w:sz w:val="18"/>
          <w:szCs w:val="18"/>
          <w:lang w:val="sv-SE"/>
        </w:rPr>
        <w:t xml:space="preserve"> för mer information om Goodyears produkter. </w:t>
      </w:r>
    </w:p>
    <w:p w:rsidR="000A7E74" w:rsidRPr="004C10F1" w:rsidRDefault="000A7E74" w:rsidP="008B5A6B">
      <w:pPr>
        <w:jc w:val="both"/>
        <w:rPr>
          <w:lang w:val="sv-SE"/>
        </w:rPr>
      </w:pPr>
    </w:p>
    <w:sectPr w:rsidR="000A7E74" w:rsidRPr="004C10F1" w:rsidSect="00B05B16">
      <w:footerReference w:type="even" r:id="rId12"/>
      <w:footerReference w:type="default" r:id="rId13"/>
      <w:pgSz w:w="11906" w:h="16838"/>
      <w:pgMar w:top="899" w:right="1466" w:bottom="851"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E74" w:rsidRDefault="000A7E74">
      <w:r>
        <w:separator/>
      </w:r>
    </w:p>
  </w:endnote>
  <w:endnote w:type="continuationSeparator" w:id="0">
    <w:p w:rsidR="000A7E74" w:rsidRDefault="000A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45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74" w:rsidRDefault="000A7E74" w:rsidP="00EA7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E74" w:rsidRDefault="000A7E74" w:rsidP="00B05B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74" w:rsidRPr="00B05B16" w:rsidRDefault="000A7E74" w:rsidP="00EA7BBD">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p>
  <w:p w:rsidR="000A7E74" w:rsidRDefault="000A7E74" w:rsidP="00B05B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E74" w:rsidRDefault="000A7E74">
      <w:r>
        <w:separator/>
      </w:r>
    </w:p>
  </w:footnote>
  <w:footnote w:type="continuationSeparator" w:id="0">
    <w:p w:rsidR="000A7E74" w:rsidRDefault="000A7E74">
      <w:r>
        <w:continuationSeparator/>
      </w:r>
    </w:p>
  </w:footnote>
  <w:footnote w:id="1">
    <w:p w:rsidR="000A7E74" w:rsidRPr="004C10F1" w:rsidRDefault="000A7E74" w:rsidP="00604FEF">
      <w:pPr>
        <w:pStyle w:val="EndnoteText"/>
        <w:rPr>
          <w:rFonts w:ascii="Arial" w:hAnsi="Arial" w:cs="Arial"/>
          <w:lang w:val="sv-SE"/>
        </w:rPr>
      </w:pPr>
      <w:r>
        <w:rPr>
          <w:rStyle w:val="FootnoteReference"/>
        </w:rPr>
        <w:footnoteRef/>
      </w:r>
      <w:r w:rsidRPr="004C10F1">
        <w:rPr>
          <w:rFonts w:ascii="Arial" w:hAnsi="Arial" w:cs="Arial"/>
          <w:lang w:val="sv-SE"/>
        </w:rPr>
        <w:t xml:space="preserve"> Data uträknade av Goodyear Innovation Center 2009/2010</w:t>
      </w:r>
    </w:p>
    <w:p w:rsidR="000A7E74" w:rsidRDefault="000A7E74" w:rsidP="00604FEF">
      <w:pPr>
        <w:pStyle w:val="End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7903"/>
    <w:multiLevelType w:val="hybridMultilevel"/>
    <w:tmpl w:val="85A47920"/>
    <w:lvl w:ilvl="0" w:tplc="21E8375E">
      <w:start w:val="1"/>
      <w:numFmt w:val="bullet"/>
      <w:lvlText w:val="•"/>
      <w:lvlJc w:val="left"/>
      <w:pPr>
        <w:tabs>
          <w:tab w:val="num" w:pos="720"/>
        </w:tabs>
        <w:ind w:left="720" w:hanging="360"/>
      </w:pPr>
      <w:rPr>
        <w:rFonts w:ascii="Times New Roman" w:hAnsi="Times New Roman" w:hint="default"/>
      </w:rPr>
    </w:lvl>
    <w:lvl w:ilvl="1" w:tplc="91D66A78" w:tentative="1">
      <w:start w:val="1"/>
      <w:numFmt w:val="bullet"/>
      <w:lvlText w:val="•"/>
      <w:lvlJc w:val="left"/>
      <w:pPr>
        <w:tabs>
          <w:tab w:val="num" w:pos="1440"/>
        </w:tabs>
        <w:ind w:left="1440" w:hanging="360"/>
      </w:pPr>
      <w:rPr>
        <w:rFonts w:ascii="Times New Roman" w:hAnsi="Times New Roman" w:hint="default"/>
      </w:rPr>
    </w:lvl>
    <w:lvl w:ilvl="2" w:tplc="0186D02C" w:tentative="1">
      <w:start w:val="1"/>
      <w:numFmt w:val="bullet"/>
      <w:lvlText w:val="•"/>
      <w:lvlJc w:val="left"/>
      <w:pPr>
        <w:tabs>
          <w:tab w:val="num" w:pos="2160"/>
        </w:tabs>
        <w:ind w:left="2160" w:hanging="360"/>
      </w:pPr>
      <w:rPr>
        <w:rFonts w:ascii="Times New Roman" w:hAnsi="Times New Roman" w:hint="default"/>
      </w:rPr>
    </w:lvl>
    <w:lvl w:ilvl="3" w:tplc="BB344616" w:tentative="1">
      <w:start w:val="1"/>
      <w:numFmt w:val="bullet"/>
      <w:lvlText w:val="•"/>
      <w:lvlJc w:val="left"/>
      <w:pPr>
        <w:tabs>
          <w:tab w:val="num" w:pos="2880"/>
        </w:tabs>
        <w:ind w:left="2880" w:hanging="360"/>
      </w:pPr>
      <w:rPr>
        <w:rFonts w:ascii="Times New Roman" w:hAnsi="Times New Roman" w:hint="default"/>
      </w:rPr>
    </w:lvl>
    <w:lvl w:ilvl="4" w:tplc="4CBE7FB2" w:tentative="1">
      <w:start w:val="1"/>
      <w:numFmt w:val="bullet"/>
      <w:lvlText w:val="•"/>
      <w:lvlJc w:val="left"/>
      <w:pPr>
        <w:tabs>
          <w:tab w:val="num" w:pos="3600"/>
        </w:tabs>
        <w:ind w:left="3600" w:hanging="360"/>
      </w:pPr>
      <w:rPr>
        <w:rFonts w:ascii="Times New Roman" w:hAnsi="Times New Roman" w:hint="default"/>
      </w:rPr>
    </w:lvl>
    <w:lvl w:ilvl="5" w:tplc="33EE9F52" w:tentative="1">
      <w:start w:val="1"/>
      <w:numFmt w:val="bullet"/>
      <w:lvlText w:val="•"/>
      <w:lvlJc w:val="left"/>
      <w:pPr>
        <w:tabs>
          <w:tab w:val="num" w:pos="4320"/>
        </w:tabs>
        <w:ind w:left="4320" w:hanging="360"/>
      </w:pPr>
      <w:rPr>
        <w:rFonts w:ascii="Times New Roman" w:hAnsi="Times New Roman" w:hint="default"/>
      </w:rPr>
    </w:lvl>
    <w:lvl w:ilvl="6" w:tplc="8BF0DF60" w:tentative="1">
      <w:start w:val="1"/>
      <w:numFmt w:val="bullet"/>
      <w:lvlText w:val="•"/>
      <w:lvlJc w:val="left"/>
      <w:pPr>
        <w:tabs>
          <w:tab w:val="num" w:pos="5040"/>
        </w:tabs>
        <w:ind w:left="5040" w:hanging="360"/>
      </w:pPr>
      <w:rPr>
        <w:rFonts w:ascii="Times New Roman" w:hAnsi="Times New Roman" w:hint="default"/>
      </w:rPr>
    </w:lvl>
    <w:lvl w:ilvl="7" w:tplc="1B20EB20" w:tentative="1">
      <w:start w:val="1"/>
      <w:numFmt w:val="bullet"/>
      <w:lvlText w:val="•"/>
      <w:lvlJc w:val="left"/>
      <w:pPr>
        <w:tabs>
          <w:tab w:val="num" w:pos="5760"/>
        </w:tabs>
        <w:ind w:left="5760" w:hanging="360"/>
      </w:pPr>
      <w:rPr>
        <w:rFonts w:ascii="Times New Roman" w:hAnsi="Times New Roman" w:hint="default"/>
      </w:rPr>
    </w:lvl>
    <w:lvl w:ilvl="8" w:tplc="CF9C3B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000A6C"/>
    <w:multiLevelType w:val="hybridMultilevel"/>
    <w:tmpl w:val="EEE42F88"/>
    <w:lvl w:ilvl="0" w:tplc="B9EE6C18">
      <w:start w:val="1"/>
      <w:numFmt w:val="bullet"/>
      <w:lvlText w:val="•"/>
      <w:lvlJc w:val="left"/>
      <w:pPr>
        <w:tabs>
          <w:tab w:val="num" w:pos="720"/>
        </w:tabs>
        <w:ind w:left="720" w:hanging="360"/>
      </w:pPr>
      <w:rPr>
        <w:rFonts w:ascii="Times New Roman" w:hAnsi="Times New Roman" w:hint="default"/>
      </w:rPr>
    </w:lvl>
    <w:lvl w:ilvl="1" w:tplc="5B7C1774" w:tentative="1">
      <w:start w:val="1"/>
      <w:numFmt w:val="bullet"/>
      <w:lvlText w:val="•"/>
      <w:lvlJc w:val="left"/>
      <w:pPr>
        <w:tabs>
          <w:tab w:val="num" w:pos="1440"/>
        </w:tabs>
        <w:ind w:left="1440" w:hanging="360"/>
      </w:pPr>
      <w:rPr>
        <w:rFonts w:ascii="Times New Roman" w:hAnsi="Times New Roman" w:hint="default"/>
      </w:rPr>
    </w:lvl>
    <w:lvl w:ilvl="2" w:tplc="1FE61E88" w:tentative="1">
      <w:start w:val="1"/>
      <w:numFmt w:val="bullet"/>
      <w:lvlText w:val="•"/>
      <w:lvlJc w:val="left"/>
      <w:pPr>
        <w:tabs>
          <w:tab w:val="num" w:pos="2160"/>
        </w:tabs>
        <w:ind w:left="2160" w:hanging="360"/>
      </w:pPr>
      <w:rPr>
        <w:rFonts w:ascii="Times New Roman" w:hAnsi="Times New Roman" w:hint="default"/>
      </w:rPr>
    </w:lvl>
    <w:lvl w:ilvl="3" w:tplc="BA3C055C" w:tentative="1">
      <w:start w:val="1"/>
      <w:numFmt w:val="bullet"/>
      <w:lvlText w:val="•"/>
      <w:lvlJc w:val="left"/>
      <w:pPr>
        <w:tabs>
          <w:tab w:val="num" w:pos="2880"/>
        </w:tabs>
        <w:ind w:left="2880" w:hanging="360"/>
      </w:pPr>
      <w:rPr>
        <w:rFonts w:ascii="Times New Roman" w:hAnsi="Times New Roman" w:hint="default"/>
      </w:rPr>
    </w:lvl>
    <w:lvl w:ilvl="4" w:tplc="0BE0E49A" w:tentative="1">
      <w:start w:val="1"/>
      <w:numFmt w:val="bullet"/>
      <w:lvlText w:val="•"/>
      <w:lvlJc w:val="left"/>
      <w:pPr>
        <w:tabs>
          <w:tab w:val="num" w:pos="3600"/>
        </w:tabs>
        <w:ind w:left="3600" w:hanging="360"/>
      </w:pPr>
      <w:rPr>
        <w:rFonts w:ascii="Times New Roman" w:hAnsi="Times New Roman" w:hint="default"/>
      </w:rPr>
    </w:lvl>
    <w:lvl w:ilvl="5" w:tplc="6E808716" w:tentative="1">
      <w:start w:val="1"/>
      <w:numFmt w:val="bullet"/>
      <w:lvlText w:val="•"/>
      <w:lvlJc w:val="left"/>
      <w:pPr>
        <w:tabs>
          <w:tab w:val="num" w:pos="4320"/>
        </w:tabs>
        <w:ind w:left="4320" w:hanging="360"/>
      </w:pPr>
      <w:rPr>
        <w:rFonts w:ascii="Times New Roman" w:hAnsi="Times New Roman" w:hint="default"/>
      </w:rPr>
    </w:lvl>
    <w:lvl w:ilvl="6" w:tplc="CCA461A6" w:tentative="1">
      <w:start w:val="1"/>
      <w:numFmt w:val="bullet"/>
      <w:lvlText w:val="•"/>
      <w:lvlJc w:val="left"/>
      <w:pPr>
        <w:tabs>
          <w:tab w:val="num" w:pos="5040"/>
        </w:tabs>
        <w:ind w:left="5040" w:hanging="360"/>
      </w:pPr>
      <w:rPr>
        <w:rFonts w:ascii="Times New Roman" w:hAnsi="Times New Roman" w:hint="default"/>
      </w:rPr>
    </w:lvl>
    <w:lvl w:ilvl="7" w:tplc="762CE4A0" w:tentative="1">
      <w:start w:val="1"/>
      <w:numFmt w:val="bullet"/>
      <w:lvlText w:val="•"/>
      <w:lvlJc w:val="left"/>
      <w:pPr>
        <w:tabs>
          <w:tab w:val="num" w:pos="5760"/>
        </w:tabs>
        <w:ind w:left="5760" w:hanging="360"/>
      </w:pPr>
      <w:rPr>
        <w:rFonts w:ascii="Times New Roman" w:hAnsi="Times New Roman" w:hint="default"/>
      </w:rPr>
    </w:lvl>
    <w:lvl w:ilvl="8" w:tplc="66F090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171D1E"/>
    <w:multiLevelType w:val="hybridMultilevel"/>
    <w:tmpl w:val="5E4AC21A"/>
    <w:lvl w:ilvl="0" w:tplc="DAA22DD8">
      <w:start w:val="1"/>
      <w:numFmt w:val="bullet"/>
      <w:lvlText w:val="•"/>
      <w:lvlJc w:val="left"/>
      <w:pPr>
        <w:tabs>
          <w:tab w:val="num" w:pos="720"/>
        </w:tabs>
        <w:ind w:left="720" w:hanging="360"/>
      </w:pPr>
      <w:rPr>
        <w:rFonts w:ascii="Times New Roman" w:hAnsi="Times New Roman" w:hint="default"/>
      </w:rPr>
    </w:lvl>
    <w:lvl w:ilvl="1" w:tplc="4650C796" w:tentative="1">
      <w:start w:val="1"/>
      <w:numFmt w:val="bullet"/>
      <w:lvlText w:val="•"/>
      <w:lvlJc w:val="left"/>
      <w:pPr>
        <w:tabs>
          <w:tab w:val="num" w:pos="1440"/>
        </w:tabs>
        <w:ind w:left="1440" w:hanging="360"/>
      </w:pPr>
      <w:rPr>
        <w:rFonts w:ascii="Times New Roman" w:hAnsi="Times New Roman" w:hint="default"/>
      </w:rPr>
    </w:lvl>
    <w:lvl w:ilvl="2" w:tplc="552CEABE" w:tentative="1">
      <w:start w:val="1"/>
      <w:numFmt w:val="bullet"/>
      <w:lvlText w:val="•"/>
      <w:lvlJc w:val="left"/>
      <w:pPr>
        <w:tabs>
          <w:tab w:val="num" w:pos="2160"/>
        </w:tabs>
        <w:ind w:left="2160" w:hanging="360"/>
      </w:pPr>
      <w:rPr>
        <w:rFonts w:ascii="Times New Roman" w:hAnsi="Times New Roman" w:hint="default"/>
      </w:rPr>
    </w:lvl>
    <w:lvl w:ilvl="3" w:tplc="3808D466" w:tentative="1">
      <w:start w:val="1"/>
      <w:numFmt w:val="bullet"/>
      <w:lvlText w:val="•"/>
      <w:lvlJc w:val="left"/>
      <w:pPr>
        <w:tabs>
          <w:tab w:val="num" w:pos="2880"/>
        </w:tabs>
        <w:ind w:left="2880" w:hanging="360"/>
      </w:pPr>
      <w:rPr>
        <w:rFonts w:ascii="Times New Roman" w:hAnsi="Times New Roman" w:hint="default"/>
      </w:rPr>
    </w:lvl>
    <w:lvl w:ilvl="4" w:tplc="DE6C8918" w:tentative="1">
      <w:start w:val="1"/>
      <w:numFmt w:val="bullet"/>
      <w:lvlText w:val="•"/>
      <w:lvlJc w:val="left"/>
      <w:pPr>
        <w:tabs>
          <w:tab w:val="num" w:pos="3600"/>
        </w:tabs>
        <w:ind w:left="3600" w:hanging="360"/>
      </w:pPr>
      <w:rPr>
        <w:rFonts w:ascii="Times New Roman" w:hAnsi="Times New Roman" w:hint="default"/>
      </w:rPr>
    </w:lvl>
    <w:lvl w:ilvl="5" w:tplc="F9F60C54" w:tentative="1">
      <w:start w:val="1"/>
      <w:numFmt w:val="bullet"/>
      <w:lvlText w:val="•"/>
      <w:lvlJc w:val="left"/>
      <w:pPr>
        <w:tabs>
          <w:tab w:val="num" w:pos="4320"/>
        </w:tabs>
        <w:ind w:left="4320" w:hanging="360"/>
      </w:pPr>
      <w:rPr>
        <w:rFonts w:ascii="Times New Roman" w:hAnsi="Times New Roman" w:hint="default"/>
      </w:rPr>
    </w:lvl>
    <w:lvl w:ilvl="6" w:tplc="3A8EC818" w:tentative="1">
      <w:start w:val="1"/>
      <w:numFmt w:val="bullet"/>
      <w:lvlText w:val="•"/>
      <w:lvlJc w:val="left"/>
      <w:pPr>
        <w:tabs>
          <w:tab w:val="num" w:pos="5040"/>
        </w:tabs>
        <w:ind w:left="5040" w:hanging="360"/>
      </w:pPr>
      <w:rPr>
        <w:rFonts w:ascii="Times New Roman" w:hAnsi="Times New Roman" w:hint="default"/>
      </w:rPr>
    </w:lvl>
    <w:lvl w:ilvl="7" w:tplc="E6B8A64C" w:tentative="1">
      <w:start w:val="1"/>
      <w:numFmt w:val="bullet"/>
      <w:lvlText w:val="•"/>
      <w:lvlJc w:val="left"/>
      <w:pPr>
        <w:tabs>
          <w:tab w:val="num" w:pos="5760"/>
        </w:tabs>
        <w:ind w:left="5760" w:hanging="360"/>
      </w:pPr>
      <w:rPr>
        <w:rFonts w:ascii="Times New Roman" w:hAnsi="Times New Roman" w:hint="default"/>
      </w:rPr>
    </w:lvl>
    <w:lvl w:ilvl="8" w:tplc="3FB0CB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1787ECB"/>
    <w:multiLevelType w:val="hybridMultilevel"/>
    <w:tmpl w:val="0838A57C"/>
    <w:lvl w:ilvl="0" w:tplc="2436961A">
      <w:start w:val="1"/>
      <w:numFmt w:val="bullet"/>
      <w:lvlText w:val="•"/>
      <w:lvlJc w:val="left"/>
      <w:pPr>
        <w:tabs>
          <w:tab w:val="num" w:pos="720"/>
        </w:tabs>
        <w:ind w:left="720" w:hanging="360"/>
      </w:pPr>
      <w:rPr>
        <w:rFonts w:ascii="Times New Roman" w:hAnsi="Times New Roman" w:hint="default"/>
      </w:rPr>
    </w:lvl>
    <w:lvl w:ilvl="1" w:tplc="FD684056" w:tentative="1">
      <w:start w:val="1"/>
      <w:numFmt w:val="bullet"/>
      <w:lvlText w:val="•"/>
      <w:lvlJc w:val="left"/>
      <w:pPr>
        <w:tabs>
          <w:tab w:val="num" w:pos="1440"/>
        </w:tabs>
        <w:ind w:left="1440" w:hanging="360"/>
      </w:pPr>
      <w:rPr>
        <w:rFonts w:ascii="Times New Roman" w:hAnsi="Times New Roman" w:hint="default"/>
      </w:rPr>
    </w:lvl>
    <w:lvl w:ilvl="2" w:tplc="8D662588" w:tentative="1">
      <w:start w:val="1"/>
      <w:numFmt w:val="bullet"/>
      <w:lvlText w:val="•"/>
      <w:lvlJc w:val="left"/>
      <w:pPr>
        <w:tabs>
          <w:tab w:val="num" w:pos="2160"/>
        </w:tabs>
        <w:ind w:left="2160" w:hanging="360"/>
      </w:pPr>
      <w:rPr>
        <w:rFonts w:ascii="Times New Roman" w:hAnsi="Times New Roman" w:hint="default"/>
      </w:rPr>
    </w:lvl>
    <w:lvl w:ilvl="3" w:tplc="2306E326" w:tentative="1">
      <w:start w:val="1"/>
      <w:numFmt w:val="bullet"/>
      <w:lvlText w:val="•"/>
      <w:lvlJc w:val="left"/>
      <w:pPr>
        <w:tabs>
          <w:tab w:val="num" w:pos="2880"/>
        </w:tabs>
        <w:ind w:left="2880" w:hanging="360"/>
      </w:pPr>
      <w:rPr>
        <w:rFonts w:ascii="Times New Roman" w:hAnsi="Times New Roman" w:hint="default"/>
      </w:rPr>
    </w:lvl>
    <w:lvl w:ilvl="4" w:tplc="D044655E" w:tentative="1">
      <w:start w:val="1"/>
      <w:numFmt w:val="bullet"/>
      <w:lvlText w:val="•"/>
      <w:lvlJc w:val="left"/>
      <w:pPr>
        <w:tabs>
          <w:tab w:val="num" w:pos="3600"/>
        </w:tabs>
        <w:ind w:left="3600" w:hanging="360"/>
      </w:pPr>
      <w:rPr>
        <w:rFonts w:ascii="Times New Roman" w:hAnsi="Times New Roman" w:hint="default"/>
      </w:rPr>
    </w:lvl>
    <w:lvl w:ilvl="5" w:tplc="44E4722C" w:tentative="1">
      <w:start w:val="1"/>
      <w:numFmt w:val="bullet"/>
      <w:lvlText w:val="•"/>
      <w:lvlJc w:val="left"/>
      <w:pPr>
        <w:tabs>
          <w:tab w:val="num" w:pos="4320"/>
        </w:tabs>
        <w:ind w:left="4320" w:hanging="360"/>
      </w:pPr>
      <w:rPr>
        <w:rFonts w:ascii="Times New Roman" w:hAnsi="Times New Roman" w:hint="default"/>
      </w:rPr>
    </w:lvl>
    <w:lvl w:ilvl="6" w:tplc="98FEC59E" w:tentative="1">
      <w:start w:val="1"/>
      <w:numFmt w:val="bullet"/>
      <w:lvlText w:val="•"/>
      <w:lvlJc w:val="left"/>
      <w:pPr>
        <w:tabs>
          <w:tab w:val="num" w:pos="5040"/>
        </w:tabs>
        <w:ind w:left="5040" w:hanging="360"/>
      </w:pPr>
      <w:rPr>
        <w:rFonts w:ascii="Times New Roman" w:hAnsi="Times New Roman" w:hint="default"/>
      </w:rPr>
    </w:lvl>
    <w:lvl w:ilvl="7" w:tplc="F2402542" w:tentative="1">
      <w:start w:val="1"/>
      <w:numFmt w:val="bullet"/>
      <w:lvlText w:val="•"/>
      <w:lvlJc w:val="left"/>
      <w:pPr>
        <w:tabs>
          <w:tab w:val="num" w:pos="5760"/>
        </w:tabs>
        <w:ind w:left="5760" w:hanging="360"/>
      </w:pPr>
      <w:rPr>
        <w:rFonts w:ascii="Times New Roman" w:hAnsi="Times New Roman" w:hint="default"/>
      </w:rPr>
    </w:lvl>
    <w:lvl w:ilvl="8" w:tplc="E2E61A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42268A"/>
    <w:multiLevelType w:val="hybridMultilevel"/>
    <w:tmpl w:val="806E7BC0"/>
    <w:lvl w:ilvl="0" w:tplc="F5AC6486">
      <w:start w:val="1"/>
      <w:numFmt w:val="bullet"/>
      <w:lvlText w:val="•"/>
      <w:lvlJc w:val="left"/>
      <w:pPr>
        <w:tabs>
          <w:tab w:val="num" w:pos="720"/>
        </w:tabs>
        <w:ind w:left="720" w:hanging="360"/>
      </w:pPr>
      <w:rPr>
        <w:rFonts w:ascii="Times New Roman" w:hAnsi="Times New Roman" w:hint="default"/>
      </w:rPr>
    </w:lvl>
    <w:lvl w:ilvl="1" w:tplc="F07A395A" w:tentative="1">
      <w:start w:val="1"/>
      <w:numFmt w:val="bullet"/>
      <w:lvlText w:val="•"/>
      <w:lvlJc w:val="left"/>
      <w:pPr>
        <w:tabs>
          <w:tab w:val="num" w:pos="1440"/>
        </w:tabs>
        <w:ind w:left="1440" w:hanging="360"/>
      </w:pPr>
      <w:rPr>
        <w:rFonts w:ascii="Times New Roman" w:hAnsi="Times New Roman" w:hint="default"/>
      </w:rPr>
    </w:lvl>
    <w:lvl w:ilvl="2" w:tplc="B4DAAF24" w:tentative="1">
      <w:start w:val="1"/>
      <w:numFmt w:val="bullet"/>
      <w:lvlText w:val="•"/>
      <w:lvlJc w:val="left"/>
      <w:pPr>
        <w:tabs>
          <w:tab w:val="num" w:pos="2160"/>
        </w:tabs>
        <w:ind w:left="2160" w:hanging="360"/>
      </w:pPr>
      <w:rPr>
        <w:rFonts w:ascii="Times New Roman" w:hAnsi="Times New Roman" w:hint="default"/>
      </w:rPr>
    </w:lvl>
    <w:lvl w:ilvl="3" w:tplc="66F2E240" w:tentative="1">
      <w:start w:val="1"/>
      <w:numFmt w:val="bullet"/>
      <w:lvlText w:val="•"/>
      <w:lvlJc w:val="left"/>
      <w:pPr>
        <w:tabs>
          <w:tab w:val="num" w:pos="2880"/>
        </w:tabs>
        <w:ind w:left="2880" w:hanging="360"/>
      </w:pPr>
      <w:rPr>
        <w:rFonts w:ascii="Times New Roman" w:hAnsi="Times New Roman" w:hint="default"/>
      </w:rPr>
    </w:lvl>
    <w:lvl w:ilvl="4" w:tplc="4752779E" w:tentative="1">
      <w:start w:val="1"/>
      <w:numFmt w:val="bullet"/>
      <w:lvlText w:val="•"/>
      <w:lvlJc w:val="left"/>
      <w:pPr>
        <w:tabs>
          <w:tab w:val="num" w:pos="3600"/>
        </w:tabs>
        <w:ind w:left="3600" w:hanging="360"/>
      </w:pPr>
      <w:rPr>
        <w:rFonts w:ascii="Times New Roman" w:hAnsi="Times New Roman" w:hint="default"/>
      </w:rPr>
    </w:lvl>
    <w:lvl w:ilvl="5" w:tplc="69B81BCA" w:tentative="1">
      <w:start w:val="1"/>
      <w:numFmt w:val="bullet"/>
      <w:lvlText w:val="•"/>
      <w:lvlJc w:val="left"/>
      <w:pPr>
        <w:tabs>
          <w:tab w:val="num" w:pos="4320"/>
        </w:tabs>
        <w:ind w:left="4320" w:hanging="360"/>
      </w:pPr>
      <w:rPr>
        <w:rFonts w:ascii="Times New Roman" w:hAnsi="Times New Roman" w:hint="default"/>
      </w:rPr>
    </w:lvl>
    <w:lvl w:ilvl="6" w:tplc="63505D16" w:tentative="1">
      <w:start w:val="1"/>
      <w:numFmt w:val="bullet"/>
      <w:lvlText w:val="•"/>
      <w:lvlJc w:val="left"/>
      <w:pPr>
        <w:tabs>
          <w:tab w:val="num" w:pos="5040"/>
        </w:tabs>
        <w:ind w:left="5040" w:hanging="360"/>
      </w:pPr>
      <w:rPr>
        <w:rFonts w:ascii="Times New Roman" w:hAnsi="Times New Roman" w:hint="default"/>
      </w:rPr>
    </w:lvl>
    <w:lvl w:ilvl="7" w:tplc="7B5CFA6E" w:tentative="1">
      <w:start w:val="1"/>
      <w:numFmt w:val="bullet"/>
      <w:lvlText w:val="•"/>
      <w:lvlJc w:val="left"/>
      <w:pPr>
        <w:tabs>
          <w:tab w:val="num" w:pos="5760"/>
        </w:tabs>
        <w:ind w:left="5760" w:hanging="360"/>
      </w:pPr>
      <w:rPr>
        <w:rFonts w:ascii="Times New Roman" w:hAnsi="Times New Roman" w:hint="default"/>
      </w:rPr>
    </w:lvl>
    <w:lvl w:ilvl="8" w:tplc="108AFBB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0C798D"/>
    <w:multiLevelType w:val="hybridMultilevel"/>
    <w:tmpl w:val="B0A41D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054062F"/>
    <w:multiLevelType w:val="hybridMultilevel"/>
    <w:tmpl w:val="D7845BE4"/>
    <w:lvl w:ilvl="0" w:tplc="C35C5A8E">
      <w:start w:val="1"/>
      <w:numFmt w:val="bullet"/>
      <w:lvlText w:val="•"/>
      <w:lvlJc w:val="left"/>
      <w:pPr>
        <w:tabs>
          <w:tab w:val="num" w:pos="360"/>
        </w:tabs>
        <w:ind w:left="360" w:hanging="360"/>
      </w:pPr>
      <w:rPr>
        <w:rFonts w:ascii="Times New Roman" w:hAnsi="Times New Roman" w:hint="default"/>
      </w:rPr>
    </w:lvl>
    <w:lvl w:ilvl="1" w:tplc="685CF8C6" w:tentative="1">
      <w:start w:val="1"/>
      <w:numFmt w:val="bullet"/>
      <w:lvlText w:val="•"/>
      <w:lvlJc w:val="left"/>
      <w:pPr>
        <w:tabs>
          <w:tab w:val="num" w:pos="1080"/>
        </w:tabs>
        <w:ind w:left="1080" w:hanging="360"/>
      </w:pPr>
      <w:rPr>
        <w:rFonts w:ascii="Times New Roman" w:hAnsi="Times New Roman" w:hint="default"/>
      </w:rPr>
    </w:lvl>
    <w:lvl w:ilvl="2" w:tplc="8AA0A396" w:tentative="1">
      <w:start w:val="1"/>
      <w:numFmt w:val="bullet"/>
      <w:lvlText w:val="•"/>
      <w:lvlJc w:val="left"/>
      <w:pPr>
        <w:tabs>
          <w:tab w:val="num" w:pos="1800"/>
        </w:tabs>
        <w:ind w:left="1800" w:hanging="360"/>
      </w:pPr>
      <w:rPr>
        <w:rFonts w:ascii="Times New Roman" w:hAnsi="Times New Roman" w:hint="default"/>
      </w:rPr>
    </w:lvl>
    <w:lvl w:ilvl="3" w:tplc="5F64D452" w:tentative="1">
      <w:start w:val="1"/>
      <w:numFmt w:val="bullet"/>
      <w:lvlText w:val="•"/>
      <w:lvlJc w:val="left"/>
      <w:pPr>
        <w:tabs>
          <w:tab w:val="num" w:pos="2520"/>
        </w:tabs>
        <w:ind w:left="2520" w:hanging="360"/>
      </w:pPr>
      <w:rPr>
        <w:rFonts w:ascii="Times New Roman" w:hAnsi="Times New Roman" w:hint="default"/>
      </w:rPr>
    </w:lvl>
    <w:lvl w:ilvl="4" w:tplc="DAA0EE50" w:tentative="1">
      <w:start w:val="1"/>
      <w:numFmt w:val="bullet"/>
      <w:lvlText w:val="•"/>
      <w:lvlJc w:val="left"/>
      <w:pPr>
        <w:tabs>
          <w:tab w:val="num" w:pos="3240"/>
        </w:tabs>
        <w:ind w:left="3240" w:hanging="360"/>
      </w:pPr>
      <w:rPr>
        <w:rFonts w:ascii="Times New Roman" w:hAnsi="Times New Roman" w:hint="default"/>
      </w:rPr>
    </w:lvl>
    <w:lvl w:ilvl="5" w:tplc="360CF684" w:tentative="1">
      <w:start w:val="1"/>
      <w:numFmt w:val="bullet"/>
      <w:lvlText w:val="•"/>
      <w:lvlJc w:val="left"/>
      <w:pPr>
        <w:tabs>
          <w:tab w:val="num" w:pos="3960"/>
        </w:tabs>
        <w:ind w:left="3960" w:hanging="360"/>
      </w:pPr>
      <w:rPr>
        <w:rFonts w:ascii="Times New Roman" w:hAnsi="Times New Roman" w:hint="default"/>
      </w:rPr>
    </w:lvl>
    <w:lvl w:ilvl="6" w:tplc="E66C4C76" w:tentative="1">
      <w:start w:val="1"/>
      <w:numFmt w:val="bullet"/>
      <w:lvlText w:val="•"/>
      <w:lvlJc w:val="left"/>
      <w:pPr>
        <w:tabs>
          <w:tab w:val="num" w:pos="4680"/>
        </w:tabs>
        <w:ind w:left="4680" w:hanging="360"/>
      </w:pPr>
      <w:rPr>
        <w:rFonts w:ascii="Times New Roman" w:hAnsi="Times New Roman" w:hint="default"/>
      </w:rPr>
    </w:lvl>
    <w:lvl w:ilvl="7" w:tplc="B15482C4" w:tentative="1">
      <w:start w:val="1"/>
      <w:numFmt w:val="bullet"/>
      <w:lvlText w:val="•"/>
      <w:lvlJc w:val="left"/>
      <w:pPr>
        <w:tabs>
          <w:tab w:val="num" w:pos="5400"/>
        </w:tabs>
        <w:ind w:left="5400" w:hanging="360"/>
      </w:pPr>
      <w:rPr>
        <w:rFonts w:ascii="Times New Roman" w:hAnsi="Times New Roman" w:hint="default"/>
      </w:rPr>
    </w:lvl>
    <w:lvl w:ilvl="8" w:tplc="0F7AFAE0" w:tentative="1">
      <w:start w:val="1"/>
      <w:numFmt w:val="bullet"/>
      <w:lvlText w:val="•"/>
      <w:lvlJc w:val="left"/>
      <w:pPr>
        <w:tabs>
          <w:tab w:val="num" w:pos="6120"/>
        </w:tabs>
        <w:ind w:left="6120" w:hanging="360"/>
      </w:pPr>
      <w:rPr>
        <w:rFonts w:ascii="Times New Roman" w:hAnsi="Times New Roman" w:hint="default"/>
      </w:rPr>
    </w:lvl>
  </w:abstractNum>
  <w:abstractNum w:abstractNumId="7">
    <w:nsid w:val="51C11E56"/>
    <w:multiLevelType w:val="hybridMultilevel"/>
    <w:tmpl w:val="E11A65C4"/>
    <w:lvl w:ilvl="0" w:tplc="0809000F">
      <w:start w:val="1"/>
      <w:numFmt w:val="decimal"/>
      <w:lvlText w:val="%1."/>
      <w:lvlJc w:val="left"/>
      <w:pPr>
        <w:tabs>
          <w:tab w:val="num" w:pos="-60"/>
        </w:tabs>
        <w:ind w:left="-60" w:hanging="360"/>
      </w:pPr>
      <w:rPr>
        <w:rFonts w:cs="Times New Roman"/>
      </w:rPr>
    </w:lvl>
    <w:lvl w:ilvl="1" w:tplc="08090019" w:tentative="1">
      <w:start w:val="1"/>
      <w:numFmt w:val="lowerLetter"/>
      <w:lvlText w:val="%2."/>
      <w:lvlJc w:val="left"/>
      <w:pPr>
        <w:tabs>
          <w:tab w:val="num" w:pos="660"/>
        </w:tabs>
        <w:ind w:left="660" w:hanging="360"/>
      </w:pPr>
      <w:rPr>
        <w:rFonts w:cs="Times New Roman"/>
      </w:rPr>
    </w:lvl>
    <w:lvl w:ilvl="2" w:tplc="0809001B" w:tentative="1">
      <w:start w:val="1"/>
      <w:numFmt w:val="lowerRoman"/>
      <w:lvlText w:val="%3."/>
      <w:lvlJc w:val="right"/>
      <w:pPr>
        <w:tabs>
          <w:tab w:val="num" w:pos="1380"/>
        </w:tabs>
        <w:ind w:left="1380" w:hanging="180"/>
      </w:pPr>
      <w:rPr>
        <w:rFonts w:cs="Times New Roman"/>
      </w:rPr>
    </w:lvl>
    <w:lvl w:ilvl="3" w:tplc="0809000F" w:tentative="1">
      <w:start w:val="1"/>
      <w:numFmt w:val="decimal"/>
      <w:lvlText w:val="%4."/>
      <w:lvlJc w:val="left"/>
      <w:pPr>
        <w:tabs>
          <w:tab w:val="num" w:pos="2100"/>
        </w:tabs>
        <w:ind w:left="2100" w:hanging="360"/>
      </w:pPr>
      <w:rPr>
        <w:rFonts w:cs="Times New Roman"/>
      </w:rPr>
    </w:lvl>
    <w:lvl w:ilvl="4" w:tplc="08090019" w:tentative="1">
      <w:start w:val="1"/>
      <w:numFmt w:val="lowerLetter"/>
      <w:lvlText w:val="%5."/>
      <w:lvlJc w:val="left"/>
      <w:pPr>
        <w:tabs>
          <w:tab w:val="num" w:pos="2820"/>
        </w:tabs>
        <w:ind w:left="2820" w:hanging="360"/>
      </w:pPr>
      <w:rPr>
        <w:rFonts w:cs="Times New Roman"/>
      </w:rPr>
    </w:lvl>
    <w:lvl w:ilvl="5" w:tplc="0809001B" w:tentative="1">
      <w:start w:val="1"/>
      <w:numFmt w:val="lowerRoman"/>
      <w:lvlText w:val="%6."/>
      <w:lvlJc w:val="right"/>
      <w:pPr>
        <w:tabs>
          <w:tab w:val="num" w:pos="3540"/>
        </w:tabs>
        <w:ind w:left="3540" w:hanging="180"/>
      </w:pPr>
      <w:rPr>
        <w:rFonts w:cs="Times New Roman"/>
      </w:rPr>
    </w:lvl>
    <w:lvl w:ilvl="6" w:tplc="0809000F" w:tentative="1">
      <w:start w:val="1"/>
      <w:numFmt w:val="decimal"/>
      <w:lvlText w:val="%7."/>
      <w:lvlJc w:val="left"/>
      <w:pPr>
        <w:tabs>
          <w:tab w:val="num" w:pos="4260"/>
        </w:tabs>
        <w:ind w:left="4260" w:hanging="360"/>
      </w:pPr>
      <w:rPr>
        <w:rFonts w:cs="Times New Roman"/>
      </w:rPr>
    </w:lvl>
    <w:lvl w:ilvl="7" w:tplc="08090019" w:tentative="1">
      <w:start w:val="1"/>
      <w:numFmt w:val="lowerLetter"/>
      <w:lvlText w:val="%8."/>
      <w:lvlJc w:val="left"/>
      <w:pPr>
        <w:tabs>
          <w:tab w:val="num" w:pos="4980"/>
        </w:tabs>
        <w:ind w:left="4980" w:hanging="360"/>
      </w:pPr>
      <w:rPr>
        <w:rFonts w:cs="Times New Roman"/>
      </w:rPr>
    </w:lvl>
    <w:lvl w:ilvl="8" w:tplc="0809001B" w:tentative="1">
      <w:start w:val="1"/>
      <w:numFmt w:val="lowerRoman"/>
      <w:lvlText w:val="%9."/>
      <w:lvlJc w:val="right"/>
      <w:pPr>
        <w:tabs>
          <w:tab w:val="num" w:pos="5700"/>
        </w:tabs>
        <w:ind w:left="5700" w:hanging="180"/>
      </w:pPr>
      <w:rPr>
        <w:rFonts w:cs="Times New Roman"/>
      </w:rPr>
    </w:lvl>
  </w:abstractNum>
  <w:abstractNum w:abstractNumId="8">
    <w:nsid w:val="749557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76184AEE"/>
    <w:multiLevelType w:val="hybridMultilevel"/>
    <w:tmpl w:val="C88C3068"/>
    <w:lvl w:ilvl="0" w:tplc="08090001">
      <w:start w:val="1"/>
      <w:numFmt w:val="bullet"/>
      <w:lvlText w:val=""/>
      <w:lvlJc w:val="left"/>
      <w:pPr>
        <w:tabs>
          <w:tab w:val="num" w:pos="779"/>
        </w:tabs>
        <w:ind w:left="779"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5"/>
  </w:num>
  <w:num w:numId="2">
    <w:abstractNumId w:val="8"/>
  </w:num>
  <w:num w:numId="3">
    <w:abstractNumId w:val="1"/>
  </w:num>
  <w:num w:numId="4">
    <w:abstractNumId w:val="6"/>
  </w:num>
  <w:num w:numId="5">
    <w:abstractNumId w:val="2"/>
  </w:num>
  <w:num w:numId="6">
    <w:abstractNumId w:val="3"/>
  </w:num>
  <w:num w:numId="7">
    <w:abstractNumId w:val="0"/>
  </w:num>
  <w:num w:numId="8">
    <w:abstractNumId w:val="4"/>
  </w:num>
  <w:num w:numId="9">
    <w:abstractNumId w:val="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420"/>
    <w:rsid w:val="00001B42"/>
    <w:rsid w:val="00002775"/>
    <w:rsid w:val="00004840"/>
    <w:rsid w:val="000061D9"/>
    <w:rsid w:val="00014C98"/>
    <w:rsid w:val="00021E1C"/>
    <w:rsid w:val="000228E5"/>
    <w:rsid w:val="00022C30"/>
    <w:rsid w:val="00026DD6"/>
    <w:rsid w:val="000329B4"/>
    <w:rsid w:val="000348C5"/>
    <w:rsid w:val="00035CA9"/>
    <w:rsid w:val="0004129E"/>
    <w:rsid w:val="00054152"/>
    <w:rsid w:val="00057E72"/>
    <w:rsid w:val="00063F75"/>
    <w:rsid w:val="000906E4"/>
    <w:rsid w:val="0009297A"/>
    <w:rsid w:val="000A5598"/>
    <w:rsid w:val="000A7E74"/>
    <w:rsid w:val="000B1F08"/>
    <w:rsid w:val="000C3351"/>
    <w:rsid w:val="000E1EFF"/>
    <w:rsid w:val="000F1853"/>
    <w:rsid w:val="00103573"/>
    <w:rsid w:val="001119C2"/>
    <w:rsid w:val="00112637"/>
    <w:rsid w:val="00114709"/>
    <w:rsid w:val="0012391E"/>
    <w:rsid w:val="001278C6"/>
    <w:rsid w:val="00135CE7"/>
    <w:rsid w:val="0014245F"/>
    <w:rsid w:val="0015765E"/>
    <w:rsid w:val="00162B59"/>
    <w:rsid w:val="00181A19"/>
    <w:rsid w:val="0019255A"/>
    <w:rsid w:val="001A3CF3"/>
    <w:rsid w:val="001A5CF5"/>
    <w:rsid w:val="001A7E73"/>
    <w:rsid w:val="001B0309"/>
    <w:rsid w:val="001B0336"/>
    <w:rsid w:val="001B0821"/>
    <w:rsid w:val="001B365B"/>
    <w:rsid w:val="001B71EB"/>
    <w:rsid w:val="001C5161"/>
    <w:rsid w:val="001D201E"/>
    <w:rsid w:val="001D42A8"/>
    <w:rsid w:val="001E02C9"/>
    <w:rsid w:val="001E2B76"/>
    <w:rsid w:val="001E619A"/>
    <w:rsid w:val="001F13E9"/>
    <w:rsid w:val="001F2A0E"/>
    <w:rsid w:val="001F6F88"/>
    <w:rsid w:val="0020772F"/>
    <w:rsid w:val="002077F3"/>
    <w:rsid w:val="002134C4"/>
    <w:rsid w:val="00220D7B"/>
    <w:rsid w:val="00223CCB"/>
    <w:rsid w:val="002329AB"/>
    <w:rsid w:val="00246208"/>
    <w:rsid w:val="00251580"/>
    <w:rsid w:val="0025407B"/>
    <w:rsid w:val="00255F6A"/>
    <w:rsid w:val="00257B94"/>
    <w:rsid w:val="00263229"/>
    <w:rsid w:val="00265570"/>
    <w:rsid w:val="00270C70"/>
    <w:rsid w:val="0027475E"/>
    <w:rsid w:val="0028260C"/>
    <w:rsid w:val="00290A52"/>
    <w:rsid w:val="00295F3A"/>
    <w:rsid w:val="002A7669"/>
    <w:rsid w:val="002B6ED4"/>
    <w:rsid w:val="002D130D"/>
    <w:rsid w:val="002D18A5"/>
    <w:rsid w:val="002D240B"/>
    <w:rsid w:val="002D2B9D"/>
    <w:rsid w:val="002D5CEA"/>
    <w:rsid w:val="002D7A0F"/>
    <w:rsid w:val="002F03B6"/>
    <w:rsid w:val="002F0CFC"/>
    <w:rsid w:val="002F0E8B"/>
    <w:rsid w:val="002F3AA7"/>
    <w:rsid w:val="002F3AE5"/>
    <w:rsid w:val="002F5063"/>
    <w:rsid w:val="003004A3"/>
    <w:rsid w:val="00312498"/>
    <w:rsid w:val="0031511C"/>
    <w:rsid w:val="003215BA"/>
    <w:rsid w:val="00331C29"/>
    <w:rsid w:val="003348C9"/>
    <w:rsid w:val="003424AE"/>
    <w:rsid w:val="00364D8F"/>
    <w:rsid w:val="003804E1"/>
    <w:rsid w:val="00380B89"/>
    <w:rsid w:val="0038180B"/>
    <w:rsid w:val="00387E2C"/>
    <w:rsid w:val="00391C9D"/>
    <w:rsid w:val="003B02BF"/>
    <w:rsid w:val="003B59FC"/>
    <w:rsid w:val="003B76C9"/>
    <w:rsid w:val="003C11FC"/>
    <w:rsid w:val="003C670D"/>
    <w:rsid w:val="003D0E9D"/>
    <w:rsid w:val="003D0F87"/>
    <w:rsid w:val="003E3FF6"/>
    <w:rsid w:val="003F1801"/>
    <w:rsid w:val="003F2B93"/>
    <w:rsid w:val="00400FA2"/>
    <w:rsid w:val="004027E9"/>
    <w:rsid w:val="004265A9"/>
    <w:rsid w:val="00427835"/>
    <w:rsid w:val="004349DC"/>
    <w:rsid w:val="00440E27"/>
    <w:rsid w:val="00445D9E"/>
    <w:rsid w:val="00446E88"/>
    <w:rsid w:val="004475B7"/>
    <w:rsid w:val="00447FFA"/>
    <w:rsid w:val="00453065"/>
    <w:rsid w:val="00456A33"/>
    <w:rsid w:val="004639DB"/>
    <w:rsid w:val="00463D55"/>
    <w:rsid w:val="00467059"/>
    <w:rsid w:val="00473538"/>
    <w:rsid w:val="00474002"/>
    <w:rsid w:val="00475F06"/>
    <w:rsid w:val="00485924"/>
    <w:rsid w:val="00487738"/>
    <w:rsid w:val="00491A8C"/>
    <w:rsid w:val="004A23EB"/>
    <w:rsid w:val="004A26A8"/>
    <w:rsid w:val="004A4340"/>
    <w:rsid w:val="004B5E21"/>
    <w:rsid w:val="004B7FB9"/>
    <w:rsid w:val="004C10F1"/>
    <w:rsid w:val="004C18DD"/>
    <w:rsid w:val="004C220D"/>
    <w:rsid w:val="004E03A3"/>
    <w:rsid w:val="004E2A58"/>
    <w:rsid w:val="004E59B0"/>
    <w:rsid w:val="004F6822"/>
    <w:rsid w:val="005019ED"/>
    <w:rsid w:val="00501CCF"/>
    <w:rsid w:val="00501E99"/>
    <w:rsid w:val="00502493"/>
    <w:rsid w:val="00504156"/>
    <w:rsid w:val="00506E1D"/>
    <w:rsid w:val="00512924"/>
    <w:rsid w:val="005173A6"/>
    <w:rsid w:val="00544B72"/>
    <w:rsid w:val="005461AB"/>
    <w:rsid w:val="00546855"/>
    <w:rsid w:val="00562FFC"/>
    <w:rsid w:val="00577DCB"/>
    <w:rsid w:val="00580422"/>
    <w:rsid w:val="00591137"/>
    <w:rsid w:val="005A4929"/>
    <w:rsid w:val="005A4EBC"/>
    <w:rsid w:val="005A71E3"/>
    <w:rsid w:val="005B0285"/>
    <w:rsid w:val="005B08F9"/>
    <w:rsid w:val="005B0E61"/>
    <w:rsid w:val="005B1B9B"/>
    <w:rsid w:val="005C3870"/>
    <w:rsid w:val="005D31B4"/>
    <w:rsid w:val="005D6023"/>
    <w:rsid w:val="005E6805"/>
    <w:rsid w:val="005F1510"/>
    <w:rsid w:val="005F2BAD"/>
    <w:rsid w:val="005F4F61"/>
    <w:rsid w:val="006004A7"/>
    <w:rsid w:val="00604FEF"/>
    <w:rsid w:val="00611A73"/>
    <w:rsid w:val="00617516"/>
    <w:rsid w:val="00621F63"/>
    <w:rsid w:val="00623409"/>
    <w:rsid w:val="00625928"/>
    <w:rsid w:val="00633714"/>
    <w:rsid w:val="00635730"/>
    <w:rsid w:val="00655BF9"/>
    <w:rsid w:val="0066469D"/>
    <w:rsid w:val="00682D61"/>
    <w:rsid w:val="00685162"/>
    <w:rsid w:val="0069178E"/>
    <w:rsid w:val="006955E8"/>
    <w:rsid w:val="006A57A3"/>
    <w:rsid w:val="006A6FBC"/>
    <w:rsid w:val="006B2394"/>
    <w:rsid w:val="006B28D4"/>
    <w:rsid w:val="006B44B9"/>
    <w:rsid w:val="006B46D0"/>
    <w:rsid w:val="006D0AE9"/>
    <w:rsid w:val="006D5B1A"/>
    <w:rsid w:val="006E717A"/>
    <w:rsid w:val="006F3380"/>
    <w:rsid w:val="006F3677"/>
    <w:rsid w:val="006F447E"/>
    <w:rsid w:val="0070771B"/>
    <w:rsid w:val="00715EA2"/>
    <w:rsid w:val="00721FC3"/>
    <w:rsid w:val="007303EC"/>
    <w:rsid w:val="00742311"/>
    <w:rsid w:val="00746B97"/>
    <w:rsid w:val="00747C9D"/>
    <w:rsid w:val="0075052D"/>
    <w:rsid w:val="0075315D"/>
    <w:rsid w:val="00753359"/>
    <w:rsid w:val="007774A8"/>
    <w:rsid w:val="007776AA"/>
    <w:rsid w:val="007877AE"/>
    <w:rsid w:val="00794A91"/>
    <w:rsid w:val="007A058B"/>
    <w:rsid w:val="007A131C"/>
    <w:rsid w:val="007C4009"/>
    <w:rsid w:val="007C407D"/>
    <w:rsid w:val="007E1749"/>
    <w:rsid w:val="007E548D"/>
    <w:rsid w:val="007F1B76"/>
    <w:rsid w:val="007F4BFE"/>
    <w:rsid w:val="007F5B6D"/>
    <w:rsid w:val="007F7DF5"/>
    <w:rsid w:val="008026B3"/>
    <w:rsid w:val="00806F15"/>
    <w:rsid w:val="008073C1"/>
    <w:rsid w:val="008202D9"/>
    <w:rsid w:val="00825087"/>
    <w:rsid w:val="00840B3F"/>
    <w:rsid w:val="008420B1"/>
    <w:rsid w:val="00842428"/>
    <w:rsid w:val="00856215"/>
    <w:rsid w:val="00865C83"/>
    <w:rsid w:val="008758E3"/>
    <w:rsid w:val="0088057F"/>
    <w:rsid w:val="00883756"/>
    <w:rsid w:val="00883785"/>
    <w:rsid w:val="0088475D"/>
    <w:rsid w:val="008A0802"/>
    <w:rsid w:val="008A0846"/>
    <w:rsid w:val="008A1203"/>
    <w:rsid w:val="008A1E07"/>
    <w:rsid w:val="008A2559"/>
    <w:rsid w:val="008A74AD"/>
    <w:rsid w:val="008B2AFA"/>
    <w:rsid w:val="008B3AA5"/>
    <w:rsid w:val="008B5A6B"/>
    <w:rsid w:val="008D743B"/>
    <w:rsid w:val="008E5A93"/>
    <w:rsid w:val="008F5DFE"/>
    <w:rsid w:val="009013AA"/>
    <w:rsid w:val="00904D1A"/>
    <w:rsid w:val="00907B1C"/>
    <w:rsid w:val="00913B29"/>
    <w:rsid w:val="00922AEC"/>
    <w:rsid w:val="009245FB"/>
    <w:rsid w:val="0092701A"/>
    <w:rsid w:val="00937D60"/>
    <w:rsid w:val="00941095"/>
    <w:rsid w:val="009436D5"/>
    <w:rsid w:val="00944D9D"/>
    <w:rsid w:val="00955E19"/>
    <w:rsid w:val="009636FE"/>
    <w:rsid w:val="00964FA9"/>
    <w:rsid w:val="00965565"/>
    <w:rsid w:val="0097173A"/>
    <w:rsid w:val="00977219"/>
    <w:rsid w:val="0098692B"/>
    <w:rsid w:val="00992DED"/>
    <w:rsid w:val="009A6432"/>
    <w:rsid w:val="009C0EF5"/>
    <w:rsid w:val="009C2BB2"/>
    <w:rsid w:val="009C492E"/>
    <w:rsid w:val="009D1687"/>
    <w:rsid w:val="009D59DA"/>
    <w:rsid w:val="009E0687"/>
    <w:rsid w:val="009F1C55"/>
    <w:rsid w:val="009F201D"/>
    <w:rsid w:val="009F3D40"/>
    <w:rsid w:val="00A01059"/>
    <w:rsid w:val="00A06F8A"/>
    <w:rsid w:val="00A11FB5"/>
    <w:rsid w:val="00A17292"/>
    <w:rsid w:val="00A17A2F"/>
    <w:rsid w:val="00A27704"/>
    <w:rsid w:val="00A33300"/>
    <w:rsid w:val="00A361E7"/>
    <w:rsid w:val="00A40708"/>
    <w:rsid w:val="00A4322B"/>
    <w:rsid w:val="00A50012"/>
    <w:rsid w:val="00A66374"/>
    <w:rsid w:val="00A7015D"/>
    <w:rsid w:val="00A7048D"/>
    <w:rsid w:val="00A70AEF"/>
    <w:rsid w:val="00A7533D"/>
    <w:rsid w:val="00A80FDA"/>
    <w:rsid w:val="00A8132F"/>
    <w:rsid w:val="00A83F62"/>
    <w:rsid w:val="00A90468"/>
    <w:rsid w:val="00AA3677"/>
    <w:rsid w:val="00AA66EA"/>
    <w:rsid w:val="00AB17CF"/>
    <w:rsid w:val="00AB25A1"/>
    <w:rsid w:val="00AB2B9D"/>
    <w:rsid w:val="00AB4C88"/>
    <w:rsid w:val="00AB7E90"/>
    <w:rsid w:val="00AC3365"/>
    <w:rsid w:val="00AD0B08"/>
    <w:rsid w:val="00AD3821"/>
    <w:rsid w:val="00AD6251"/>
    <w:rsid w:val="00AF2CB4"/>
    <w:rsid w:val="00B04CD1"/>
    <w:rsid w:val="00B05B16"/>
    <w:rsid w:val="00B307B2"/>
    <w:rsid w:val="00B33E76"/>
    <w:rsid w:val="00B46180"/>
    <w:rsid w:val="00B560B6"/>
    <w:rsid w:val="00B729F6"/>
    <w:rsid w:val="00B82F1A"/>
    <w:rsid w:val="00B838D9"/>
    <w:rsid w:val="00B83AA1"/>
    <w:rsid w:val="00B85E0E"/>
    <w:rsid w:val="00B90970"/>
    <w:rsid w:val="00B93F4F"/>
    <w:rsid w:val="00B961A6"/>
    <w:rsid w:val="00B966DF"/>
    <w:rsid w:val="00B97CD9"/>
    <w:rsid w:val="00BA05C5"/>
    <w:rsid w:val="00BA1A68"/>
    <w:rsid w:val="00BB234C"/>
    <w:rsid w:val="00BB6D3F"/>
    <w:rsid w:val="00BC139C"/>
    <w:rsid w:val="00BE3D4D"/>
    <w:rsid w:val="00BF3EAD"/>
    <w:rsid w:val="00C005E0"/>
    <w:rsid w:val="00C06795"/>
    <w:rsid w:val="00C15B42"/>
    <w:rsid w:val="00C26F6A"/>
    <w:rsid w:val="00C409CD"/>
    <w:rsid w:val="00C44D90"/>
    <w:rsid w:val="00C458DC"/>
    <w:rsid w:val="00C51132"/>
    <w:rsid w:val="00C6290A"/>
    <w:rsid w:val="00C77159"/>
    <w:rsid w:val="00C84BDF"/>
    <w:rsid w:val="00C84DEE"/>
    <w:rsid w:val="00C93027"/>
    <w:rsid w:val="00CA2F3F"/>
    <w:rsid w:val="00CB44B0"/>
    <w:rsid w:val="00CC04C5"/>
    <w:rsid w:val="00CC54C3"/>
    <w:rsid w:val="00CD45B7"/>
    <w:rsid w:val="00CF43FF"/>
    <w:rsid w:val="00CF7479"/>
    <w:rsid w:val="00D05A78"/>
    <w:rsid w:val="00D073C9"/>
    <w:rsid w:val="00D12CB0"/>
    <w:rsid w:val="00D1548D"/>
    <w:rsid w:val="00D2648C"/>
    <w:rsid w:val="00D37EB9"/>
    <w:rsid w:val="00D44A1D"/>
    <w:rsid w:val="00D61B52"/>
    <w:rsid w:val="00D62CD2"/>
    <w:rsid w:val="00D65007"/>
    <w:rsid w:val="00D67A7E"/>
    <w:rsid w:val="00D72C7E"/>
    <w:rsid w:val="00D73F6F"/>
    <w:rsid w:val="00D800DC"/>
    <w:rsid w:val="00D8014E"/>
    <w:rsid w:val="00D82E4B"/>
    <w:rsid w:val="00D856E6"/>
    <w:rsid w:val="00D93E80"/>
    <w:rsid w:val="00DA1CEC"/>
    <w:rsid w:val="00DA7895"/>
    <w:rsid w:val="00DB0A8A"/>
    <w:rsid w:val="00DB1643"/>
    <w:rsid w:val="00DB45C2"/>
    <w:rsid w:val="00DB5861"/>
    <w:rsid w:val="00DC08FD"/>
    <w:rsid w:val="00DC4A68"/>
    <w:rsid w:val="00DD0F1B"/>
    <w:rsid w:val="00DE3166"/>
    <w:rsid w:val="00DE7FF0"/>
    <w:rsid w:val="00DF33D7"/>
    <w:rsid w:val="00DF4E54"/>
    <w:rsid w:val="00DF593A"/>
    <w:rsid w:val="00E06FD3"/>
    <w:rsid w:val="00E107C9"/>
    <w:rsid w:val="00E112F0"/>
    <w:rsid w:val="00E15C42"/>
    <w:rsid w:val="00E25B8D"/>
    <w:rsid w:val="00E270AC"/>
    <w:rsid w:val="00E2723C"/>
    <w:rsid w:val="00E31200"/>
    <w:rsid w:val="00E31286"/>
    <w:rsid w:val="00E31FEB"/>
    <w:rsid w:val="00E32159"/>
    <w:rsid w:val="00E37B22"/>
    <w:rsid w:val="00E411F1"/>
    <w:rsid w:val="00E42554"/>
    <w:rsid w:val="00E51009"/>
    <w:rsid w:val="00E536D8"/>
    <w:rsid w:val="00E64396"/>
    <w:rsid w:val="00E7182A"/>
    <w:rsid w:val="00E73B95"/>
    <w:rsid w:val="00E86A7B"/>
    <w:rsid w:val="00E92E90"/>
    <w:rsid w:val="00E954D4"/>
    <w:rsid w:val="00EA032E"/>
    <w:rsid w:val="00EA0352"/>
    <w:rsid w:val="00EA6752"/>
    <w:rsid w:val="00EA7BBD"/>
    <w:rsid w:val="00EB2E39"/>
    <w:rsid w:val="00EB2EBE"/>
    <w:rsid w:val="00EC2D18"/>
    <w:rsid w:val="00ED67F1"/>
    <w:rsid w:val="00EF0C67"/>
    <w:rsid w:val="00EF3EFF"/>
    <w:rsid w:val="00EF7539"/>
    <w:rsid w:val="00F01686"/>
    <w:rsid w:val="00F15176"/>
    <w:rsid w:val="00F15420"/>
    <w:rsid w:val="00F1690A"/>
    <w:rsid w:val="00F24D71"/>
    <w:rsid w:val="00F2527A"/>
    <w:rsid w:val="00F31E6D"/>
    <w:rsid w:val="00F3262E"/>
    <w:rsid w:val="00F47F53"/>
    <w:rsid w:val="00F51CDC"/>
    <w:rsid w:val="00F552A7"/>
    <w:rsid w:val="00F569CC"/>
    <w:rsid w:val="00F618B2"/>
    <w:rsid w:val="00F65224"/>
    <w:rsid w:val="00F653BC"/>
    <w:rsid w:val="00F65816"/>
    <w:rsid w:val="00F91F6D"/>
    <w:rsid w:val="00F94F0F"/>
    <w:rsid w:val="00F9521D"/>
    <w:rsid w:val="00FA1E23"/>
    <w:rsid w:val="00FA664C"/>
    <w:rsid w:val="00FA7251"/>
    <w:rsid w:val="00FB0736"/>
    <w:rsid w:val="00FC0940"/>
    <w:rsid w:val="00FC4889"/>
    <w:rsid w:val="00FC6018"/>
    <w:rsid w:val="00FE3F1F"/>
    <w:rsid w:val="00FF3B54"/>
    <w:rsid w:val="00FF3E9D"/>
    <w:rsid w:val="00FF63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DC"/>
    <w:rPr>
      <w:sz w:val="24"/>
      <w:szCs w:val="24"/>
      <w:lang w:val="en-GB"/>
    </w:rPr>
  </w:style>
  <w:style w:type="paragraph" w:styleId="Heading1">
    <w:name w:val="heading 1"/>
    <w:basedOn w:val="Normal"/>
    <w:next w:val="Normal"/>
    <w:link w:val="Heading1Char"/>
    <w:uiPriority w:val="99"/>
    <w:qFormat/>
    <w:rsid w:val="001D201E"/>
    <w:pPr>
      <w:keepNext/>
      <w:jc w:val="both"/>
      <w:outlineLvl w:val="0"/>
    </w:pPr>
    <w:rPr>
      <w:rFonts w:ascii="Arial" w:hAnsi="Arial" w:cs="Arial"/>
      <w:b/>
      <w:bCs/>
    </w:rPr>
  </w:style>
  <w:style w:type="paragraph" w:styleId="Heading2">
    <w:name w:val="heading 2"/>
    <w:basedOn w:val="Normal"/>
    <w:next w:val="Normal"/>
    <w:link w:val="Heading2Char"/>
    <w:uiPriority w:val="99"/>
    <w:qFormat/>
    <w:rsid w:val="001D201E"/>
    <w:pPr>
      <w:keepNext/>
      <w:ind w:left="-720"/>
      <w:jc w:val="both"/>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23E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A23EB"/>
    <w:rPr>
      <w:rFonts w:ascii="Cambria" w:hAnsi="Cambria" w:cs="Times New Roman"/>
      <w:b/>
      <w:bCs/>
      <w:i/>
      <w:iCs/>
      <w:sz w:val="28"/>
      <w:szCs w:val="28"/>
      <w:lang w:eastAsia="en-US"/>
    </w:rPr>
  </w:style>
  <w:style w:type="paragraph" w:styleId="Title">
    <w:name w:val="Title"/>
    <w:basedOn w:val="Normal"/>
    <w:link w:val="TitleChar"/>
    <w:uiPriority w:val="99"/>
    <w:qFormat/>
    <w:rsid w:val="001D201E"/>
    <w:pPr>
      <w:jc w:val="center"/>
    </w:pPr>
    <w:rPr>
      <w:rFonts w:ascii="Arial" w:hAnsi="Arial" w:cs="Arial"/>
      <w:b/>
      <w:bCs/>
    </w:rPr>
  </w:style>
  <w:style w:type="character" w:customStyle="1" w:styleId="TitleChar">
    <w:name w:val="Title Char"/>
    <w:basedOn w:val="DefaultParagraphFont"/>
    <w:link w:val="Title"/>
    <w:uiPriority w:val="99"/>
    <w:locked/>
    <w:rsid w:val="004A23EB"/>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1D201E"/>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4A23EB"/>
    <w:rPr>
      <w:rFonts w:cs="Times New Roman"/>
      <w:sz w:val="24"/>
      <w:szCs w:val="24"/>
      <w:lang w:eastAsia="en-US"/>
    </w:rPr>
  </w:style>
  <w:style w:type="paragraph" w:styleId="BalloonText">
    <w:name w:val="Balloon Text"/>
    <w:basedOn w:val="Normal"/>
    <w:link w:val="BalloonTextChar"/>
    <w:uiPriority w:val="99"/>
    <w:semiHidden/>
    <w:rsid w:val="001D20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3EB"/>
    <w:rPr>
      <w:rFonts w:cs="Times New Roman"/>
      <w:sz w:val="2"/>
      <w:lang w:eastAsia="en-US"/>
    </w:rPr>
  </w:style>
  <w:style w:type="paragraph" w:styleId="NormalWeb">
    <w:name w:val="Normal (Web)"/>
    <w:basedOn w:val="Normal"/>
    <w:uiPriority w:val="99"/>
    <w:rsid w:val="006004A7"/>
    <w:pPr>
      <w:spacing w:before="100" w:beforeAutospacing="1" w:after="100" w:afterAutospacing="1"/>
    </w:pPr>
    <w:rPr>
      <w:lang w:eastAsia="en-GB"/>
    </w:rPr>
  </w:style>
  <w:style w:type="paragraph" w:styleId="BodyText">
    <w:name w:val="Body Text"/>
    <w:basedOn w:val="Normal"/>
    <w:link w:val="BodyTextChar"/>
    <w:uiPriority w:val="99"/>
    <w:rsid w:val="004B7FB9"/>
    <w:pPr>
      <w:spacing w:after="120"/>
    </w:pPr>
  </w:style>
  <w:style w:type="character" w:customStyle="1" w:styleId="BodyTextChar">
    <w:name w:val="Body Text Char"/>
    <w:basedOn w:val="DefaultParagraphFont"/>
    <w:link w:val="BodyText"/>
    <w:uiPriority w:val="99"/>
    <w:semiHidden/>
    <w:locked/>
    <w:rsid w:val="004A23EB"/>
    <w:rPr>
      <w:rFonts w:cs="Times New Roman"/>
      <w:sz w:val="24"/>
      <w:szCs w:val="24"/>
      <w:lang w:eastAsia="en-US"/>
    </w:rPr>
  </w:style>
  <w:style w:type="character" w:styleId="Hyperlink">
    <w:name w:val="Hyperlink"/>
    <w:basedOn w:val="DefaultParagraphFont"/>
    <w:uiPriority w:val="99"/>
    <w:rsid w:val="000061D9"/>
    <w:rPr>
      <w:rFonts w:cs="Times New Roman"/>
      <w:color w:val="0000FF"/>
      <w:u w:val="single"/>
    </w:rPr>
  </w:style>
  <w:style w:type="paragraph" w:customStyle="1" w:styleId="Contact">
    <w:name w:val="Contact"/>
    <w:basedOn w:val="Footer"/>
    <w:uiPriority w:val="99"/>
    <w:rsid w:val="000061D9"/>
    <w:pPr>
      <w:widowControl w:val="0"/>
      <w:tabs>
        <w:tab w:val="clear" w:pos="4153"/>
        <w:tab w:val="clear" w:pos="8306"/>
      </w:tabs>
      <w:ind w:firstLine="4230"/>
      <w:jc w:val="both"/>
    </w:pPr>
    <w:rPr>
      <w:rFonts w:ascii="Helvetica 45 Light" w:hAnsi="Helvetica 45 Light" w:cs="Arial"/>
      <w:sz w:val="20"/>
      <w:szCs w:val="20"/>
      <w:lang w:eastAsia="en-GB"/>
    </w:rPr>
  </w:style>
  <w:style w:type="paragraph" w:customStyle="1" w:styleId="PressInformation">
    <w:name w:val="PressInformation"/>
    <w:basedOn w:val="Normal"/>
    <w:uiPriority w:val="99"/>
    <w:rsid w:val="000061D9"/>
    <w:pPr>
      <w:widowControl w:val="0"/>
    </w:pPr>
    <w:rPr>
      <w:rFonts w:ascii="Arial" w:hAnsi="Arial" w:cs="Arial"/>
      <w:b/>
      <w:bCs/>
      <w:sz w:val="28"/>
      <w:szCs w:val="28"/>
      <w:lang w:eastAsia="en-GB"/>
    </w:rPr>
  </w:style>
  <w:style w:type="paragraph" w:styleId="Footer">
    <w:name w:val="footer"/>
    <w:basedOn w:val="Normal"/>
    <w:link w:val="FooterChar"/>
    <w:uiPriority w:val="99"/>
    <w:rsid w:val="000061D9"/>
    <w:pPr>
      <w:tabs>
        <w:tab w:val="center" w:pos="4153"/>
        <w:tab w:val="right" w:pos="8306"/>
      </w:tabs>
    </w:pPr>
  </w:style>
  <w:style w:type="character" w:customStyle="1" w:styleId="FooterChar">
    <w:name w:val="Footer Char"/>
    <w:basedOn w:val="DefaultParagraphFont"/>
    <w:link w:val="Footer"/>
    <w:uiPriority w:val="99"/>
    <w:semiHidden/>
    <w:locked/>
    <w:rsid w:val="004A23EB"/>
    <w:rPr>
      <w:rFonts w:cs="Times New Roman"/>
      <w:sz w:val="24"/>
      <w:szCs w:val="24"/>
      <w:lang w:eastAsia="en-US"/>
    </w:rPr>
  </w:style>
  <w:style w:type="table" w:styleId="TableGrid">
    <w:name w:val="Table Grid"/>
    <w:basedOn w:val="TableNormal"/>
    <w:uiPriority w:val="99"/>
    <w:rsid w:val="00334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C54C3"/>
    <w:pPr>
      <w:ind w:left="720"/>
      <w:contextualSpacing/>
    </w:pPr>
    <w:rPr>
      <w:lang w:val="en-US"/>
    </w:rPr>
  </w:style>
  <w:style w:type="paragraph" w:styleId="FootnoteText">
    <w:name w:val="footnote text"/>
    <w:basedOn w:val="Normal"/>
    <w:link w:val="FootnoteTextChar"/>
    <w:uiPriority w:val="99"/>
    <w:rsid w:val="00CC54C3"/>
  </w:style>
  <w:style w:type="character" w:customStyle="1" w:styleId="FootnoteTextChar">
    <w:name w:val="Footnote Text Char"/>
    <w:basedOn w:val="DefaultParagraphFont"/>
    <w:link w:val="FootnoteText"/>
    <w:uiPriority w:val="99"/>
    <w:locked/>
    <w:rsid w:val="00CC54C3"/>
    <w:rPr>
      <w:rFonts w:cs="Times New Roman"/>
      <w:sz w:val="24"/>
      <w:lang w:val="en-GB" w:eastAsia="en-US"/>
    </w:rPr>
  </w:style>
  <w:style w:type="character" w:styleId="FootnoteReference">
    <w:name w:val="footnote reference"/>
    <w:basedOn w:val="DefaultParagraphFont"/>
    <w:uiPriority w:val="99"/>
    <w:rsid w:val="00CC54C3"/>
    <w:rPr>
      <w:rFonts w:cs="Times New Roman"/>
      <w:vertAlign w:val="superscript"/>
    </w:rPr>
  </w:style>
  <w:style w:type="character" w:styleId="CommentReference">
    <w:name w:val="annotation reference"/>
    <w:basedOn w:val="DefaultParagraphFont"/>
    <w:uiPriority w:val="99"/>
    <w:semiHidden/>
    <w:rsid w:val="001B0821"/>
    <w:rPr>
      <w:rFonts w:cs="Times New Roman"/>
      <w:sz w:val="16"/>
      <w:szCs w:val="16"/>
    </w:rPr>
  </w:style>
  <w:style w:type="paragraph" w:styleId="CommentText">
    <w:name w:val="annotation text"/>
    <w:basedOn w:val="Normal"/>
    <w:link w:val="CommentTextChar"/>
    <w:uiPriority w:val="99"/>
    <w:semiHidden/>
    <w:rsid w:val="001B0821"/>
    <w:rPr>
      <w:sz w:val="20"/>
      <w:szCs w:val="20"/>
    </w:rPr>
  </w:style>
  <w:style w:type="character" w:customStyle="1" w:styleId="CommentTextChar">
    <w:name w:val="Comment Text Char"/>
    <w:basedOn w:val="DefaultParagraphFont"/>
    <w:link w:val="CommentText"/>
    <w:uiPriority w:val="99"/>
    <w:semiHidden/>
    <w:locked/>
    <w:rsid w:val="004A23E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B0821"/>
    <w:rPr>
      <w:b/>
      <w:bCs/>
    </w:rPr>
  </w:style>
  <w:style w:type="character" w:customStyle="1" w:styleId="CommentSubjectChar">
    <w:name w:val="Comment Subject Char"/>
    <w:basedOn w:val="CommentTextChar"/>
    <w:link w:val="CommentSubject"/>
    <w:uiPriority w:val="99"/>
    <w:semiHidden/>
    <w:locked/>
    <w:rsid w:val="004A23EB"/>
    <w:rPr>
      <w:b/>
      <w:bCs/>
    </w:rPr>
  </w:style>
  <w:style w:type="paragraph" w:styleId="EndnoteText">
    <w:name w:val="endnote text"/>
    <w:basedOn w:val="Normal"/>
    <w:link w:val="EndnoteTextChar"/>
    <w:uiPriority w:val="99"/>
    <w:semiHidden/>
    <w:rsid w:val="00604FEF"/>
    <w:rPr>
      <w:sz w:val="20"/>
      <w:szCs w:val="20"/>
    </w:rPr>
  </w:style>
  <w:style w:type="character" w:customStyle="1" w:styleId="EndnoteTextChar">
    <w:name w:val="Endnote Text Char"/>
    <w:basedOn w:val="DefaultParagraphFont"/>
    <w:link w:val="EndnoteText"/>
    <w:uiPriority w:val="99"/>
    <w:semiHidden/>
    <w:locked/>
    <w:rsid w:val="00604FEF"/>
    <w:rPr>
      <w:rFonts w:cs="Times New Roman"/>
      <w:sz w:val="20"/>
      <w:szCs w:val="20"/>
      <w:lang w:eastAsia="en-US"/>
    </w:rPr>
  </w:style>
  <w:style w:type="character" w:styleId="EndnoteReference">
    <w:name w:val="endnote reference"/>
    <w:basedOn w:val="DefaultParagraphFont"/>
    <w:uiPriority w:val="99"/>
    <w:semiHidden/>
    <w:rsid w:val="00604FEF"/>
    <w:rPr>
      <w:rFonts w:cs="Times New Roman"/>
      <w:vertAlign w:val="superscript"/>
    </w:rPr>
  </w:style>
  <w:style w:type="character" w:styleId="PageNumber">
    <w:name w:val="page number"/>
    <w:basedOn w:val="DefaultParagraphFont"/>
    <w:uiPriority w:val="99"/>
    <w:rsid w:val="00B05B16"/>
    <w:rPr>
      <w:rFonts w:cs="Times New Roman"/>
    </w:rPr>
  </w:style>
  <w:style w:type="paragraph" w:styleId="Header">
    <w:name w:val="header"/>
    <w:basedOn w:val="Normal"/>
    <w:link w:val="HeaderChar"/>
    <w:uiPriority w:val="99"/>
    <w:rsid w:val="00B05B16"/>
    <w:pPr>
      <w:tabs>
        <w:tab w:val="center" w:pos="4320"/>
        <w:tab w:val="right" w:pos="8640"/>
      </w:tabs>
    </w:pPr>
  </w:style>
  <w:style w:type="character" w:customStyle="1" w:styleId="HeaderChar">
    <w:name w:val="Header Char"/>
    <w:basedOn w:val="DefaultParagraphFont"/>
    <w:link w:val="Header"/>
    <w:uiPriority w:val="99"/>
    <w:semiHidden/>
    <w:locked/>
    <w:rsid w:val="00223CCB"/>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914505902">
      <w:marLeft w:val="0"/>
      <w:marRight w:val="0"/>
      <w:marTop w:val="0"/>
      <w:marBottom w:val="0"/>
      <w:divBdr>
        <w:top w:val="none" w:sz="0" w:space="0" w:color="auto"/>
        <w:left w:val="none" w:sz="0" w:space="0" w:color="auto"/>
        <w:bottom w:val="none" w:sz="0" w:space="0" w:color="auto"/>
        <w:right w:val="none" w:sz="0" w:space="0" w:color="auto"/>
      </w:divBdr>
      <w:divsChild>
        <w:div w:id="1914505924">
          <w:marLeft w:val="0"/>
          <w:marRight w:val="0"/>
          <w:marTop w:val="0"/>
          <w:marBottom w:val="0"/>
          <w:divBdr>
            <w:top w:val="none" w:sz="0" w:space="0" w:color="auto"/>
            <w:left w:val="none" w:sz="0" w:space="0" w:color="auto"/>
            <w:bottom w:val="none" w:sz="0" w:space="0" w:color="auto"/>
            <w:right w:val="none" w:sz="0" w:space="0" w:color="auto"/>
          </w:divBdr>
        </w:div>
      </w:divsChild>
    </w:div>
    <w:div w:id="1914505904">
      <w:marLeft w:val="0"/>
      <w:marRight w:val="0"/>
      <w:marTop w:val="0"/>
      <w:marBottom w:val="0"/>
      <w:divBdr>
        <w:top w:val="none" w:sz="0" w:space="0" w:color="auto"/>
        <w:left w:val="none" w:sz="0" w:space="0" w:color="auto"/>
        <w:bottom w:val="none" w:sz="0" w:space="0" w:color="auto"/>
        <w:right w:val="none" w:sz="0" w:space="0" w:color="auto"/>
      </w:divBdr>
    </w:div>
    <w:div w:id="1914505906">
      <w:marLeft w:val="0"/>
      <w:marRight w:val="0"/>
      <w:marTop w:val="0"/>
      <w:marBottom w:val="0"/>
      <w:divBdr>
        <w:top w:val="none" w:sz="0" w:space="0" w:color="auto"/>
        <w:left w:val="none" w:sz="0" w:space="0" w:color="auto"/>
        <w:bottom w:val="none" w:sz="0" w:space="0" w:color="auto"/>
        <w:right w:val="none" w:sz="0" w:space="0" w:color="auto"/>
      </w:divBdr>
    </w:div>
    <w:div w:id="1914505908">
      <w:marLeft w:val="0"/>
      <w:marRight w:val="0"/>
      <w:marTop w:val="0"/>
      <w:marBottom w:val="0"/>
      <w:divBdr>
        <w:top w:val="none" w:sz="0" w:space="0" w:color="auto"/>
        <w:left w:val="none" w:sz="0" w:space="0" w:color="auto"/>
        <w:bottom w:val="none" w:sz="0" w:space="0" w:color="auto"/>
        <w:right w:val="none" w:sz="0" w:space="0" w:color="auto"/>
      </w:divBdr>
    </w:div>
    <w:div w:id="1914505912">
      <w:marLeft w:val="0"/>
      <w:marRight w:val="0"/>
      <w:marTop w:val="0"/>
      <w:marBottom w:val="0"/>
      <w:divBdr>
        <w:top w:val="none" w:sz="0" w:space="0" w:color="auto"/>
        <w:left w:val="none" w:sz="0" w:space="0" w:color="auto"/>
        <w:bottom w:val="none" w:sz="0" w:space="0" w:color="auto"/>
        <w:right w:val="none" w:sz="0" w:space="0" w:color="auto"/>
      </w:divBdr>
      <w:divsChild>
        <w:div w:id="1914505925">
          <w:marLeft w:val="0"/>
          <w:marRight w:val="0"/>
          <w:marTop w:val="0"/>
          <w:marBottom w:val="0"/>
          <w:divBdr>
            <w:top w:val="none" w:sz="0" w:space="0" w:color="auto"/>
            <w:left w:val="none" w:sz="0" w:space="0" w:color="auto"/>
            <w:bottom w:val="none" w:sz="0" w:space="0" w:color="auto"/>
            <w:right w:val="none" w:sz="0" w:space="0" w:color="auto"/>
          </w:divBdr>
          <w:divsChild>
            <w:div w:id="1914505903">
              <w:marLeft w:val="0"/>
              <w:marRight w:val="0"/>
              <w:marTop w:val="0"/>
              <w:marBottom w:val="0"/>
              <w:divBdr>
                <w:top w:val="none" w:sz="0" w:space="0" w:color="auto"/>
                <w:left w:val="none" w:sz="0" w:space="0" w:color="auto"/>
                <w:bottom w:val="none" w:sz="0" w:space="0" w:color="auto"/>
                <w:right w:val="none" w:sz="0" w:space="0" w:color="auto"/>
              </w:divBdr>
            </w:div>
            <w:div w:id="19145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913">
      <w:marLeft w:val="0"/>
      <w:marRight w:val="0"/>
      <w:marTop w:val="0"/>
      <w:marBottom w:val="0"/>
      <w:divBdr>
        <w:top w:val="none" w:sz="0" w:space="0" w:color="auto"/>
        <w:left w:val="none" w:sz="0" w:space="0" w:color="auto"/>
        <w:bottom w:val="none" w:sz="0" w:space="0" w:color="auto"/>
        <w:right w:val="none" w:sz="0" w:space="0" w:color="auto"/>
      </w:divBdr>
      <w:divsChild>
        <w:div w:id="1914505911">
          <w:marLeft w:val="0"/>
          <w:marRight w:val="0"/>
          <w:marTop w:val="0"/>
          <w:marBottom w:val="0"/>
          <w:divBdr>
            <w:top w:val="none" w:sz="0" w:space="0" w:color="auto"/>
            <w:left w:val="none" w:sz="0" w:space="0" w:color="auto"/>
            <w:bottom w:val="none" w:sz="0" w:space="0" w:color="auto"/>
            <w:right w:val="none" w:sz="0" w:space="0" w:color="auto"/>
          </w:divBdr>
          <w:divsChild>
            <w:div w:id="1914505916">
              <w:marLeft w:val="0"/>
              <w:marRight w:val="0"/>
              <w:marTop w:val="0"/>
              <w:marBottom w:val="0"/>
              <w:divBdr>
                <w:top w:val="none" w:sz="0" w:space="0" w:color="auto"/>
                <w:left w:val="none" w:sz="0" w:space="0" w:color="auto"/>
                <w:bottom w:val="none" w:sz="0" w:space="0" w:color="auto"/>
                <w:right w:val="none" w:sz="0" w:space="0" w:color="auto"/>
              </w:divBdr>
            </w:div>
            <w:div w:id="1914505917">
              <w:marLeft w:val="0"/>
              <w:marRight w:val="0"/>
              <w:marTop w:val="0"/>
              <w:marBottom w:val="0"/>
              <w:divBdr>
                <w:top w:val="none" w:sz="0" w:space="0" w:color="auto"/>
                <w:left w:val="none" w:sz="0" w:space="0" w:color="auto"/>
                <w:bottom w:val="none" w:sz="0" w:space="0" w:color="auto"/>
                <w:right w:val="none" w:sz="0" w:space="0" w:color="auto"/>
              </w:divBdr>
            </w:div>
            <w:div w:id="1914505919">
              <w:marLeft w:val="0"/>
              <w:marRight w:val="0"/>
              <w:marTop w:val="0"/>
              <w:marBottom w:val="0"/>
              <w:divBdr>
                <w:top w:val="none" w:sz="0" w:space="0" w:color="auto"/>
                <w:left w:val="none" w:sz="0" w:space="0" w:color="auto"/>
                <w:bottom w:val="none" w:sz="0" w:space="0" w:color="auto"/>
                <w:right w:val="none" w:sz="0" w:space="0" w:color="auto"/>
              </w:divBdr>
            </w:div>
            <w:div w:id="1914505927">
              <w:marLeft w:val="0"/>
              <w:marRight w:val="0"/>
              <w:marTop w:val="0"/>
              <w:marBottom w:val="0"/>
              <w:divBdr>
                <w:top w:val="none" w:sz="0" w:space="0" w:color="auto"/>
                <w:left w:val="none" w:sz="0" w:space="0" w:color="auto"/>
                <w:bottom w:val="none" w:sz="0" w:space="0" w:color="auto"/>
                <w:right w:val="none" w:sz="0" w:space="0" w:color="auto"/>
              </w:divBdr>
            </w:div>
            <w:div w:id="1914505928">
              <w:marLeft w:val="0"/>
              <w:marRight w:val="0"/>
              <w:marTop w:val="0"/>
              <w:marBottom w:val="0"/>
              <w:divBdr>
                <w:top w:val="none" w:sz="0" w:space="0" w:color="auto"/>
                <w:left w:val="none" w:sz="0" w:space="0" w:color="auto"/>
                <w:bottom w:val="none" w:sz="0" w:space="0" w:color="auto"/>
                <w:right w:val="none" w:sz="0" w:space="0" w:color="auto"/>
              </w:divBdr>
            </w:div>
            <w:div w:id="19145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914">
      <w:marLeft w:val="0"/>
      <w:marRight w:val="0"/>
      <w:marTop w:val="0"/>
      <w:marBottom w:val="0"/>
      <w:divBdr>
        <w:top w:val="none" w:sz="0" w:space="0" w:color="auto"/>
        <w:left w:val="none" w:sz="0" w:space="0" w:color="auto"/>
        <w:bottom w:val="none" w:sz="0" w:space="0" w:color="auto"/>
        <w:right w:val="none" w:sz="0" w:space="0" w:color="auto"/>
      </w:divBdr>
      <w:divsChild>
        <w:div w:id="1914505932">
          <w:marLeft w:val="0"/>
          <w:marRight w:val="0"/>
          <w:marTop w:val="0"/>
          <w:marBottom w:val="0"/>
          <w:divBdr>
            <w:top w:val="none" w:sz="0" w:space="0" w:color="auto"/>
            <w:left w:val="none" w:sz="0" w:space="0" w:color="auto"/>
            <w:bottom w:val="none" w:sz="0" w:space="0" w:color="auto"/>
            <w:right w:val="none" w:sz="0" w:space="0" w:color="auto"/>
          </w:divBdr>
          <w:divsChild>
            <w:div w:id="1914505905">
              <w:marLeft w:val="0"/>
              <w:marRight w:val="0"/>
              <w:marTop w:val="0"/>
              <w:marBottom w:val="0"/>
              <w:divBdr>
                <w:top w:val="none" w:sz="0" w:space="0" w:color="auto"/>
                <w:left w:val="none" w:sz="0" w:space="0" w:color="auto"/>
                <w:bottom w:val="none" w:sz="0" w:space="0" w:color="auto"/>
                <w:right w:val="none" w:sz="0" w:space="0" w:color="auto"/>
              </w:divBdr>
            </w:div>
            <w:div w:id="1914505910">
              <w:marLeft w:val="0"/>
              <w:marRight w:val="0"/>
              <w:marTop w:val="0"/>
              <w:marBottom w:val="0"/>
              <w:divBdr>
                <w:top w:val="none" w:sz="0" w:space="0" w:color="auto"/>
                <w:left w:val="none" w:sz="0" w:space="0" w:color="auto"/>
                <w:bottom w:val="none" w:sz="0" w:space="0" w:color="auto"/>
                <w:right w:val="none" w:sz="0" w:space="0" w:color="auto"/>
              </w:divBdr>
            </w:div>
            <w:div w:id="1914505918">
              <w:marLeft w:val="0"/>
              <w:marRight w:val="0"/>
              <w:marTop w:val="0"/>
              <w:marBottom w:val="0"/>
              <w:divBdr>
                <w:top w:val="none" w:sz="0" w:space="0" w:color="auto"/>
                <w:left w:val="none" w:sz="0" w:space="0" w:color="auto"/>
                <w:bottom w:val="none" w:sz="0" w:space="0" w:color="auto"/>
                <w:right w:val="none" w:sz="0" w:space="0" w:color="auto"/>
              </w:divBdr>
            </w:div>
            <w:div w:id="1914505922">
              <w:marLeft w:val="0"/>
              <w:marRight w:val="0"/>
              <w:marTop w:val="0"/>
              <w:marBottom w:val="0"/>
              <w:divBdr>
                <w:top w:val="none" w:sz="0" w:space="0" w:color="auto"/>
                <w:left w:val="none" w:sz="0" w:space="0" w:color="auto"/>
                <w:bottom w:val="none" w:sz="0" w:space="0" w:color="auto"/>
                <w:right w:val="none" w:sz="0" w:space="0" w:color="auto"/>
              </w:divBdr>
            </w:div>
            <w:div w:id="1914505926">
              <w:marLeft w:val="0"/>
              <w:marRight w:val="0"/>
              <w:marTop w:val="0"/>
              <w:marBottom w:val="0"/>
              <w:divBdr>
                <w:top w:val="none" w:sz="0" w:space="0" w:color="auto"/>
                <w:left w:val="none" w:sz="0" w:space="0" w:color="auto"/>
                <w:bottom w:val="none" w:sz="0" w:space="0" w:color="auto"/>
                <w:right w:val="none" w:sz="0" w:space="0" w:color="auto"/>
              </w:divBdr>
            </w:div>
            <w:div w:id="19145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915">
      <w:marLeft w:val="0"/>
      <w:marRight w:val="0"/>
      <w:marTop w:val="0"/>
      <w:marBottom w:val="0"/>
      <w:divBdr>
        <w:top w:val="none" w:sz="0" w:space="0" w:color="auto"/>
        <w:left w:val="none" w:sz="0" w:space="0" w:color="auto"/>
        <w:bottom w:val="none" w:sz="0" w:space="0" w:color="auto"/>
        <w:right w:val="none" w:sz="0" w:space="0" w:color="auto"/>
      </w:divBdr>
      <w:divsChild>
        <w:div w:id="1914505940">
          <w:marLeft w:val="0"/>
          <w:marRight w:val="0"/>
          <w:marTop w:val="0"/>
          <w:marBottom w:val="0"/>
          <w:divBdr>
            <w:top w:val="none" w:sz="0" w:space="0" w:color="auto"/>
            <w:left w:val="none" w:sz="0" w:space="0" w:color="auto"/>
            <w:bottom w:val="none" w:sz="0" w:space="0" w:color="auto"/>
            <w:right w:val="none" w:sz="0" w:space="0" w:color="auto"/>
          </w:divBdr>
        </w:div>
      </w:divsChild>
    </w:div>
    <w:div w:id="1914505920">
      <w:marLeft w:val="0"/>
      <w:marRight w:val="0"/>
      <w:marTop w:val="0"/>
      <w:marBottom w:val="0"/>
      <w:divBdr>
        <w:top w:val="none" w:sz="0" w:space="0" w:color="auto"/>
        <w:left w:val="none" w:sz="0" w:space="0" w:color="auto"/>
        <w:bottom w:val="none" w:sz="0" w:space="0" w:color="auto"/>
        <w:right w:val="none" w:sz="0" w:space="0" w:color="auto"/>
      </w:divBdr>
    </w:div>
    <w:div w:id="1914505923">
      <w:marLeft w:val="0"/>
      <w:marRight w:val="0"/>
      <w:marTop w:val="0"/>
      <w:marBottom w:val="0"/>
      <w:divBdr>
        <w:top w:val="none" w:sz="0" w:space="0" w:color="auto"/>
        <w:left w:val="none" w:sz="0" w:space="0" w:color="auto"/>
        <w:bottom w:val="none" w:sz="0" w:space="0" w:color="auto"/>
        <w:right w:val="none" w:sz="0" w:space="0" w:color="auto"/>
      </w:divBdr>
      <w:divsChild>
        <w:div w:id="1914505921">
          <w:marLeft w:val="0"/>
          <w:marRight w:val="0"/>
          <w:marTop w:val="0"/>
          <w:marBottom w:val="0"/>
          <w:divBdr>
            <w:top w:val="none" w:sz="0" w:space="0" w:color="auto"/>
            <w:left w:val="none" w:sz="0" w:space="0" w:color="auto"/>
            <w:bottom w:val="none" w:sz="0" w:space="0" w:color="auto"/>
            <w:right w:val="none" w:sz="0" w:space="0" w:color="auto"/>
          </w:divBdr>
        </w:div>
      </w:divsChild>
    </w:div>
    <w:div w:id="1914505929">
      <w:marLeft w:val="0"/>
      <w:marRight w:val="0"/>
      <w:marTop w:val="0"/>
      <w:marBottom w:val="0"/>
      <w:divBdr>
        <w:top w:val="none" w:sz="0" w:space="0" w:color="auto"/>
        <w:left w:val="none" w:sz="0" w:space="0" w:color="auto"/>
        <w:bottom w:val="none" w:sz="0" w:space="0" w:color="auto"/>
        <w:right w:val="none" w:sz="0" w:space="0" w:color="auto"/>
      </w:divBdr>
    </w:div>
    <w:div w:id="1914505931">
      <w:marLeft w:val="0"/>
      <w:marRight w:val="0"/>
      <w:marTop w:val="0"/>
      <w:marBottom w:val="0"/>
      <w:divBdr>
        <w:top w:val="none" w:sz="0" w:space="0" w:color="auto"/>
        <w:left w:val="none" w:sz="0" w:space="0" w:color="auto"/>
        <w:bottom w:val="none" w:sz="0" w:space="0" w:color="auto"/>
        <w:right w:val="none" w:sz="0" w:space="0" w:color="auto"/>
      </w:divBdr>
    </w:div>
    <w:div w:id="1914505933">
      <w:marLeft w:val="0"/>
      <w:marRight w:val="0"/>
      <w:marTop w:val="0"/>
      <w:marBottom w:val="0"/>
      <w:divBdr>
        <w:top w:val="none" w:sz="0" w:space="0" w:color="auto"/>
        <w:left w:val="none" w:sz="0" w:space="0" w:color="auto"/>
        <w:bottom w:val="none" w:sz="0" w:space="0" w:color="auto"/>
        <w:right w:val="none" w:sz="0" w:space="0" w:color="auto"/>
      </w:divBdr>
    </w:div>
    <w:div w:id="1914505934">
      <w:marLeft w:val="0"/>
      <w:marRight w:val="0"/>
      <w:marTop w:val="0"/>
      <w:marBottom w:val="0"/>
      <w:divBdr>
        <w:top w:val="none" w:sz="0" w:space="0" w:color="auto"/>
        <w:left w:val="none" w:sz="0" w:space="0" w:color="auto"/>
        <w:bottom w:val="none" w:sz="0" w:space="0" w:color="auto"/>
        <w:right w:val="none" w:sz="0" w:space="0" w:color="auto"/>
      </w:divBdr>
    </w:div>
    <w:div w:id="1914505935">
      <w:marLeft w:val="0"/>
      <w:marRight w:val="0"/>
      <w:marTop w:val="0"/>
      <w:marBottom w:val="0"/>
      <w:divBdr>
        <w:top w:val="none" w:sz="0" w:space="0" w:color="auto"/>
        <w:left w:val="none" w:sz="0" w:space="0" w:color="auto"/>
        <w:bottom w:val="none" w:sz="0" w:space="0" w:color="auto"/>
        <w:right w:val="none" w:sz="0" w:space="0" w:color="auto"/>
      </w:divBdr>
    </w:div>
    <w:div w:id="1914505937">
      <w:marLeft w:val="0"/>
      <w:marRight w:val="0"/>
      <w:marTop w:val="0"/>
      <w:marBottom w:val="0"/>
      <w:divBdr>
        <w:top w:val="none" w:sz="0" w:space="0" w:color="auto"/>
        <w:left w:val="none" w:sz="0" w:space="0" w:color="auto"/>
        <w:bottom w:val="none" w:sz="0" w:space="0" w:color="auto"/>
        <w:right w:val="none" w:sz="0" w:space="0" w:color="auto"/>
      </w:divBdr>
      <w:divsChild>
        <w:div w:id="1914505943">
          <w:marLeft w:val="0"/>
          <w:marRight w:val="0"/>
          <w:marTop w:val="0"/>
          <w:marBottom w:val="0"/>
          <w:divBdr>
            <w:top w:val="none" w:sz="0" w:space="0" w:color="auto"/>
            <w:left w:val="none" w:sz="0" w:space="0" w:color="auto"/>
            <w:bottom w:val="none" w:sz="0" w:space="0" w:color="auto"/>
            <w:right w:val="none" w:sz="0" w:space="0" w:color="auto"/>
          </w:divBdr>
        </w:div>
      </w:divsChild>
    </w:div>
    <w:div w:id="1914505938">
      <w:marLeft w:val="0"/>
      <w:marRight w:val="0"/>
      <w:marTop w:val="0"/>
      <w:marBottom w:val="0"/>
      <w:divBdr>
        <w:top w:val="none" w:sz="0" w:space="0" w:color="auto"/>
        <w:left w:val="none" w:sz="0" w:space="0" w:color="auto"/>
        <w:bottom w:val="none" w:sz="0" w:space="0" w:color="auto"/>
        <w:right w:val="none" w:sz="0" w:space="0" w:color="auto"/>
      </w:divBdr>
      <w:divsChild>
        <w:div w:id="1914505909">
          <w:marLeft w:val="0"/>
          <w:marRight w:val="0"/>
          <w:marTop w:val="0"/>
          <w:marBottom w:val="0"/>
          <w:divBdr>
            <w:top w:val="none" w:sz="0" w:space="0" w:color="auto"/>
            <w:left w:val="none" w:sz="0" w:space="0" w:color="auto"/>
            <w:bottom w:val="none" w:sz="0" w:space="0" w:color="auto"/>
            <w:right w:val="none" w:sz="0" w:space="0" w:color="auto"/>
          </w:divBdr>
        </w:div>
      </w:divsChild>
    </w:div>
    <w:div w:id="1914505939">
      <w:marLeft w:val="0"/>
      <w:marRight w:val="0"/>
      <w:marTop w:val="0"/>
      <w:marBottom w:val="0"/>
      <w:divBdr>
        <w:top w:val="none" w:sz="0" w:space="0" w:color="auto"/>
        <w:left w:val="none" w:sz="0" w:space="0" w:color="auto"/>
        <w:bottom w:val="none" w:sz="0" w:space="0" w:color="auto"/>
        <w:right w:val="none" w:sz="0" w:space="0" w:color="auto"/>
      </w:divBdr>
    </w:div>
    <w:div w:id="1914505941">
      <w:marLeft w:val="0"/>
      <w:marRight w:val="0"/>
      <w:marTop w:val="0"/>
      <w:marBottom w:val="0"/>
      <w:divBdr>
        <w:top w:val="none" w:sz="0" w:space="0" w:color="auto"/>
        <w:left w:val="none" w:sz="0" w:space="0" w:color="auto"/>
        <w:bottom w:val="none" w:sz="0" w:space="0" w:color="auto"/>
        <w:right w:val="none" w:sz="0" w:space="0" w:color="auto"/>
      </w:divBdr>
    </w:div>
    <w:div w:id="1914505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_brandelius@goodyea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dyear.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870</Words>
  <Characters>4963</Characters>
  <Application>Microsoft Office Outlook</Application>
  <DocSecurity>0</DocSecurity>
  <Lines>0</Lines>
  <Paragraphs>0</Paragraphs>
  <ScaleCrop>false</ScaleCrop>
  <Company>Goodyear Dunlop Europe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Premiere at IAA for Duraseal Mixed Service Tires</dc:title>
  <dc:subject/>
  <dc:creator>Jens Voelmicke</dc:creator>
  <cp:keywords/>
  <dc:description/>
  <cp:lastModifiedBy> </cp:lastModifiedBy>
  <cp:revision>3</cp:revision>
  <cp:lastPrinted>2010-08-18T17:16:00Z</cp:lastPrinted>
  <dcterms:created xsi:type="dcterms:W3CDTF">2011-11-21T14:41:00Z</dcterms:created>
  <dcterms:modified xsi:type="dcterms:W3CDTF">2011-11-21T14:42:00Z</dcterms:modified>
</cp:coreProperties>
</file>