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6D" w:rsidRDefault="004F2D6D" w:rsidP="00B87800">
      <w:pPr>
        <w:rPr>
          <w:rFonts w:ascii="Garamond" w:hAnsi="Garamond"/>
          <w:b/>
          <w:bCs/>
          <w:sz w:val="28"/>
          <w:szCs w:val="28"/>
        </w:rPr>
      </w:pPr>
    </w:p>
    <w:p w:rsidR="004F2D6D" w:rsidRDefault="004F2D6D" w:rsidP="00B87800">
      <w:pPr>
        <w:rPr>
          <w:rFonts w:ascii="Garamond" w:hAnsi="Garamond"/>
          <w:b/>
          <w:bCs/>
          <w:sz w:val="28"/>
          <w:szCs w:val="28"/>
        </w:rPr>
      </w:pPr>
    </w:p>
    <w:p w:rsidR="004F2D6D" w:rsidRDefault="004F2D6D" w:rsidP="00B87800">
      <w:pPr>
        <w:rPr>
          <w:rFonts w:ascii="Garamond" w:hAnsi="Garamond"/>
          <w:b/>
          <w:bCs/>
          <w:sz w:val="28"/>
          <w:szCs w:val="28"/>
        </w:rPr>
      </w:pPr>
    </w:p>
    <w:p w:rsidR="00D239CF" w:rsidRDefault="00D239CF" w:rsidP="00B87800">
      <w:pPr>
        <w:rPr>
          <w:rFonts w:ascii="Garamond" w:hAnsi="Garamond"/>
          <w:b/>
          <w:bCs/>
          <w:sz w:val="28"/>
          <w:szCs w:val="28"/>
        </w:rPr>
      </w:pPr>
      <w:r w:rsidRPr="001806DA">
        <w:rPr>
          <w:rFonts w:ascii="Garamond" w:hAnsi="Garamond"/>
          <w:b/>
          <w:bCs/>
          <w:sz w:val="28"/>
          <w:szCs w:val="28"/>
        </w:rPr>
        <w:t>Pressmeddelande</w:t>
      </w:r>
      <w:r w:rsidR="009621E4">
        <w:rPr>
          <w:rFonts w:ascii="Garamond" w:hAnsi="Garamond"/>
          <w:b/>
          <w:bCs/>
          <w:sz w:val="28"/>
          <w:szCs w:val="28"/>
        </w:rPr>
        <w:t xml:space="preserve"> </w:t>
      </w:r>
    </w:p>
    <w:p w:rsidR="00DA6B20" w:rsidRPr="001806DA" w:rsidRDefault="00DA6B20" w:rsidP="00B87800">
      <w:pPr>
        <w:rPr>
          <w:rFonts w:ascii="Garamond" w:hAnsi="Garamond"/>
          <w:b/>
          <w:bCs/>
          <w:sz w:val="28"/>
          <w:szCs w:val="28"/>
        </w:rPr>
      </w:pPr>
    </w:p>
    <w:p w:rsidR="00D239CF" w:rsidRPr="009621E4" w:rsidRDefault="009621E4" w:rsidP="00B87800">
      <w:pPr>
        <w:rPr>
          <w:rFonts w:ascii="Garamond" w:hAnsi="Garamond"/>
          <w:sz w:val="36"/>
          <w:szCs w:val="36"/>
        </w:rPr>
      </w:pPr>
      <w:r w:rsidRPr="009621E4">
        <w:rPr>
          <w:rFonts w:ascii="Garamond" w:hAnsi="Garamond"/>
          <w:sz w:val="36"/>
          <w:szCs w:val="36"/>
        </w:rPr>
        <w:t>Fortsatt</w:t>
      </w:r>
      <w:r w:rsidR="00522EBE" w:rsidRPr="009621E4">
        <w:rPr>
          <w:rFonts w:ascii="Garamond" w:hAnsi="Garamond"/>
          <w:sz w:val="36"/>
          <w:szCs w:val="36"/>
        </w:rPr>
        <w:t xml:space="preserve"> minskning </w:t>
      </w:r>
      <w:r w:rsidRPr="009621E4">
        <w:rPr>
          <w:rFonts w:ascii="Garamond" w:hAnsi="Garamond"/>
          <w:sz w:val="36"/>
          <w:szCs w:val="36"/>
        </w:rPr>
        <w:t>av</w:t>
      </w:r>
      <w:r w:rsidR="00522EBE" w:rsidRPr="009621E4">
        <w:rPr>
          <w:rFonts w:ascii="Garamond" w:hAnsi="Garamond"/>
          <w:sz w:val="36"/>
          <w:szCs w:val="36"/>
        </w:rPr>
        <w:t xml:space="preserve"> den reglerade svenska spelmarknaden</w:t>
      </w:r>
    </w:p>
    <w:p w:rsidR="00D239CF" w:rsidRPr="001806DA" w:rsidRDefault="00D239CF" w:rsidP="00B87800">
      <w:pPr>
        <w:rPr>
          <w:rFonts w:ascii="Garamond" w:hAnsi="Garamond"/>
        </w:rPr>
      </w:pPr>
    </w:p>
    <w:p w:rsidR="00D239CF" w:rsidRPr="001806DA" w:rsidRDefault="00D239CF" w:rsidP="00B87800">
      <w:pPr>
        <w:rPr>
          <w:rFonts w:ascii="Garamond" w:hAnsi="Garamond"/>
        </w:rPr>
      </w:pPr>
    </w:p>
    <w:p w:rsidR="00F91C30" w:rsidRDefault="00F91C30" w:rsidP="00B87800">
      <w:pPr>
        <w:rPr>
          <w:rFonts w:ascii="Garamond" w:hAnsi="Garamond"/>
          <w:b/>
          <w:bCs/>
          <w:sz w:val="24"/>
          <w:szCs w:val="24"/>
        </w:rPr>
      </w:pPr>
      <w:r w:rsidRPr="001806DA">
        <w:rPr>
          <w:rFonts w:ascii="Garamond" w:hAnsi="Garamond"/>
          <w:b/>
          <w:bCs/>
          <w:sz w:val="24"/>
          <w:szCs w:val="24"/>
        </w:rPr>
        <w:t xml:space="preserve">År 2014 beräknas den reglerade svenska spelmarknaden ha haft en bruttoomsättning </w:t>
      </w:r>
      <w:r>
        <w:rPr>
          <w:rFonts w:ascii="Garamond" w:hAnsi="Garamond"/>
          <w:b/>
          <w:bCs/>
          <w:sz w:val="24"/>
          <w:szCs w:val="24"/>
        </w:rPr>
        <w:t xml:space="preserve">(före utbetalda vinster) </w:t>
      </w:r>
      <w:r w:rsidRPr="001806DA">
        <w:rPr>
          <w:rFonts w:ascii="Garamond" w:hAnsi="Garamond"/>
          <w:b/>
          <w:bCs/>
          <w:sz w:val="24"/>
          <w:szCs w:val="24"/>
        </w:rPr>
        <w:t>på 44,9 miljarder kronor. Det är en minskning med cirka två miljarder kronor</w:t>
      </w:r>
      <w:r>
        <w:rPr>
          <w:rFonts w:ascii="Garamond" w:hAnsi="Garamond"/>
          <w:b/>
          <w:bCs/>
          <w:sz w:val="24"/>
          <w:szCs w:val="24"/>
        </w:rPr>
        <w:t xml:space="preserve"> (-</w:t>
      </w:r>
      <w:proofErr w:type="gramStart"/>
      <w:r>
        <w:rPr>
          <w:rFonts w:ascii="Garamond" w:hAnsi="Garamond"/>
          <w:b/>
          <w:bCs/>
          <w:sz w:val="24"/>
          <w:szCs w:val="24"/>
        </w:rPr>
        <w:t>4%</w:t>
      </w:r>
      <w:proofErr w:type="gramEnd"/>
      <w:r>
        <w:rPr>
          <w:rFonts w:ascii="Garamond" w:hAnsi="Garamond"/>
          <w:b/>
          <w:bCs/>
          <w:sz w:val="24"/>
          <w:szCs w:val="24"/>
        </w:rPr>
        <w:t>)</w:t>
      </w:r>
      <w:r w:rsidRPr="001806DA">
        <w:rPr>
          <w:rFonts w:ascii="Garamond" w:hAnsi="Garamond"/>
          <w:b/>
          <w:bCs/>
          <w:sz w:val="24"/>
          <w:szCs w:val="24"/>
        </w:rPr>
        <w:t xml:space="preserve"> i löpande</w:t>
      </w:r>
      <w:r>
        <w:rPr>
          <w:rFonts w:ascii="Garamond" w:hAnsi="Garamond"/>
          <w:b/>
          <w:bCs/>
          <w:sz w:val="24"/>
          <w:szCs w:val="24"/>
        </w:rPr>
        <w:t xml:space="preserve"> priser jämfört med 2013.</w:t>
      </w:r>
      <w:r w:rsidRPr="001806DA">
        <w:rPr>
          <w:rFonts w:ascii="Garamond" w:hAnsi="Garamond"/>
          <w:b/>
          <w:bCs/>
          <w:sz w:val="24"/>
          <w:szCs w:val="24"/>
        </w:rPr>
        <w:t xml:space="preserve"> Efter utbetalda vinster </w:t>
      </w:r>
      <w:r>
        <w:rPr>
          <w:rFonts w:ascii="Garamond" w:hAnsi="Garamond"/>
          <w:b/>
          <w:bCs/>
          <w:sz w:val="24"/>
          <w:szCs w:val="24"/>
        </w:rPr>
        <w:t xml:space="preserve">var omsättningen </w:t>
      </w:r>
      <w:r w:rsidRPr="001806DA">
        <w:rPr>
          <w:rFonts w:ascii="Garamond" w:hAnsi="Garamond"/>
          <w:b/>
          <w:bCs/>
          <w:sz w:val="24"/>
          <w:szCs w:val="24"/>
        </w:rPr>
        <w:t>16,5 miljarder kronor</w:t>
      </w:r>
      <w:r>
        <w:rPr>
          <w:rFonts w:ascii="Garamond" w:hAnsi="Garamond"/>
          <w:b/>
          <w:bCs/>
          <w:sz w:val="24"/>
          <w:szCs w:val="24"/>
        </w:rPr>
        <w:t xml:space="preserve"> vilket</w:t>
      </w:r>
      <w:r w:rsidRPr="001806DA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är</w:t>
      </w:r>
      <w:r w:rsidRPr="001806DA">
        <w:rPr>
          <w:rFonts w:ascii="Garamond" w:hAnsi="Garamond"/>
          <w:b/>
          <w:bCs/>
          <w:sz w:val="24"/>
          <w:szCs w:val="24"/>
        </w:rPr>
        <w:t xml:space="preserve"> en minskning med c</w:t>
      </w:r>
      <w:r>
        <w:rPr>
          <w:rFonts w:ascii="Garamond" w:hAnsi="Garamond"/>
          <w:b/>
          <w:bCs/>
          <w:sz w:val="24"/>
          <w:szCs w:val="24"/>
        </w:rPr>
        <w:t>irk</w:t>
      </w:r>
      <w:r w:rsidRPr="001806DA">
        <w:rPr>
          <w:rFonts w:ascii="Garamond" w:hAnsi="Garamond"/>
          <w:b/>
          <w:bCs/>
          <w:sz w:val="24"/>
          <w:szCs w:val="24"/>
        </w:rPr>
        <w:t xml:space="preserve">a 780 miljoner kronor </w:t>
      </w:r>
      <w:r>
        <w:rPr>
          <w:rFonts w:ascii="Garamond" w:hAnsi="Garamond"/>
          <w:b/>
          <w:bCs/>
          <w:sz w:val="24"/>
          <w:szCs w:val="24"/>
        </w:rPr>
        <w:t>(-</w:t>
      </w:r>
      <w:proofErr w:type="gramStart"/>
      <w:r>
        <w:rPr>
          <w:rFonts w:ascii="Garamond" w:hAnsi="Garamond"/>
          <w:b/>
          <w:bCs/>
          <w:sz w:val="24"/>
          <w:szCs w:val="24"/>
        </w:rPr>
        <w:t>5%</w:t>
      </w:r>
      <w:proofErr w:type="gramEnd"/>
      <w:r>
        <w:rPr>
          <w:rFonts w:ascii="Garamond" w:hAnsi="Garamond"/>
          <w:b/>
          <w:bCs/>
          <w:sz w:val="24"/>
          <w:szCs w:val="24"/>
        </w:rPr>
        <w:t xml:space="preserve">) </w:t>
      </w:r>
      <w:r w:rsidRPr="001806DA">
        <w:rPr>
          <w:rFonts w:ascii="Garamond" w:hAnsi="Garamond"/>
          <w:b/>
          <w:bCs/>
          <w:sz w:val="24"/>
          <w:szCs w:val="24"/>
        </w:rPr>
        <w:t xml:space="preserve">jämfört med </w:t>
      </w:r>
      <w:r>
        <w:rPr>
          <w:rFonts w:ascii="Garamond" w:hAnsi="Garamond"/>
          <w:b/>
          <w:bCs/>
          <w:sz w:val="24"/>
          <w:szCs w:val="24"/>
        </w:rPr>
        <w:t>2013</w:t>
      </w:r>
      <w:r w:rsidRPr="001806DA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:rsidR="00F91C30" w:rsidRDefault="00F91C30" w:rsidP="00B87800">
      <w:pPr>
        <w:rPr>
          <w:rFonts w:ascii="Garamond" w:hAnsi="Garamond"/>
          <w:b/>
          <w:bCs/>
          <w:sz w:val="24"/>
          <w:szCs w:val="24"/>
        </w:rPr>
      </w:pPr>
    </w:p>
    <w:p w:rsidR="00F91C30" w:rsidRDefault="00F91C30" w:rsidP="00B87800">
      <w:pPr>
        <w:rPr>
          <w:rFonts w:ascii="Garamond" w:hAnsi="Garamond"/>
          <w:bCs/>
          <w:sz w:val="24"/>
          <w:szCs w:val="24"/>
        </w:rPr>
      </w:pPr>
      <w:r w:rsidRPr="00522EBE">
        <w:rPr>
          <w:rFonts w:ascii="Garamond" w:hAnsi="Garamond"/>
          <w:bCs/>
          <w:sz w:val="24"/>
          <w:szCs w:val="24"/>
        </w:rPr>
        <w:t xml:space="preserve">Utöver den reglerade marknaden förekommer ett omfattande spel </w:t>
      </w:r>
      <w:r>
        <w:rPr>
          <w:rFonts w:ascii="Garamond" w:hAnsi="Garamond"/>
          <w:bCs/>
          <w:sz w:val="24"/>
          <w:szCs w:val="24"/>
        </w:rPr>
        <w:t xml:space="preserve">på internet via aktörer </w:t>
      </w:r>
      <w:r w:rsidRPr="00522EBE">
        <w:rPr>
          <w:rFonts w:ascii="Garamond" w:hAnsi="Garamond"/>
          <w:bCs/>
          <w:sz w:val="24"/>
          <w:szCs w:val="24"/>
        </w:rPr>
        <w:t xml:space="preserve">som inte har tillstånd i Sverige. Dessa </w:t>
      </w:r>
      <w:r>
        <w:rPr>
          <w:rFonts w:ascii="Garamond" w:hAnsi="Garamond"/>
          <w:bCs/>
          <w:sz w:val="24"/>
          <w:szCs w:val="24"/>
        </w:rPr>
        <w:t>aktörer</w:t>
      </w:r>
      <w:r w:rsidRPr="00522EBE">
        <w:rPr>
          <w:rFonts w:ascii="Garamond" w:hAnsi="Garamond"/>
          <w:bCs/>
          <w:sz w:val="24"/>
          <w:szCs w:val="24"/>
        </w:rPr>
        <w:t xml:space="preserve"> uppskattas ha omsatt drygt 4,4 miljarder kronor efter utbetalda vinster under 2014</w:t>
      </w:r>
      <w:r>
        <w:rPr>
          <w:rFonts w:ascii="Garamond" w:hAnsi="Garamond"/>
          <w:bCs/>
          <w:sz w:val="24"/>
          <w:szCs w:val="24"/>
        </w:rPr>
        <w:t xml:space="preserve"> och </w:t>
      </w:r>
      <w:r w:rsidRPr="00522EBE">
        <w:rPr>
          <w:rFonts w:ascii="Garamond" w:hAnsi="Garamond"/>
          <w:bCs/>
          <w:sz w:val="24"/>
          <w:szCs w:val="24"/>
        </w:rPr>
        <w:t>ökade därmed sin omsättning med nästan 1,3 miljarder kronor</w:t>
      </w:r>
      <w:r>
        <w:rPr>
          <w:rFonts w:ascii="Garamond" w:hAnsi="Garamond"/>
          <w:bCs/>
          <w:sz w:val="24"/>
          <w:szCs w:val="24"/>
        </w:rPr>
        <w:t xml:space="preserve"> (+40%)</w:t>
      </w:r>
      <w:r w:rsidRPr="00522EBE">
        <w:rPr>
          <w:rFonts w:ascii="Garamond" w:hAnsi="Garamond"/>
          <w:bCs/>
          <w:sz w:val="24"/>
          <w:szCs w:val="24"/>
        </w:rPr>
        <w:t xml:space="preserve"> jämfört med året innan.</w:t>
      </w:r>
      <w:r>
        <w:rPr>
          <w:rFonts w:ascii="Garamond" w:hAnsi="Garamond"/>
          <w:bCs/>
          <w:sz w:val="24"/>
          <w:szCs w:val="24"/>
        </w:rPr>
        <w:t xml:space="preserve"> </w:t>
      </w:r>
    </w:p>
    <w:p w:rsidR="00F91C30" w:rsidRPr="001806DA" w:rsidRDefault="00F91C30" w:rsidP="00B87800">
      <w:pPr>
        <w:rPr>
          <w:rFonts w:ascii="Garamond" w:hAnsi="Garamond"/>
          <w:sz w:val="24"/>
          <w:szCs w:val="24"/>
        </w:rPr>
      </w:pPr>
    </w:p>
    <w:p w:rsidR="00F91C30" w:rsidRPr="001806DA" w:rsidRDefault="00F91C30" w:rsidP="00B878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Sammanställningen är delvis preliminär. Resultatet </w:t>
      </w:r>
      <w:r w:rsidRPr="001806DA">
        <w:rPr>
          <w:rFonts w:ascii="Garamond" w:hAnsi="Garamond"/>
          <w:sz w:val="24"/>
          <w:szCs w:val="24"/>
        </w:rPr>
        <w:t>för Svenska Spel, ATG och de största rikslotterierna baseras på kvartalsrapporter från 2014. Omsättning</w:t>
      </w:r>
      <w:r>
        <w:rPr>
          <w:rFonts w:ascii="Garamond" w:hAnsi="Garamond"/>
          <w:sz w:val="24"/>
          <w:szCs w:val="24"/>
        </w:rPr>
        <w:t>en</w:t>
      </w:r>
      <w:r w:rsidRPr="001806DA">
        <w:rPr>
          <w:rFonts w:ascii="Garamond" w:hAnsi="Garamond"/>
          <w:sz w:val="24"/>
          <w:szCs w:val="24"/>
        </w:rPr>
        <w:t xml:space="preserve"> för övriga aktörer </w:t>
      </w:r>
      <w:r>
        <w:rPr>
          <w:rFonts w:ascii="Garamond" w:hAnsi="Garamond"/>
          <w:sz w:val="24"/>
          <w:szCs w:val="24"/>
        </w:rPr>
        <w:t xml:space="preserve">har </w:t>
      </w:r>
      <w:r w:rsidRPr="001806DA">
        <w:rPr>
          <w:rFonts w:ascii="Garamond" w:hAnsi="Garamond"/>
          <w:sz w:val="24"/>
          <w:szCs w:val="24"/>
        </w:rPr>
        <w:t xml:space="preserve">beräknats genom att studera utvecklingen med hjälp av historisk data. Statistik för </w:t>
      </w:r>
      <w:r>
        <w:rPr>
          <w:rFonts w:ascii="Garamond" w:hAnsi="Garamond"/>
          <w:sz w:val="24"/>
          <w:szCs w:val="24"/>
        </w:rPr>
        <w:t>aktörer</w:t>
      </w:r>
      <w:r w:rsidRPr="001806DA">
        <w:rPr>
          <w:rFonts w:ascii="Garamond" w:hAnsi="Garamond"/>
          <w:sz w:val="24"/>
          <w:szCs w:val="24"/>
        </w:rPr>
        <w:t xml:space="preserve"> utan tillstånd i Sverige bygger på uppgifter från H2 Gambling </w:t>
      </w:r>
      <w:proofErr w:type="spellStart"/>
      <w:r w:rsidRPr="001806DA">
        <w:rPr>
          <w:rFonts w:ascii="Garamond" w:hAnsi="Garamond"/>
          <w:sz w:val="24"/>
          <w:szCs w:val="24"/>
        </w:rPr>
        <w:t>Capital</w:t>
      </w:r>
      <w:proofErr w:type="spellEnd"/>
      <w:r w:rsidRPr="001806DA">
        <w:rPr>
          <w:rFonts w:ascii="Garamond" w:hAnsi="Garamond"/>
          <w:sz w:val="24"/>
          <w:szCs w:val="24"/>
        </w:rPr>
        <w:t xml:space="preserve"> och vår egen omvärldsbevakning. På grund av skillnaderna i variabler som återbetalningsprocent och spelfrekvens är variationen mellan spelformerna större vid </w:t>
      </w:r>
      <w:r>
        <w:rPr>
          <w:rFonts w:ascii="Garamond" w:hAnsi="Garamond"/>
          <w:sz w:val="24"/>
          <w:szCs w:val="24"/>
        </w:rPr>
        <w:t>studiet</w:t>
      </w:r>
      <w:r w:rsidRPr="001806DA">
        <w:rPr>
          <w:rFonts w:ascii="Garamond" w:hAnsi="Garamond"/>
          <w:sz w:val="24"/>
          <w:szCs w:val="24"/>
        </w:rPr>
        <w:t xml:space="preserve"> av bruttoomsättning än av nettoomsättning. Nettoomsättning är därför ett mer produktneutralt mått på omfattningen av spelandet. </w:t>
      </w:r>
    </w:p>
    <w:p w:rsidR="00F91C30" w:rsidRDefault="00F91C30" w:rsidP="00B87800">
      <w:pPr>
        <w:rPr>
          <w:rFonts w:ascii="Garamond" w:hAnsi="Garamond"/>
          <w:sz w:val="24"/>
          <w:szCs w:val="24"/>
        </w:rPr>
      </w:pPr>
    </w:p>
    <w:p w:rsidR="00F91C30" w:rsidRPr="0023799C" w:rsidRDefault="00F91C30" w:rsidP="00B87800">
      <w:pPr>
        <w:rPr>
          <w:rFonts w:ascii="Garamond" w:hAnsi="Garamond"/>
          <w:b/>
          <w:sz w:val="24"/>
          <w:szCs w:val="24"/>
        </w:rPr>
      </w:pPr>
      <w:r w:rsidRPr="0023799C">
        <w:rPr>
          <w:rFonts w:ascii="Garamond" w:hAnsi="Garamond"/>
          <w:b/>
          <w:sz w:val="24"/>
          <w:szCs w:val="24"/>
        </w:rPr>
        <w:t>Resultat, nettoomsättning</w:t>
      </w:r>
    </w:p>
    <w:p w:rsidR="00F91C30" w:rsidRDefault="00F91C30" w:rsidP="00B87800">
      <w:pPr>
        <w:rPr>
          <w:rFonts w:ascii="Garamond" w:hAnsi="Garamond"/>
          <w:sz w:val="24"/>
          <w:szCs w:val="24"/>
        </w:rPr>
      </w:pPr>
    </w:p>
    <w:p w:rsidR="00F91C30" w:rsidRPr="001806DA" w:rsidRDefault="00F91C30" w:rsidP="00B87800">
      <w:pPr>
        <w:spacing w:after="200"/>
        <w:rPr>
          <w:rFonts w:ascii="Garamond" w:eastAsia="Times New Roman" w:hAnsi="Garamond"/>
          <w:sz w:val="24"/>
          <w:szCs w:val="24"/>
        </w:rPr>
      </w:pPr>
      <w:r w:rsidRPr="001806DA">
        <w:rPr>
          <w:rFonts w:ascii="Garamond" w:hAnsi="Garamond"/>
          <w:b/>
          <w:bCs/>
          <w:sz w:val="24"/>
          <w:szCs w:val="24"/>
        </w:rPr>
        <w:t>Svenska Spel</w:t>
      </w:r>
      <w:r w:rsidRPr="001806DA">
        <w:rPr>
          <w:rFonts w:ascii="Garamond" w:hAnsi="Garamond"/>
          <w:sz w:val="24"/>
          <w:szCs w:val="24"/>
        </w:rPr>
        <w:t>, den största aktören på den svenska spelmarknaden</w:t>
      </w:r>
      <w:r>
        <w:rPr>
          <w:rFonts w:ascii="Garamond" w:hAnsi="Garamond"/>
          <w:sz w:val="24"/>
          <w:szCs w:val="24"/>
        </w:rPr>
        <w:t xml:space="preserve">, </w:t>
      </w:r>
      <w:r w:rsidRPr="001806DA">
        <w:rPr>
          <w:rFonts w:ascii="Garamond" w:hAnsi="Garamond"/>
          <w:sz w:val="24"/>
          <w:szCs w:val="24"/>
        </w:rPr>
        <w:t>omsatte c</w:t>
      </w:r>
      <w:r>
        <w:rPr>
          <w:rFonts w:ascii="Garamond" w:hAnsi="Garamond"/>
          <w:sz w:val="24"/>
          <w:szCs w:val="24"/>
        </w:rPr>
        <w:t>irk</w:t>
      </w:r>
      <w:r w:rsidRPr="001806DA">
        <w:rPr>
          <w:rFonts w:ascii="Garamond" w:hAnsi="Garamond"/>
          <w:sz w:val="24"/>
          <w:szCs w:val="24"/>
        </w:rPr>
        <w:t>a 7,8 miljarder kronor exklusive Casino Cosmopol</w:t>
      </w:r>
      <w:r>
        <w:rPr>
          <w:rFonts w:ascii="Garamond" w:hAnsi="Garamond"/>
          <w:sz w:val="24"/>
          <w:szCs w:val="24"/>
        </w:rPr>
        <w:t xml:space="preserve"> under 2014. Det är </w:t>
      </w:r>
      <w:r w:rsidRPr="001806DA">
        <w:rPr>
          <w:rFonts w:ascii="Garamond" w:hAnsi="Garamond"/>
          <w:sz w:val="24"/>
          <w:szCs w:val="24"/>
        </w:rPr>
        <w:t>en minskning med 780 miljoner kronor</w:t>
      </w:r>
      <w:r w:rsidR="00B87800">
        <w:rPr>
          <w:rFonts w:ascii="Garamond" w:hAnsi="Garamond"/>
          <w:sz w:val="24"/>
          <w:szCs w:val="24"/>
        </w:rPr>
        <w:t xml:space="preserve"> </w:t>
      </w:r>
      <w:r w:rsidR="00B87800">
        <w:rPr>
          <w:rFonts w:ascii="Garamond" w:hAnsi="Garamond"/>
          <w:sz w:val="24"/>
          <w:szCs w:val="24"/>
        </w:rPr>
        <w:br/>
        <w:t>(-</w:t>
      </w:r>
      <w:r>
        <w:rPr>
          <w:rFonts w:ascii="Garamond" w:hAnsi="Garamond"/>
          <w:sz w:val="24"/>
          <w:szCs w:val="24"/>
        </w:rPr>
        <w:t>9 %)</w:t>
      </w:r>
      <w:r w:rsidRPr="001806DA">
        <w:rPr>
          <w:rFonts w:ascii="Garamond" w:hAnsi="Garamond"/>
          <w:sz w:val="24"/>
          <w:szCs w:val="24"/>
        </w:rPr>
        <w:t xml:space="preserve"> jämfört med </w:t>
      </w:r>
      <w:r>
        <w:rPr>
          <w:rFonts w:ascii="Garamond" w:hAnsi="Garamond"/>
          <w:sz w:val="24"/>
          <w:szCs w:val="24"/>
        </w:rPr>
        <w:t>2013. Omsättningen för a</w:t>
      </w:r>
      <w:r w:rsidRPr="001806DA">
        <w:rPr>
          <w:rFonts w:ascii="Garamond" w:hAnsi="Garamond"/>
          <w:sz w:val="24"/>
          <w:szCs w:val="24"/>
        </w:rPr>
        <w:t xml:space="preserve">lla Svenska Spels spelformer </w:t>
      </w:r>
      <w:r>
        <w:rPr>
          <w:rFonts w:ascii="Garamond" w:hAnsi="Garamond"/>
          <w:sz w:val="24"/>
          <w:szCs w:val="24"/>
        </w:rPr>
        <w:t>minskade under förra året</w:t>
      </w:r>
      <w:r w:rsidRPr="001806D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Mest minskade spel på värdeautomatspelet Vegas, vars omsättning minskade m</w:t>
      </w:r>
      <w:r w:rsidRPr="001806DA">
        <w:rPr>
          <w:rFonts w:ascii="Garamond" w:hAnsi="Garamond"/>
          <w:sz w:val="24"/>
          <w:szCs w:val="24"/>
        </w:rPr>
        <w:t>ed 490 miljoner kronor</w:t>
      </w:r>
      <w:r>
        <w:rPr>
          <w:rFonts w:ascii="Garamond" w:hAnsi="Garamond"/>
          <w:sz w:val="24"/>
          <w:szCs w:val="24"/>
        </w:rPr>
        <w:t xml:space="preserve"> (-</w:t>
      </w:r>
      <w:proofErr w:type="gramStart"/>
      <w:r>
        <w:rPr>
          <w:rFonts w:ascii="Garamond" w:hAnsi="Garamond"/>
          <w:sz w:val="24"/>
          <w:szCs w:val="24"/>
        </w:rPr>
        <w:t>27%</w:t>
      </w:r>
      <w:proofErr w:type="gramEnd"/>
      <w:r>
        <w:rPr>
          <w:rFonts w:ascii="Garamond" w:hAnsi="Garamond"/>
          <w:sz w:val="24"/>
          <w:szCs w:val="24"/>
        </w:rPr>
        <w:t>).</w:t>
      </w:r>
      <w:r w:rsidRPr="001806DA">
        <w:rPr>
          <w:rFonts w:ascii="Garamond" w:hAnsi="Garamond"/>
          <w:sz w:val="24"/>
          <w:szCs w:val="24"/>
        </w:rPr>
        <w:t xml:space="preserve"> </w:t>
      </w:r>
      <w:r w:rsidRPr="001806DA">
        <w:rPr>
          <w:rFonts w:ascii="Garamond" w:eastAsia="Times New Roman" w:hAnsi="Garamond"/>
          <w:sz w:val="24"/>
          <w:szCs w:val="24"/>
        </w:rPr>
        <w:t>Casino Cosmopols omsättning uppgick till 1 159 miljoner kronor under 2014</w:t>
      </w:r>
      <w:r>
        <w:rPr>
          <w:rFonts w:ascii="Garamond" w:eastAsia="Times New Roman" w:hAnsi="Garamond"/>
          <w:sz w:val="24"/>
          <w:szCs w:val="24"/>
        </w:rPr>
        <w:t xml:space="preserve"> vilket</w:t>
      </w:r>
      <w:r w:rsidRPr="001806DA">
        <w:rPr>
          <w:rFonts w:ascii="Garamond" w:eastAsia="Times New Roman" w:hAnsi="Garamond"/>
          <w:sz w:val="24"/>
          <w:szCs w:val="24"/>
        </w:rPr>
        <w:t xml:space="preserve"> är en minskning med </w:t>
      </w:r>
      <w:r>
        <w:rPr>
          <w:rFonts w:ascii="Garamond" w:eastAsia="Times New Roman" w:hAnsi="Garamond"/>
          <w:sz w:val="24"/>
          <w:szCs w:val="24"/>
        </w:rPr>
        <w:t xml:space="preserve">8 </w:t>
      </w:r>
      <w:r w:rsidRPr="001806DA">
        <w:rPr>
          <w:rFonts w:ascii="Garamond" w:eastAsia="Times New Roman" w:hAnsi="Garamond"/>
          <w:sz w:val="24"/>
          <w:szCs w:val="24"/>
        </w:rPr>
        <w:t xml:space="preserve">miljoner kronor.  </w:t>
      </w:r>
    </w:p>
    <w:p w:rsidR="00F91C30" w:rsidRPr="001806DA" w:rsidRDefault="00F91C30" w:rsidP="00B87800">
      <w:pPr>
        <w:rPr>
          <w:rFonts w:ascii="Garamond" w:hAnsi="Garamond"/>
          <w:sz w:val="24"/>
          <w:szCs w:val="24"/>
        </w:rPr>
      </w:pPr>
      <w:r w:rsidRPr="00A12D29">
        <w:rPr>
          <w:rFonts w:ascii="Garamond" w:hAnsi="Garamond"/>
          <w:b/>
          <w:sz w:val="24"/>
          <w:szCs w:val="24"/>
        </w:rPr>
        <w:t>ATG</w:t>
      </w:r>
      <w:r w:rsidRPr="001806DA">
        <w:rPr>
          <w:rFonts w:ascii="Garamond" w:hAnsi="Garamond"/>
          <w:sz w:val="24"/>
          <w:szCs w:val="24"/>
        </w:rPr>
        <w:t xml:space="preserve"> öka</w:t>
      </w:r>
      <w:r>
        <w:rPr>
          <w:rFonts w:ascii="Garamond" w:hAnsi="Garamond"/>
          <w:sz w:val="24"/>
          <w:szCs w:val="24"/>
        </w:rPr>
        <w:t>de</w:t>
      </w:r>
      <w:r w:rsidRPr="001806DA">
        <w:rPr>
          <w:rFonts w:ascii="Garamond" w:hAnsi="Garamond"/>
          <w:sz w:val="24"/>
          <w:szCs w:val="24"/>
        </w:rPr>
        <w:t xml:space="preserve"> sin omsättning jämfört med 2013, vilket gör att </w:t>
      </w:r>
      <w:r>
        <w:rPr>
          <w:rFonts w:ascii="Garamond" w:hAnsi="Garamond"/>
          <w:sz w:val="24"/>
          <w:szCs w:val="24"/>
        </w:rPr>
        <w:t>bolagets</w:t>
      </w:r>
      <w:r w:rsidRPr="001806DA">
        <w:rPr>
          <w:rFonts w:ascii="Garamond" w:hAnsi="Garamond"/>
          <w:sz w:val="24"/>
          <w:szCs w:val="24"/>
        </w:rPr>
        <w:t xml:space="preserve"> negativa trend </w:t>
      </w:r>
      <w:r>
        <w:rPr>
          <w:rFonts w:ascii="Garamond" w:hAnsi="Garamond"/>
          <w:sz w:val="24"/>
          <w:szCs w:val="24"/>
        </w:rPr>
        <w:t>under de senaste åren</w:t>
      </w:r>
      <w:r w:rsidRPr="001806DA">
        <w:rPr>
          <w:rFonts w:ascii="Garamond" w:hAnsi="Garamond"/>
          <w:sz w:val="24"/>
          <w:szCs w:val="24"/>
        </w:rPr>
        <w:t xml:space="preserve"> har </w:t>
      </w:r>
      <w:r>
        <w:rPr>
          <w:rFonts w:ascii="Garamond" w:hAnsi="Garamond"/>
          <w:sz w:val="24"/>
          <w:szCs w:val="24"/>
        </w:rPr>
        <w:t>bromsats upp</w:t>
      </w:r>
      <w:r w:rsidRPr="001806DA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O</w:t>
      </w:r>
      <w:r w:rsidRPr="001806DA">
        <w:rPr>
          <w:rFonts w:ascii="Garamond" w:hAnsi="Garamond"/>
          <w:sz w:val="24"/>
          <w:szCs w:val="24"/>
        </w:rPr>
        <w:t>msättningen blev c</w:t>
      </w:r>
      <w:r>
        <w:rPr>
          <w:rFonts w:ascii="Garamond" w:hAnsi="Garamond"/>
          <w:sz w:val="24"/>
          <w:szCs w:val="24"/>
        </w:rPr>
        <w:t>irk</w:t>
      </w:r>
      <w:r w:rsidRPr="001806DA">
        <w:rPr>
          <w:rFonts w:ascii="Garamond" w:hAnsi="Garamond"/>
          <w:sz w:val="24"/>
          <w:szCs w:val="24"/>
        </w:rPr>
        <w:t xml:space="preserve">a 3,7 miljarder kronor 2014, vilket är en ökning med </w:t>
      </w:r>
      <w:r>
        <w:rPr>
          <w:rFonts w:ascii="Garamond" w:hAnsi="Garamond"/>
          <w:sz w:val="24"/>
          <w:szCs w:val="24"/>
        </w:rPr>
        <w:t>cirka</w:t>
      </w:r>
      <w:r w:rsidRPr="001806D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Pr="001806DA">
        <w:rPr>
          <w:rFonts w:ascii="Garamond" w:hAnsi="Garamond"/>
          <w:sz w:val="24"/>
          <w:szCs w:val="24"/>
        </w:rPr>
        <w:t xml:space="preserve"> procent</w:t>
      </w:r>
      <w:r>
        <w:rPr>
          <w:rFonts w:ascii="Garamond" w:hAnsi="Garamond"/>
          <w:sz w:val="24"/>
          <w:szCs w:val="24"/>
        </w:rPr>
        <w:t>.</w:t>
      </w:r>
      <w:r w:rsidRPr="001806DA">
        <w:rPr>
          <w:rFonts w:ascii="Garamond" w:hAnsi="Garamond"/>
          <w:sz w:val="24"/>
          <w:szCs w:val="24"/>
        </w:rPr>
        <w:t xml:space="preserve"> Internetspelet ökade med 97 miljoner</w:t>
      </w:r>
      <w:r>
        <w:rPr>
          <w:rFonts w:ascii="Garamond" w:hAnsi="Garamond"/>
          <w:sz w:val="24"/>
          <w:szCs w:val="24"/>
        </w:rPr>
        <w:t xml:space="preserve"> (+6%)</w:t>
      </w:r>
      <w:r w:rsidRPr="001806DA">
        <w:rPr>
          <w:rFonts w:ascii="Garamond" w:hAnsi="Garamond"/>
          <w:sz w:val="24"/>
          <w:szCs w:val="24"/>
        </w:rPr>
        <w:t>. Ban- och ombudspelet minskade dock under 2014</w:t>
      </w:r>
      <w:r>
        <w:rPr>
          <w:rFonts w:ascii="Garamond" w:hAnsi="Garamond"/>
          <w:sz w:val="24"/>
          <w:szCs w:val="24"/>
        </w:rPr>
        <w:t>,</w:t>
      </w:r>
      <w:r w:rsidRPr="001806D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</w:t>
      </w:r>
      <w:r w:rsidRPr="001806DA">
        <w:rPr>
          <w:rFonts w:ascii="Garamond" w:hAnsi="Garamond"/>
          <w:sz w:val="24"/>
          <w:szCs w:val="24"/>
        </w:rPr>
        <w:t>anspelet med 48 miljoner</w:t>
      </w:r>
      <w:r>
        <w:rPr>
          <w:rFonts w:ascii="Garamond" w:hAnsi="Garamond"/>
          <w:sz w:val="24"/>
          <w:szCs w:val="24"/>
        </w:rPr>
        <w:t xml:space="preserve"> (-</w:t>
      </w:r>
      <w:proofErr w:type="gramStart"/>
      <w:r w:rsidRPr="001806DA">
        <w:rPr>
          <w:rFonts w:ascii="Garamond" w:hAnsi="Garamond"/>
          <w:sz w:val="24"/>
          <w:szCs w:val="24"/>
        </w:rPr>
        <w:t>29</w:t>
      </w:r>
      <w:r>
        <w:rPr>
          <w:rFonts w:ascii="Garamond" w:hAnsi="Garamond"/>
          <w:sz w:val="24"/>
          <w:szCs w:val="24"/>
        </w:rPr>
        <w:t>%</w:t>
      </w:r>
      <w:proofErr w:type="gramEnd"/>
      <w:r>
        <w:rPr>
          <w:rFonts w:ascii="Garamond" w:hAnsi="Garamond"/>
          <w:sz w:val="24"/>
          <w:szCs w:val="24"/>
        </w:rPr>
        <w:t>) och</w:t>
      </w:r>
      <w:r w:rsidRPr="001806DA">
        <w:rPr>
          <w:rFonts w:ascii="Garamond" w:hAnsi="Garamond"/>
          <w:sz w:val="24"/>
          <w:szCs w:val="24"/>
        </w:rPr>
        <w:t xml:space="preserve"> ombudspelet</w:t>
      </w:r>
      <w:r>
        <w:rPr>
          <w:rFonts w:ascii="Garamond" w:hAnsi="Garamond"/>
          <w:sz w:val="24"/>
          <w:szCs w:val="24"/>
        </w:rPr>
        <w:t xml:space="preserve"> </w:t>
      </w:r>
      <w:r w:rsidRPr="001806DA">
        <w:rPr>
          <w:rFonts w:ascii="Garamond" w:hAnsi="Garamond"/>
          <w:sz w:val="24"/>
          <w:szCs w:val="24"/>
        </w:rPr>
        <w:t>med 14 miljoner</w:t>
      </w:r>
      <w:r>
        <w:rPr>
          <w:rFonts w:ascii="Garamond" w:hAnsi="Garamond"/>
          <w:sz w:val="24"/>
          <w:szCs w:val="24"/>
        </w:rPr>
        <w:t xml:space="preserve"> (-1%).</w:t>
      </w:r>
    </w:p>
    <w:p w:rsidR="00F91C30" w:rsidRPr="001806DA" w:rsidRDefault="00F91C30" w:rsidP="00B87800">
      <w:pPr>
        <w:rPr>
          <w:rFonts w:ascii="Garamond" w:hAnsi="Garamond"/>
          <w:sz w:val="24"/>
          <w:szCs w:val="24"/>
        </w:rPr>
      </w:pPr>
    </w:p>
    <w:p w:rsidR="00F91C30" w:rsidRDefault="00F91C30" w:rsidP="00B87800">
      <w:pPr>
        <w:rPr>
          <w:rFonts w:ascii="Garamond" w:hAnsi="Garamond"/>
          <w:sz w:val="24"/>
          <w:szCs w:val="24"/>
        </w:rPr>
      </w:pPr>
      <w:r w:rsidRPr="001806DA">
        <w:rPr>
          <w:rFonts w:ascii="Garamond" w:hAnsi="Garamond"/>
          <w:b/>
          <w:bCs/>
          <w:sz w:val="24"/>
          <w:szCs w:val="24"/>
        </w:rPr>
        <w:t>Folkrörelserna</w:t>
      </w:r>
      <w:r>
        <w:rPr>
          <w:rFonts w:ascii="Garamond" w:hAnsi="Garamond"/>
          <w:b/>
          <w:bCs/>
          <w:sz w:val="24"/>
          <w:szCs w:val="24"/>
        </w:rPr>
        <w:t>s</w:t>
      </w:r>
      <w:r w:rsidRPr="001806DA">
        <w:rPr>
          <w:rFonts w:ascii="Garamond" w:hAnsi="Garamond"/>
          <w:sz w:val="24"/>
          <w:szCs w:val="24"/>
        </w:rPr>
        <w:t xml:space="preserve"> spel- och lotteriverksamhet uppskattas till c</w:t>
      </w:r>
      <w:r>
        <w:rPr>
          <w:rFonts w:ascii="Garamond" w:hAnsi="Garamond"/>
          <w:sz w:val="24"/>
          <w:szCs w:val="24"/>
        </w:rPr>
        <w:t>irk</w:t>
      </w:r>
      <w:r w:rsidRPr="001806DA">
        <w:rPr>
          <w:rFonts w:ascii="Garamond" w:hAnsi="Garamond"/>
          <w:sz w:val="24"/>
          <w:szCs w:val="24"/>
        </w:rPr>
        <w:t>a 3,7 miljarder kronor</w:t>
      </w:r>
      <w:r>
        <w:rPr>
          <w:rFonts w:ascii="Garamond" w:hAnsi="Garamond"/>
          <w:sz w:val="24"/>
          <w:szCs w:val="24"/>
        </w:rPr>
        <w:t>,</w:t>
      </w:r>
      <w:r w:rsidRPr="001806D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vilket</w:t>
      </w:r>
      <w:r w:rsidRPr="001806DA">
        <w:rPr>
          <w:rFonts w:ascii="Garamond" w:hAnsi="Garamond"/>
          <w:sz w:val="24"/>
          <w:szCs w:val="24"/>
        </w:rPr>
        <w:t xml:space="preserve"> är en </w:t>
      </w:r>
      <w:r>
        <w:rPr>
          <w:rFonts w:ascii="Garamond" w:hAnsi="Garamond"/>
          <w:sz w:val="24"/>
          <w:szCs w:val="24"/>
        </w:rPr>
        <w:t>m</w:t>
      </w:r>
      <w:r w:rsidRPr="001806DA">
        <w:rPr>
          <w:rFonts w:ascii="Garamond" w:hAnsi="Garamond"/>
          <w:sz w:val="24"/>
          <w:szCs w:val="24"/>
        </w:rPr>
        <w:t>inskning med c</w:t>
      </w:r>
      <w:r>
        <w:rPr>
          <w:rFonts w:ascii="Garamond" w:hAnsi="Garamond"/>
          <w:sz w:val="24"/>
          <w:szCs w:val="24"/>
        </w:rPr>
        <w:t>irk</w:t>
      </w:r>
      <w:r w:rsidRPr="001806DA">
        <w:rPr>
          <w:rFonts w:ascii="Garamond" w:hAnsi="Garamond"/>
          <w:sz w:val="24"/>
          <w:szCs w:val="24"/>
        </w:rPr>
        <w:t xml:space="preserve">a 20 miljoner kronor. </w:t>
      </w:r>
      <w:r w:rsidRPr="00B87800">
        <w:rPr>
          <w:rFonts w:ascii="Garamond" w:hAnsi="Garamond"/>
          <w:sz w:val="24"/>
          <w:szCs w:val="24"/>
        </w:rPr>
        <w:t xml:space="preserve">Den största aktören, </w:t>
      </w:r>
      <w:r w:rsidR="00B87800" w:rsidRPr="00BA4E3E">
        <w:rPr>
          <w:rFonts w:ascii="Garamond" w:hAnsi="Garamond"/>
          <w:b/>
          <w:sz w:val="24"/>
          <w:szCs w:val="24"/>
        </w:rPr>
        <w:t>Svenska</w:t>
      </w:r>
      <w:r w:rsidR="00B87800" w:rsidRPr="00B87800">
        <w:rPr>
          <w:rFonts w:ascii="Garamond" w:hAnsi="Garamond"/>
          <w:sz w:val="24"/>
          <w:szCs w:val="24"/>
        </w:rPr>
        <w:t xml:space="preserve"> </w:t>
      </w:r>
      <w:r w:rsidRPr="00B87800">
        <w:rPr>
          <w:rFonts w:ascii="Garamond" w:hAnsi="Garamond"/>
          <w:b/>
          <w:sz w:val="24"/>
          <w:szCs w:val="24"/>
        </w:rPr>
        <w:t>Postkodföreningen</w:t>
      </w:r>
      <w:r w:rsidR="00377CA5" w:rsidRPr="00B87800">
        <w:rPr>
          <w:rFonts w:ascii="Garamond" w:hAnsi="Garamond"/>
          <w:b/>
          <w:sz w:val="24"/>
          <w:szCs w:val="24"/>
        </w:rPr>
        <w:t xml:space="preserve"> med Postkod</w:t>
      </w:r>
      <w:r w:rsidRPr="00B87800">
        <w:rPr>
          <w:rFonts w:ascii="Garamond" w:hAnsi="Garamond"/>
          <w:b/>
          <w:sz w:val="24"/>
          <w:szCs w:val="24"/>
        </w:rPr>
        <w:t>lotteri</w:t>
      </w:r>
      <w:r w:rsidR="00EE7D68" w:rsidRPr="00B87800">
        <w:rPr>
          <w:rFonts w:ascii="Garamond" w:hAnsi="Garamond"/>
          <w:b/>
          <w:sz w:val="24"/>
          <w:szCs w:val="24"/>
        </w:rPr>
        <w:t>e</w:t>
      </w:r>
      <w:r w:rsidR="00377CA5" w:rsidRPr="00B87800">
        <w:rPr>
          <w:rFonts w:ascii="Garamond" w:hAnsi="Garamond"/>
          <w:b/>
          <w:sz w:val="24"/>
          <w:szCs w:val="24"/>
        </w:rPr>
        <w:t>t</w:t>
      </w:r>
      <w:r w:rsidRPr="00B87800">
        <w:rPr>
          <w:rFonts w:ascii="Garamond" w:hAnsi="Garamond"/>
          <w:sz w:val="24"/>
          <w:szCs w:val="24"/>
        </w:rPr>
        <w:t xml:space="preserve"> omsatte förra året 2,1 miljarder kronor vilket är en marginell ökning mot tidigare år. (</w:t>
      </w:r>
      <w:r w:rsidR="00377CA5" w:rsidRPr="00B87800">
        <w:rPr>
          <w:rFonts w:ascii="Garamond" w:hAnsi="Garamond"/>
          <w:sz w:val="24"/>
          <w:szCs w:val="24"/>
        </w:rPr>
        <w:t>+1% 2014 jämfört med +</w:t>
      </w:r>
      <w:r w:rsidRPr="00B87800">
        <w:rPr>
          <w:rFonts w:ascii="Garamond" w:hAnsi="Garamond"/>
          <w:sz w:val="24"/>
          <w:szCs w:val="24"/>
        </w:rPr>
        <w:t>16%</w:t>
      </w:r>
      <w:r w:rsidR="00377CA5" w:rsidRPr="00B87800">
        <w:rPr>
          <w:rFonts w:ascii="Garamond" w:hAnsi="Garamond"/>
          <w:sz w:val="24"/>
          <w:szCs w:val="24"/>
        </w:rPr>
        <w:t xml:space="preserve"> 2013</w:t>
      </w:r>
      <w:r w:rsidRPr="00B87800">
        <w:rPr>
          <w:rFonts w:ascii="Garamond" w:hAnsi="Garamond"/>
          <w:sz w:val="24"/>
          <w:szCs w:val="24"/>
        </w:rPr>
        <w:t>).</w:t>
      </w:r>
      <w:r>
        <w:rPr>
          <w:rFonts w:ascii="Garamond" w:hAnsi="Garamond"/>
          <w:sz w:val="24"/>
          <w:szCs w:val="24"/>
        </w:rPr>
        <w:t xml:space="preserve"> </w:t>
      </w:r>
      <w:r w:rsidR="004F13CE">
        <w:rPr>
          <w:rFonts w:ascii="Garamond" w:hAnsi="Garamond"/>
          <w:sz w:val="24"/>
          <w:szCs w:val="24"/>
        </w:rPr>
        <w:t xml:space="preserve"> Bland dem som redovisade en</w:t>
      </w:r>
      <w:r w:rsidR="00A01C9E">
        <w:rPr>
          <w:rFonts w:ascii="Garamond" w:hAnsi="Garamond"/>
          <w:sz w:val="24"/>
          <w:szCs w:val="24"/>
        </w:rPr>
        <w:t xml:space="preserve"> </w:t>
      </w:r>
      <w:r w:rsidR="004F13CE">
        <w:rPr>
          <w:rFonts w:ascii="Garamond" w:hAnsi="Garamond"/>
          <w:sz w:val="24"/>
          <w:szCs w:val="24"/>
        </w:rPr>
        <w:t>minskad omsättning</w:t>
      </w:r>
      <w:r>
        <w:rPr>
          <w:rFonts w:ascii="Garamond" w:hAnsi="Garamond"/>
          <w:sz w:val="24"/>
          <w:szCs w:val="24"/>
        </w:rPr>
        <w:t xml:space="preserve"> för </w:t>
      </w:r>
      <w:r w:rsidRPr="001806DA">
        <w:rPr>
          <w:rFonts w:ascii="Garamond" w:hAnsi="Garamond"/>
          <w:sz w:val="24"/>
          <w:szCs w:val="24"/>
        </w:rPr>
        <w:t>sina produkter</w:t>
      </w:r>
      <w:r>
        <w:rPr>
          <w:rFonts w:ascii="Garamond" w:hAnsi="Garamond"/>
          <w:sz w:val="24"/>
          <w:szCs w:val="24"/>
        </w:rPr>
        <w:t xml:space="preserve"> </w:t>
      </w:r>
      <w:r w:rsidR="00A01C9E">
        <w:rPr>
          <w:rFonts w:ascii="Garamond" w:hAnsi="Garamond"/>
          <w:sz w:val="24"/>
          <w:szCs w:val="24"/>
        </w:rPr>
        <w:t xml:space="preserve">jämfört med år 2013 </w:t>
      </w:r>
      <w:r>
        <w:rPr>
          <w:rFonts w:ascii="Garamond" w:hAnsi="Garamond"/>
          <w:sz w:val="24"/>
          <w:szCs w:val="24"/>
        </w:rPr>
        <w:t>är blan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d andra</w:t>
      </w:r>
      <w:r w:rsidRPr="00522EBE">
        <w:rPr>
          <w:rFonts w:ascii="Garamond" w:hAnsi="Garamond"/>
          <w:color w:val="FF0000"/>
          <w:sz w:val="24"/>
          <w:szCs w:val="24"/>
        </w:rPr>
        <w:t xml:space="preserve"> </w:t>
      </w:r>
      <w:r w:rsidRPr="001F4F4F">
        <w:rPr>
          <w:rFonts w:ascii="Garamond" w:hAnsi="Garamond"/>
          <w:b/>
          <w:sz w:val="24"/>
          <w:szCs w:val="24"/>
        </w:rPr>
        <w:t>IOGT-NTO (Miljonlotteriet)</w:t>
      </w:r>
      <w:r w:rsidRPr="001F4F4F">
        <w:rPr>
          <w:rFonts w:ascii="Garamond" w:hAnsi="Garamond"/>
          <w:sz w:val="24"/>
          <w:szCs w:val="24"/>
        </w:rPr>
        <w:t xml:space="preserve">, </w:t>
      </w:r>
      <w:r w:rsidR="00B87800" w:rsidRPr="00BA4E3E">
        <w:rPr>
          <w:rFonts w:ascii="Garamond" w:hAnsi="Garamond"/>
          <w:b/>
          <w:sz w:val="24"/>
          <w:szCs w:val="24"/>
        </w:rPr>
        <w:t>Synskadades RF och Sveriges Dövas RF</w:t>
      </w:r>
      <w:r w:rsidRPr="00BA4E3E">
        <w:rPr>
          <w:rFonts w:ascii="Garamond" w:hAnsi="Garamond"/>
          <w:b/>
          <w:sz w:val="24"/>
          <w:szCs w:val="24"/>
        </w:rPr>
        <w:t xml:space="preserve"> (Månadslotten</w:t>
      </w:r>
      <w:r w:rsidRPr="001F4F4F">
        <w:rPr>
          <w:rFonts w:ascii="Garamond" w:hAnsi="Garamond"/>
          <w:b/>
          <w:sz w:val="24"/>
          <w:szCs w:val="24"/>
        </w:rPr>
        <w:t>)</w:t>
      </w:r>
      <w:r w:rsidRPr="001F4F4F">
        <w:rPr>
          <w:rFonts w:ascii="Garamond" w:hAnsi="Garamond"/>
          <w:sz w:val="24"/>
          <w:szCs w:val="24"/>
        </w:rPr>
        <w:t xml:space="preserve"> och </w:t>
      </w:r>
      <w:r w:rsidRPr="00B87800">
        <w:rPr>
          <w:rFonts w:ascii="Garamond" w:hAnsi="Garamond"/>
          <w:b/>
          <w:sz w:val="24"/>
          <w:szCs w:val="24"/>
        </w:rPr>
        <w:t>SAP/SSU</w:t>
      </w:r>
      <w:r w:rsidR="00EE7D68">
        <w:rPr>
          <w:rFonts w:ascii="Garamond" w:hAnsi="Garamond"/>
          <w:b/>
          <w:sz w:val="24"/>
          <w:szCs w:val="24"/>
        </w:rPr>
        <w:t xml:space="preserve"> </w:t>
      </w:r>
      <w:r w:rsidRPr="001F4F4F">
        <w:rPr>
          <w:rFonts w:ascii="Garamond" w:hAnsi="Garamond"/>
          <w:b/>
          <w:sz w:val="24"/>
          <w:szCs w:val="24"/>
        </w:rPr>
        <w:lastRenderedPageBreak/>
        <w:t>(Kombilotterie</w:t>
      </w:r>
      <w:r w:rsidR="00377CA5">
        <w:rPr>
          <w:rFonts w:ascii="Garamond" w:hAnsi="Garamond"/>
          <w:b/>
          <w:sz w:val="24"/>
          <w:szCs w:val="24"/>
        </w:rPr>
        <w:t>t</w:t>
      </w:r>
      <w:r w:rsidRPr="001F4F4F">
        <w:rPr>
          <w:rFonts w:ascii="Garamond" w:hAnsi="Garamond"/>
          <w:b/>
          <w:sz w:val="24"/>
          <w:szCs w:val="24"/>
        </w:rPr>
        <w:t>).</w:t>
      </w:r>
      <w:r w:rsidRPr="001F4F4F">
        <w:rPr>
          <w:rFonts w:ascii="Garamond" w:hAnsi="Garamond"/>
          <w:sz w:val="24"/>
          <w:szCs w:val="24"/>
        </w:rPr>
        <w:t xml:space="preserve"> </w:t>
      </w:r>
      <w:r w:rsidRPr="001806DA">
        <w:rPr>
          <w:rFonts w:ascii="Garamond" w:hAnsi="Garamond"/>
          <w:sz w:val="24"/>
          <w:szCs w:val="24"/>
        </w:rPr>
        <w:t xml:space="preserve">Det traditionella </w:t>
      </w:r>
      <w:r w:rsidRPr="001F4F4F">
        <w:rPr>
          <w:rFonts w:ascii="Garamond" w:hAnsi="Garamond"/>
          <w:b/>
          <w:sz w:val="24"/>
          <w:szCs w:val="24"/>
        </w:rPr>
        <w:t>bingospelandet</w:t>
      </w:r>
      <w:r w:rsidRPr="001806DA">
        <w:rPr>
          <w:rFonts w:ascii="Garamond" w:hAnsi="Garamond"/>
          <w:sz w:val="24"/>
          <w:szCs w:val="24"/>
        </w:rPr>
        <w:t xml:space="preserve"> uppskattas </w:t>
      </w:r>
      <w:r>
        <w:rPr>
          <w:rFonts w:ascii="Garamond" w:hAnsi="Garamond"/>
          <w:sz w:val="24"/>
          <w:szCs w:val="24"/>
        </w:rPr>
        <w:t>ha omsatt</w:t>
      </w:r>
      <w:r w:rsidRPr="001806DA">
        <w:rPr>
          <w:rFonts w:ascii="Garamond" w:hAnsi="Garamond"/>
          <w:sz w:val="24"/>
          <w:szCs w:val="24"/>
        </w:rPr>
        <w:t xml:space="preserve"> 280 miljoner kronor, vilket är en minskning med c</w:t>
      </w:r>
      <w:r>
        <w:rPr>
          <w:rFonts w:ascii="Garamond" w:hAnsi="Garamond"/>
          <w:sz w:val="24"/>
          <w:szCs w:val="24"/>
        </w:rPr>
        <w:t>irk</w:t>
      </w:r>
      <w:r w:rsidRPr="001806DA">
        <w:rPr>
          <w:rFonts w:ascii="Garamond" w:hAnsi="Garamond"/>
          <w:sz w:val="24"/>
          <w:szCs w:val="24"/>
        </w:rPr>
        <w:t>a 20 miljoner jämfört med året innan</w:t>
      </w:r>
      <w:r>
        <w:rPr>
          <w:rFonts w:ascii="Garamond" w:hAnsi="Garamond"/>
          <w:sz w:val="24"/>
          <w:szCs w:val="24"/>
        </w:rPr>
        <w:t>. Omsättningen för l</w:t>
      </w:r>
      <w:r w:rsidRPr="001806DA">
        <w:rPr>
          <w:rFonts w:ascii="Garamond" w:hAnsi="Garamond"/>
          <w:sz w:val="24"/>
          <w:szCs w:val="24"/>
        </w:rPr>
        <w:t xml:space="preserve">okala och regionala lotterier uppskattas </w:t>
      </w:r>
      <w:r>
        <w:rPr>
          <w:rFonts w:ascii="Garamond" w:hAnsi="Garamond"/>
          <w:sz w:val="24"/>
          <w:szCs w:val="24"/>
        </w:rPr>
        <w:t>ha omsatt</w:t>
      </w:r>
      <w:r w:rsidRPr="001806DA">
        <w:rPr>
          <w:rFonts w:ascii="Garamond" w:hAnsi="Garamond"/>
          <w:sz w:val="24"/>
          <w:szCs w:val="24"/>
        </w:rPr>
        <w:t xml:space="preserve"> 32 miljoner kronor, vilket är en minskning med c</w:t>
      </w:r>
      <w:r>
        <w:rPr>
          <w:rFonts w:ascii="Garamond" w:hAnsi="Garamond"/>
          <w:sz w:val="24"/>
          <w:szCs w:val="24"/>
        </w:rPr>
        <w:t>irk</w:t>
      </w:r>
      <w:r w:rsidRPr="001806DA">
        <w:rPr>
          <w:rFonts w:ascii="Garamond" w:hAnsi="Garamond"/>
          <w:sz w:val="24"/>
          <w:szCs w:val="24"/>
        </w:rPr>
        <w:t xml:space="preserve">a två miljoner kronor. </w:t>
      </w:r>
    </w:p>
    <w:p w:rsidR="00F91C30" w:rsidRPr="001806DA" w:rsidRDefault="00F91C30" w:rsidP="00B87800">
      <w:pPr>
        <w:rPr>
          <w:rFonts w:ascii="Garamond" w:hAnsi="Garamond"/>
          <w:sz w:val="24"/>
          <w:szCs w:val="24"/>
        </w:rPr>
      </w:pPr>
    </w:p>
    <w:p w:rsidR="00F91C30" w:rsidRPr="001806DA" w:rsidRDefault="00F91C30" w:rsidP="00B87800">
      <w:pPr>
        <w:rPr>
          <w:rFonts w:ascii="Garamond" w:hAnsi="Garamond"/>
          <w:sz w:val="24"/>
          <w:szCs w:val="24"/>
        </w:rPr>
      </w:pPr>
      <w:r w:rsidRPr="001806DA">
        <w:rPr>
          <w:rFonts w:ascii="Garamond" w:hAnsi="Garamond"/>
          <w:sz w:val="24"/>
          <w:szCs w:val="24"/>
        </w:rPr>
        <w:t xml:space="preserve">De privata företag som bedriver </w:t>
      </w:r>
      <w:r w:rsidRPr="001806DA">
        <w:rPr>
          <w:rFonts w:ascii="Garamond" w:hAnsi="Garamond"/>
          <w:b/>
          <w:bCs/>
          <w:sz w:val="24"/>
          <w:szCs w:val="24"/>
        </w:rPr>
        <w:t>restaurangkasinon</w:t>
      </w:r>
      <w:r w:rsidRPr="001806DA">
        <w:rPr>
          <w:rFonts w:ascii="Garamond" w:hAnsi="Garamond"/>
          <w:sz w:val="24"/>
          <w:szCs w:val="24"/>
        </w:rPr>
        <w:t xml:space="preserve"> uppskattas ha omsatt </w:t>
      </w:r>
      <w:r>
        <w:rPr>
          <w:rFonts w:ascii="Garamond" w:hAnsi="Garamond"/>
          <w:sz w:val="24"/>
          <w:szCs w:val="24"/>
        </w:rPr>
        <w:t>närmare</w:t>
      </w:r>
      <w:r w:rsidRPr="001806DA">
        <w:rPr>
          <w:rFonts w:ascii="Garamond" w:hAnsi="Garamond"/>
          <w:sz w:val="24"/>
          <w:szCs w:val="24"/>
        </w:rPr>
        <w:t xml:space="preserve"> 190 miljoner kronor, vilket är en minskning med </w:t>
      </w:r>
      <w:r>
        <w:rPr>
          <w:rFonts w:ascii="Garamond" w:hAnsi="Garamond"/>
          <w:sz w:val="24"/>
          <w:szCs w:val="24"/>
        </w:rPr>
        <w:t>cirka 6</w:t>
      </w:r>
      <w:r w:rsidRPr="001806DA">
        <w:rPr>
          <w:rFonts w:ascii="Garamond" w:hAnsi="Garamond"/>
          <w:sz w:val="24"/>
          <w:szCs w:val="24"/>
        </w:rPr>
        <w:t xml:space="preserve"> miljoner kronor jämfört med </w:t>
      </w:r>
      <w:r>
        <w:rPr>
          <w:rFonts w:ascii="Garamond" w:hAnsi="Garamond"/>
          <w:sz w:val="24"/>
          <w:szCs w:val="24"/>
        </w:rPr>
        <w:t>2013</w:t>
      </w:r>
      <w:r w:rsidRPr="001806DA">
        <w:rPr>
          <w:rFonts w:ascii="Garamond" w:hAnsi="Garamond"/>
          <w:sz w:val="24"/>
          <w:szCs w:val="24"/>
        </w:rPr>
        <w:t xml:space="preserve">. </w:t>
      </w:r>
    </w:p>
    <w:p w:rsidR="00F91C30" w:rsidRPr="001806DA" w:rsidRDefault="00F91C30" w:rsidP="00B87800">
      <w:pPr>
        <w:rPr>
          <w:rFonts w:ascii="Garamond" w:hAnsi="Garamond"/>
          <w:sz w:val="24"/>
          <w:szCs w:val="24"/>
        </w:rPr>
      </w:pPr>
    </w:p>
    <w:p w:rsidR="00D239CF" w:rsidRPr="001806DA" w:rsidRDefault="00F91C30" w:rsidP="00B87800">
      <w:pPr>
        <w:spacing w:after="200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I </w:t>
      </w:r>
      <w:r w:rsidRPr="001806DA">
        <w:rPr>
          <w:rFonts w:ascii="Garamond" w:eastAsia="Times New Roman" w:hAnsi="Garamond"/>
          <w:sz w:val="24"/>
          <w:szCs w:val="24"/>
        </w:rPr>
        <w:t xml:space="preserve">genomsnitt spenderar de svenska hushållen 2,43 procent av sin disponibla inkomst på spel, vilket motsvarar 5 783 kronor per person över 18 år. Efter avdrag för vinster blir den genomsnittliga förlusten på spel 2 118 kronor per person över 18 år. Utöver detta tillkommer spel </w:t>
      </w:r>
      <w:r w:rsidR="00B87800">
        <w:rPr>
          <w:rFonts w:ascii="Garamond" w:eastAsia="Times New Roman" w:hAnsi="Garamond"/>
          <w:sz w:val="24"/>
          <w:szCs w:val="24"/>
        </w:rPr>
        <w:t>hos</w:t>
      </w:r>
      <w:r w:rsidRPr="00B87800">
        <w:rPr>
          <w:rFonts w:ascii="Garamond" w:eastAsia="Times New Roman" w:hAnsi="Garamond"/>
          <w:sz w:val="24"/>
          <w:szCs w:val="24"/>
        </w:rPr>
        <w:t xml:space="preserve"> utländsk</w:t>
      </w:r>
      <w:r w:rsidR="00B87800" w:rsidRPr="00B87800">
        <w:rPr>
          <w:rFonts w:ascii="Garamond" w:eastAsia="Times New Roman" w:hAnsi="Garamond"/>
          <w:sz w:val="24"/>
          <w:szCs w:val="24"/>
        </w:rPr>
        <w:t>a</w:t>
      </w:r>
      <w:r w:rsidRPr="00B87800">
        <w:rPr>
          <w:rFonts w:ascii="Garamond" w:eastAsia="Times New Roman" w:hAnsi="Garamond"/>
          <w:sz w:val="24"/>
          <w:szCs w:val="24"/>
        </w:rPr>
        <w:t xml:space="preserve"> operatör</w:t>
      </w:r>
      <w:r w:rsidR="00B87800" w:rsidRPr="00B87800">
        <w:rPr>
          <w:rFonts w:ascii="Garamond" w:eastAsia="Times New Roman" w:hAnsi="Garamond"/>
          <w:sz w:val="24"/>
          <w:szCs w:val="24"/>
        </w:rPr>
        <w:t>er</w:t>
      </w:r>
      <w:r w:rsidRPr="001806DA">
        <w:rPr>
          <w:rFonts w:ascii="Garamond" w:eastAsia="Times New Roman" w:hAnsi="Garamond"/>
          <w:sz w:val="24"/>
          <w:szCs w:val="24"/>
        </w:rPr>
        <w:t xml:space="preserve"> som erbjuder spel via internet till svenska konsumenter. </w:t>
      </w:r>
    </w:p>
    <w:p w:rsidR="00D239CF" w:rsidRPr="001806DA" w:rsidRDefault="00F91C30" w:rsidP="00D239CF">
      <w:pPr>
        <w:rPr>
          <w:rFonts w:ascii="Garamond" w:hAnsi="Garamond"/>
          <w:color w:val="1F497D"/>
          <w:sz w:val="24"/>
          <w:szCs w:val="24"/>
        </w:rPr>
      </w:pPr>
      <w:r>
        <w:rPr>
          <w:noProof/>
        </w:rPr>
        <w:drawing>
          <wp:inline distT="0" distB="0" distL="0" distR="0" wp14:anchorId="466FEF05" wp14:editId="4F316A1B">
            <wp:extent cx="5194997" cy="3597309"/>
            <wp:effectExtent l="0" t="0" r="24765" b="22225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39CF" w:rsidRPr="00173D7A" w:rsidRDefault="00D239CF" w:rsidP="00D239CF">
      <w:pPr>
        <w:rPr>
          <w:rFonts w:ascii="Garamond" w:hAnsi="Garamond"/>
        </w:rPr>
      </w:pPr>
    </w:p>
    <w:p w:rsidR="00DA6B20" w:rsidRDefault="00DA6B20" w:rsidP="00DA6B20">
      <w:pPr>
        <w:rPr>
          <w:rFonts w:ascii="Garamond" w:hAnsi="Garamond"/>
        </w:rPr>
      </w:pPr>
    </w:p>
    <w:p w:rsidR="00DA6B20" w:rsidRDefault="00DA6B20" w:rsidP="00DA6B20">
      <w:pPr>
        <w:rPr>
          <w:rFonts w:ascii="Garamond" w:hAnsi="Garamond"/>
          <w:sz w:val="24"/>
          <w:szCs w:val="24"/>
        </w:rPr>
      </w:pPr>
      <w:r w:rsidRPr="00BA4E3E">
        <w:rPr>
          <w:rFonts w:ascii="Garamond" w:hAnsi="Garamond"/>
          <w:sz w:val="24"/>
          <w:szCs w:val="24"/>
        </w:rPr>
        <w:t xml:space="preserve">För ytterligare information vänligen kontakta </w:t>
      </w:r>
      <w:r w:rsidR="00BA4E3E" w:rsidRPr="00BA4E3E">
        <w:rPr>
          <w:rFonts w:ascii="Garamond" w:hAnsi="Garamond"/>
          <w:sz w:val="24"/>
          <w:szCs w:val="24"/>
        </w:rPr>
        <w:t>Joakim Rönngren, kommunikationschef på tel.</w:t>
      </w:r>
      <w:r w:rsidR="00BA4E3E">
        <w:rPr>
          <w:rFonts w:ascii="Garamond" w:hAnsi="Garamond"/>
          <w:sz w:val="24"/>
          <w:szCs w:val="24"/>
        </w:rPr>
        <w:t xml:space="preserve"> </w:t>
      </w:r>
      <w:r w:rsidR="00BA4E3E" w:rsidRPr="00BA4E3E">
        <w:rPr>
          <w:rFonts w:ascii="Garamond" w:hAnsi="Garamond"/>
          <w:sz w:val="24"/>
          <w:szCs w:val="24"/>
        </w:rPr>
        <w:t>0765-330</w:t>
      </w:r>
      <w:r w:rsidR="007D79D5">
        <w:rPr>
          <w:rFonts w:ascii="Garamond" w:hAnsi="Garamond"/>
          <w:sz w:val="24"/>
          <w:szCs w:val="24"/>
        </w:rPr>
        <w:t> </w:t>
      </w:r>
      <w:r w:rsidR="00BA4E3E" w:rsidRPr="00BA4E3E">
        <w:rPr>
          <w:rFonts w:ascii="Garamond" w:hAnsi="Garamond"/>
          <w:sz w:val="24"/>
          <w:szCs w:val="24"/>
        </w:rPr>
        <w:t>167.</w:t>
      </w:r>
    </w:p>
    <w:p w:rsidR="007D79D5" w:rsidRDefault="007D79D5" w:rsidP="00DA6B20">
      <w:pPr>
        <w:rPr>
          <w:rFonts w:ascii="Garamond" w:hAnsi="Garamond"/>
          <w:sz w:val="24"/>
          <w:szCs w:val="24"/>
        </w:rPr>
      </w:pPr>
    </w:p>
    <w:p w:rsidR="007D79D5" w:rsidRPr="007D79D5" w:rsidRDefault="007D79D5" w:rsidP="007D79D5">
      <w:pPr>
        <w:rPr>
          <w:rFonts w:ascii="Garamond" w:eastAsia="Calibri" w:hAnsi="Garamond"/>
          <w:b/>
          <w:bCs/>
          <w:color w:val="1F497D"/>
          <w:lang w:eastAsia="en-US"/>
        </w:rPr>
      </w:pPr>
      <w:r w:rsidRPr="007D79D5">
        <w:rPr>
          <w:rFonts w:ascii="Garamond" w:eastAsia="Calibri" w:hAnsi="Garamond"/>
          <w:b/>
          <w:bCs/>
          <w:color w:val="1F497D"/>
          <w:lang w:eastAsia="en-US"/>
        </w:rPr>
        <w:t>Lotteriinspektionens undersökning (NOVUS) av den svenska spelmarknaden och nätkasino</w:t>
      </w:r>
    </w:p>
    <w:p w:rsidR="007D79D5" w:rsidRPr="007D79D5" w:rsidRDefault="004F13CE" w:rsidP="007D79D5">
      <w:pPr>
        <w:rPr>
          <w:rFonts w:ascii="Garamond" w:eastAsia="Calibri" w:hAnsi="Garamond"/>
          <w:color w:val="1F497D"/>
          <w:lang w:eastAsia="en-US"/>
        </w:rPr>
      </w:pPr>
      <w:hyperlink r:id="rId9" w:history="1">
        <w:r w:rsidR="007D79D5" w:rsidRPr="007D79D5">
          <w:rPr>
            <w:rFonts w:ascii="Garamond" w:eastAsia="Calibri" w:hAnsi="Garamond"/>
            <w:color w:val="0000FF"/>
            <w:u w:val="single"/>
            <w:lang w:eastAsia="en-US"/>
          </w:rPr>
          <w:t>http://www.lotteriinspektionen.se/sv/Press/Nyheter/Farre-spelar-om-mer-/</w:t>
        </w:r>
      </w:hyperlink>
    </w:p>
    <w:p w:rsidR="007D79D5" w:rsidRPr="007D79D5" w:rsidRDefault="007D79D5" w:rsidP="007D79D5">
      <w:pPr>
        <w:rPr>
          <w:rFonts w:ascii="Garamond" w:eastAsia="Calibri" w:hAnsi="Garamond"/>
          <w:color w:val="1F497D"/>
          <w:lang w:eastAsia="en-US"/>
        </w:rPr>
      </w:pPr>
    </w:p>
    <w:p w:rsidR="007D79D5" w:rsidRPr="007D79D5" w:rsidRDefault="007D79D5" w:rsidP="007D79D5">
      <w:pPr>
        <w:rPr>
          <w:rFonts w:ascii="Garamond" w:eastAsia="Calibri" w:hAnsi="Garamond"/>
          <w:b/>
          <w:bCs/>
          <w:color w:val="1F497D"/>
          <w:lang w:eastAsia="en-US"/>
        </w:rPr>
      </w:pPr>
      <w:r w:rsidRPr="007D79D5">
        <w:rPr>
          <w:rFonts w:ascii="Garamond" w:eastAsia="Calibri" w:hAnsi="Garamond"/>
          <w:b/>
          <w:bCs/>
          <w:color w:val="1F497D"/>
          <w:lang w:eastAsia="en-US"/>
        </w:rPr>
        <w:t>Reklaminvestering 2014 3,7 miljarder kr</w:t>
      </w:r>
    </w:p>
    <w:p w:rsidR="007D79D5" w:rsidRPr="007D79D5" w:rsidRDefault="004F13CE" w:rsidP="007D79D5">
      <w:pPr>
        <w:rPr>
          <w:rFonts w:ascii="Garamond" w:eastAsia="Calibri" w:hAnsi="Garamond"/>
          <w:color w:val="1F497D"/>
          <w:lang w:eastAsia="en-US"/>
        </w:rPr>
      </w:pPr>
      <w:hyperlink r:id="rId10" w:history="1">
        <w:r w:rsidR="007D79D5" w:rsidRPr="007D79D5">
          <w:rPr>
            <w:rFonts w:ascii="Garamond" w:eastAsia="Calibri" w:hAnsi="Garamond"/>
            <w:color w:val="0000FF"/>
            <w:u w:val="single"/>
            <w:lang w:eastAsia="en-US"/>
          </w:rPr>
          <w:t>http://www.lotteriinspektionen.se/sv/Om-oss/Statistik/Veckans-statistik/reklaminvest_2013_2014/</w:t>
        </w:r>
      </w:hyperlink>
    </w:p>
    <w:p w:rsidR="007D79D5" w:rsidRPr="00BA4E3E" w:rsidRDefault="007D79D5" w:rsidP="007D79D5">
      <w:pPr>
        <w:rPr>
          <w:rFonts w:ascii="Garamond" w:hAnsi="Garamond"/>
          <w:sz w:val="24"/>
          <w:szCs w:val="24"/>
        </w:rPr>
      </w:pPr>
    </w:p>
    <w:p w:rsidR="00D239CF" w:rsidRPr="00BA4E3E" w:rsidRDefault="00D239CF" w:rsidP="00D239CF">
      <w:pPr>
        <w:rPr>
          <w:rFonts w:ascii="Garamond" w:hAnsi="Garamond"/>
          <w:color w:val="1F497D"/>
        </w:rPr>
      </w:pPr>
    </w:p>
    <w:p w:rsidR="00D239CF" w:rsidRPr="00173D7A" w:rsidRDefault="00D239CF" w:rsidP="00D239CF">
      <w:pPr>
        <w:rPr>
          <w:rFonts w:ascii="Garamond" w:hAnsi="Garamond"/>
          <w:i/>
          <w:iCs/>
          <w:color w:val="000000"/>
          <w:sz w:val="20"/>
          <w:szCs w:val="20"/>
        </w:rPr>
      </w:pPr>
      <w:r w:rsidRPr="00173D7A">
        <w:rPr>
          <w:rFonts w:ascii="Garamond" w:hAnsi="Garamond"/>
          <w:i/>
          <w:iCs/>
          <w:color w:val="000000"/>
          <w:sz w:val="20"/>
          <w:szCs w:val="20"/>
        </w:rPr>
        <w:t>Lotteriinspektionen är den myndighet som ska säkerställa att lotterier, kasinospel och annan spelverksamhet i Sverige utövas lagligt, säkert och tillförlitligt. Vi bevakar konsumenternas intressen och ska även medverka till att minska riskerna för de sociala skadeverkningar som spelande kan medföra.</w:t>
      </w:r>
    </w:p>
    <w:p w:rsidR="00D239CF" w:rsidRPr="00173D7A" w:rsidRDefault="00D239CF" w:rsidP="00D239CF">
      <w:pPr>
        <w:rPr>
          <w:rFonts w:ascii="Garamond" w:hAnsi="Garamond"/>
          <w:i/>
          <w:iCs/>
          <w:color w:val="000000"/>
          <w:sz w:val="20"/>
          <w:szCs w:val="20"/>
        </w:rPr>
      </w:pPr>
    </w:p>
    <w:p w:rsidR="00D239CF" w:rsidRPr="00173D7A" w:rsidRDefault="00D239CF" w:rsidP="00D239CF">
      <w:pPr>
        <w:rPr>
          <w:rFonts w:ascii="Garamond" w:hAnsi="Garamond"/>
          <w:i/>
          <w:iCs/>
          <w:color w:val="000000"/>
          <w:sz w:val="20"/>
          <w:szCs w:val="20"/>
        </w:rPr>
      </w:pPr>
    </w:p>
    <w:p w:rsidR="00D239CF" w:rsidRPr="00173D7A" w:rsidRDefault="00D239CF" w:rsidP="00D239CF">
      <w:pPr>
        <w:rPr>
          <w:rFonts w:ascii="Garamond" w:hAnsi="Garamond"/>
          <w:i/>
          <w:iCs/>
          <w:color w:val="000000"/>
          <w:sz w:val="20"/>
          <w:szCs w:val="20"/>
        </w:rPr>
      </w:pPr>
    </w:p>
    <w:p w:rsidR="00D239CF" w:rsidRPr="00173D7A" w:rsidRDefault="00D239CF" w:rsidP="00D239CF">
      <w:pPr>
        <w:rPr>
          <w:rFonts w:ascii="Garamond" w:hAnsi="Garamond"/>
          <w:i/>
          <w:iCs/>
          <w:color w:val="000000"/>
          <w:sz w:val="20"/>
          <w:szCs w:val="20"/>
        </w:rPr>
      </w:pPr>
    </w:p>
    <w:p w:rsidR="00D239CF" w:rsidRPr="00173D7A" w:rsidRDefault="00D239CF" w:rsidP="00D239CF">
      <w:pPr>
        <w:rPr>
          <w:rFonts w:ascii="Garamond" w:hAnsi="Garamond"/>
          <w:i/>
          <w:iCs/>
          <w:color w:val="000000"/>
          <w:sz w:val="20"/>
          <w:szCs w:val="20"/>
        </w:rPr>
      </w:pPr>
    </w:p>
    <w:p w:rsidR="00D239CF" w:rsidRPr="00173D7A" w:rsidRDefault="00D239CF" w:rsidP="00D239CF">
      <w:pPr>
        <w:rPr>
          <w:rFonts w:ascii="Garamond" w:hAnsi="Garamond"/>
          <w:i/>
          <w:iCs/>
          <w:color w:val="000000"/>
          <w:sz w:val="20"/>
          <w:szCs w:val="20"/>
        </w:rPr>
      </w:pPr>
    </w:p>
    <w:p w:rsidR="00D239CF" w:rsidRPr="00173D7A" w:rsidRDefault="00D239CF" w:rsidP="00D239CF">
      <w:pPr>
        <w:rPr>
          <w:rFonts w:ascii="Garamond" w:hAnsi="Garamond"/>
          <w:i/>
          <w:iCs/>
          <w:color w:val="000000"/>
          <w:sz w:val="20"/>
          <w:szCs w:val="20"/>
        </w:rPr>
      </w:pPr>
    </w:p>
    <w:p w:rsidR="00D239CF" w:rsidRPr="00173D7A" w:rsidRDefault="0079295D" w:rsidP="00D239CF">
      <w:pPr>
        <w:pStyle w:val="Beskrivning"/>
        <w:keepNext/>
        <w:rPr>
          <w:color w:val="auto"/>
        </w:rPr>
      </w:pPr>
      <w:r>
        <w:rPr>
          <w:color w:val="auto"/>
        </w:rPr>
        <w:t>Figur 1</w:t>
      </w:r>
      <w:r w:rsidR="00D239CF" w:rsidRPr="00173D7A">
        <w:rPr>
          <w:color w:val="auto"/>
        </w:rPr>
        <w:t xml:space="preserve"> - </w:t>
      </w:r>
      <w:r w:rsidR="00A8198A">
        <w:rPr>
          <w:color w:val="auto"/>
        </w:rPr>
        <w:t xml:space="preserve">Den reglerade spelmarknaden </w:t>
      </w:r>
      <w:r w:rsidR="00A8198A" w:rsidRPr="00B87800">
        <w:rPr>
          <w:color w:val="auto"/>
        </w:rPr>
        <w:t>2014</w:t>
      </w:r>
    </w:p>
    <w:p w:rsidR="00D239CF" w:rsidRDefault="00F91C30" w:rsidP="00D239CF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35C07F1A" wp14:editId="34D8D480">
            <wp:extent cx="5144756" cy="3687745"/>
            <wp:effectExtent l="0" t="0" r="18415" b="27305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06DA" w:rsidRPr="00173D7A" w:rsidRDefault="001806DA" w:rsidP="00D239CF">
      <w:pPr>
        <w:rPr>
          <w:rFonts w:ascii="Garamond" w:hAnsi="Garamond"/>
        </w:rPr>
      </w:pPr>
    </w:p>
    <w:p w:rsidR="00D239CF" w:rsidRPr="00173D7A" w:rsidRDefault="0079295D" w:rsidP="00D239CF">
      <w:pPr>
        <w:pStyle w:val="Beskrivning"/>
        <w:keepNext/>
        <w:rPr>
          <w:color w:val="auto"/>
        </w:rPr>
      </w:pPr>
      <w:r>
        <w:rPr>
          <w:color w:val="auto"/>
        </w:rPr>
        <w:lastRenderedPageBreak/>
        <w:t>Figur 2</w:t>
      </w:r>
      <w:r w:rsidR="00D239CF" w:rsidRPr="00173D7A">
        <w:rPr>
          <w:color w:val="auto"/>
        </w:rPr>
        <w:t xml:space="preserve"> - Spelmarkanden inkl. utländska aktörer</w:t>
      </w:r>
      <w:r>
        <w:rPr>
          <w:color w:val="auto"/>
        </w:rPr>
        <w:t xml:space="preserve"> </w:t>
      </w:r>
      <w:r w:rsidRPr="00B87800">
        <w:rPr>
          <w:color w:val="auto"/>
        </w:rPr>
        <w:t>2014</w:t>
      </w:r>
    </w:p>
    <w:p w:rsidR="00D239CF" w:rsidRDefault="00F91C30" w:rsidP="00D239CF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7D5CF3FC" wp14:editId="7209014E">
            <wp:extent cx="5064369" cy="3818373"/>
            <wp:effectExtent l="0" t="0" r="22225" b="10795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198A" w:rsidRDefault="00A8198A" w:rsidP="00D239CF">
      <w:pPr>
        <w:rPr>
          <w:rFonts w:ascii="Garamond" w:hAnsi="Garamond"/>
        </w:rPr>
      </w:pPr>
    </w:p>
    <w:p w:rsidR="0079295D" w:rsidRPr="00173D7A" w:rsidRDefault="0079295D" w:rsidP="0079295D">
      <w:pPr>
        <w:pStyle w:val="Beskrivning"/>
        <w:keepNext/>
        <w:rPr>
          <w:color w:val="auto"/>
        </w:rPr>
      </w:pPr>
      <w:r>
        <w:rPr>
          <w:color w:val="auto"/>
        </w:rPr>
        <w:t>Figur 3</w:t>
      </w:r>
      <w:r w:rsidRPr="00173D7A">
        <w:rPr>
          <w:color w:val="auto"/>
        </w:rPr>
        <w:t xml:space="preserve"> </w:t>
      </w:r>
      <w:r>
        <w:rPr>
          <w:color w:val="auto"/>
        </w:rPr>
        <w:t>–</w:t>
      </w:r>
      <w:r w:rsidRPr="00173D7A">
        <w:rPr>
          <w:color w:val="auto"/>
        </w:rPr>
        <w:t xml:space="preserve"> </w:t>
      </w:r>
      <w:r>
        <w:rPr>
          <w:color w:val="auto"/>
        </w:rPr>
        <w:t>Svenska nätspelsmarknaden 2014</w:t>
      </w:r>
    </w:p>
    <w:p w:rsidR="00A8198A" w:rsidRDefault="00A8198A" w:rsidP="00D239CF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5E8409CA" wp14:editId="0A787F59">
            <wp:extent cx="5446206" cy="3707842"/>
            <wp:effectExtent l="0" t="0" r="21590" b="2603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198A" w:rsidRDefault="00A8198A" w:rsidP="00D239CF">
      <w:pPr>
        <w:rPr>
          <w:rFonts w:ascii="Garamond" w:hAnsi="Garamond"/>
        </w:rPr>
      </w:pPr>
    </w:p>
    <w:p w:rsidR="00A8198A" w:rsidRDefault="00A8198A" w:rsidP="00D239CF">
      <w:pPr>
        <w:rPr>
          <w:rFonts w:ascii="Garamond" w:hAnsi="Garamond"/>
        </w:rPr>
      </w:pPr>
    </w:p>
    <w:p w:rsidR="0079295D" w:rsidRPr="00173D7A" w:rsidRDefault="0079295D" w:rsidP="0079295D">
      <w:pPr>
        <w:pStyle w:val="Beskrivning"/>
        <w:keepNext/>
        <w:rPr>
          <w:color w:val="auto"/>
        </w:rPr>
      </w:pPr>
      <w:r>
        <w:rPr>
          <w:color w:val="auto"/>
        </w:rPr>
        <w:lastRenderedPageBreak/>
        <w:t>Figur 4 – Svenska nätspelsmarknadens utveckling 2009 - 2014</w:t>
      </w:r>
    </w:p>
    <w:p w:rsidR="00A8198A" w:rsidRDefault="00A8198A" w:rsidP="00D239CF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4BBA4190" wp14:editId="43720F0C">
            <wp:extent cx="5385916" cy="3446585"/>
            <wp:effectExtent l="0" t="0" r="24765" b="2095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D79D5" w:rsidRDefault="007D79D5" w:rsidP="00D239CF">
      <w:pPr>
        <w:rPr>
          <w:rFonts w:ascii="Garamond" w:hAnsi="Garamond"/>
        </w:rPr>
      </w:pPr>
    </w:p>
    <w:p w:rsidR="007D79D5" w:rsidRDefault="007D79D5" w:rsidP="00D239CF">
      <w:pPr>
        <w:rPr>
          <w:rFonts w:ascii="Garamond" w:hAnsi="Garamond"/>
          <w:sz w:val="18"/>
          <w:szCs w:val="18"/>
        </w:rPr>
      </w:pPr>
    </w:p>
    <w:p w:rsidR="007D79D5" w:rsidRDefault="007D79D5" w:rsidP="00D239CF">
      <w:pPr>
        <w:rPr>
          <w:rFonts w:ascii="Garamond" w:hAnsi="Garamond"/>
          <w:sz w:val="18"/>
          <w:szCs w:val="18"/>
        </w:rPr>
      </w:pPr>
    </w:p>
    <w:p w:rsidR="007D79D5" w:rsidRDefault="007D79D5" w:rsidP="00D239CF">
      <w:pPr>
        <w:rPr>
          <w:rFonts w:ascii="Garamond" w:hAnsi="Garamond"/>
          <w:sz w:val="18"/>
          <w:szCs w:val="18"/>
        </w:rPr>
      </w:pPr>
    </w:p>
    <w:p w:rsidR="007D79D5" w:rsidRPr="007D79D5" w:rsidRDefault="007D79D5" w:rsidP="00D239CF">
      <w:pPr>
        <w:rPr>
          <w:rFonts w:ascii="Garamond" w:hAnsi="Garamond"/>
          <w:b/>
          <w:sz w:val="18"/>
          <w:szCs w:val="18"/>
        </w:rPr>
      </w:pPr>
      <w:r w:rsidRPr="007D79D5">
        <w:rPr>
          <w:rFonts w:ascii="Garamond" w:hAnsi="Garamond"/>
          <w:b/>
          <w:sz w:val="18"/>
          <w:szCs w:val="18"/>
        </w:rPr>
        <w:t>Figur 5 – Reklaminvesteringar per operatör 2014</w:t>
      </w:r>
    </w:p>
    <w:p w:rsidR="007D79D5" w:rsidRPr="007D79D5" w:rsidRDefault="007D79D5" w:rsidP="00D239CF">
      <w:pPr>
        <w:rPr>
          <w:rFonts w:ascii="Garamond" w:hAnsi="Garamond"/>
          <w:sz w:val="18"/>
          <w:szCs w:val="18"/>
        </w:rPr>
      </w:pPr>
    </w:p>
    <w:p w:rsidR="00D239CF" w:rsidRPr="00173D7A" w:rsidRDefault="00D239CF" w:rsidP="00D239CF">
      <w:pPr>
        <w:rPr>
          <w:rFonts w:ascii="Garamond" w:hAnsi="Garamond"/>
          <w:i/>
          <w:iCs/>
          <w:color w:val="000000"/>
          <w:sz w:val="20"/>
          <w:szCs w:val="20"/>
        </w:rPr>
      </w:pPr>
    </w:p>
    <w:p w:rsidR="000470F8" w:rsidRPr="00173D7A" w:rsidRDefault="007D79D5">
      <w:pPr>
        <w:rPr>
          <w:rFonts w:ascii="Garamond" w:hAnsi="Garamond"/>
        </w:rPr>
      </w:pPr>
      <w:r w:rsidRPr="007D79D5">
        <w:rPr>
          <w:rFonts w:eastAsia="Calibri"/>
          <w:noProof/>
        </w:rPr>
        <w:drawing>
          <wp:inline distT="0" distB="0" distL="0" distR="0" wp14:anchorId="7C9948DC" wp14:editId="7250B6A9">
            <wp:extent cx="5760720" cy="3642134"/>
            <wp:effectExtent l="0" t="0" r="0" b="0"/>
            <wp:docPr id="1" name="Diagram 2" descr="cid:image001.png@01D03C9E.8271F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2" descr="cid:image001.png@01D03C9E.8271F4B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7A" w:rsidRPr="00173D7A" w:rsidRDefault="00173D7A">
      <w:pPr>
        <w:rPr>
          <w:rFonts w:ascii="Garamond" w:hAnsi="Garamond"/>
        </w:rPr>
      </w:pPr>
    </w:p>
    <w:sectPr w:rsidR="00173D7A" w:rsidRPr="00173D7A" w:rsidSect="004F2D6D">
      <w:headerReference w:type="default" r:id="rId17"/>
      <w:pgSz w:w="11906" w:h="16838"/>
      <w:pgMar w:top="1805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CD" w:rsidRDefault="00756DCD" w:rsidP="002C63B3">
      <w:r>
        <w:separator/>
      </w:r>
    </w:p>
  </w:endnote>
  <w:endnote w:type="continuationSeparator" w:id="0">
    <w:p w:rsidR="00756DCD" w:rsidRDefault="00756DCD" w:rsidP="002C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CD" w:rsidRDefault="00756DCD" w:rsidP="002C63B3">
      <w:r>
        <w:separator/>
      </w:r>
    </w:p>
  </w:footnote>
  <w:footnote w:type="continuationSeparator" w:id="0">
    <w:p w:rsidR="00756DCD" w:rsidRDefault="00756DCD" w:rsidP="002C6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B3" w:rsidRDefault="002C63B3">
    <w:pPr>
      <w:pStyle w:val="Sidhuvud"/>
    </w:pPr>
    <w:r>
      <w:rPr>
        <w:noProof/>
      </w:rPr>
      <w:drawing>
        <wp:inline distT="0" distB="0" distL="0" distR="0" wp14:anchorId="214A5A8B" wp14:editId="3C803AB9">
          <wp:extent cx="2466643" cy="231112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935" cy="231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872"/>
    <w:multiLevelType w:val="multilevel"/>
    <w:tmpl w:val="86F0400E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CF"/>
    <w:rsid w:val="000470F8"/>
    <w:rsid w:val="00065923"/>
    <w:rsid w:val="000A4DDB"/>
    <w:rsid w:val="00173D7A"/>
    <w:rsid w:val="001806DA"/>
    <w:rsid w:val="001C1583"/>
    <w:rsid w:val="002830BF"/>
    <w:rsid w:val="002C63B3"/>
    <w:rsid w:val="00364D3B"/>
    <w:rsid w:val="00377CA5"/>
    <w:rsid w:val="00390458"/>
    <w:rsid w:val="003A2D21"/>
    <w:rsid w:val="003D6144"/>
    <w:rsid w:val="00464CB8"/>
    <w:rsid w:val="004A76CE"/>
    <w:rsid w:val="004F13CE"/>
    <w:rsid w:val="004F2D6D"/>
    <w:rsid w:val="00522EBE"/>
    <w:rsid w:val="005D5D4B"/>
    <w:rsid w:val="00632F27"/>
    <w:rsid w:val="00756DCD"/>
    <w:rsid w:val="0079295D"/>
    <w:rsid w:val="007B419D"/>
    <w:rsid w:val="007D79D5"/>
    <w:rsid w:val="009621E4"/>
    <w:rsid w:val="00A01C9E"/>
    <w:rsid w:val="00A8198A"/>
    <w:rsid w:val="00B8653A"/>
    <w:rsid w:val="00B87800"/>
    <w:rsid w:val="00BA4E3E"/>
    <w:rsid w:val="00D239CF"/>
    <w:rsid w:val="00D3377B"/>
    <w:rsid w:val="00DA6B20"/>
    <w:rsid w:val="00EE7D68"/>
    <w:rsid w:val="00F91C30"/>
    <w:rsid w:val="00FC3753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39CF"/>
    <w:pPr>
      <w:spacing w:after="0" w:line="240" w:lineRule="auto"/>
    </w:pPr>
    <w:rPr>
      <w:rFonts w:ascii="Calibri" w:hAnsi="Calibri" w:cs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90458"/>
    <w:pPr>
      <w:keepNext/>
      <w:keepLines/>
      <w:spacing w:before="360" w:after="240"/>
      <w:outlineLvl w:val="0"/>
    </w:pPr>
    <w:rPr>
      <w:rFonts w:eastAsiaTheme="majorEastAsia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0458"/>
    <w:pPr>
      <w:keepNext/>
      <w:keepLines/>
      <w:spacing w:before="320" w:after="120"/>
      <w:outlineLvl w:val="1"/>
    </w:pPr>
    <w:rPr>
      <w:rFonts w:eastAsiaTheme="majorEastAsia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390458"/>
    <w:pPr>
      <w:keepNext/>
      <w:keepLines/>
      <w:spacing w:before="240" w:after="60"/>
      <w:outlineLvl w:val="2"/>
    </w:pPr>
    <w:rPr>
      <w:rFonts w:eastAsiaTheme="majorEastAsia" w:cstheme="majorBidi"/>
      <w:bCs/>
      <w:i/>
      <w:sz w:val="32"/>
    </w:rPr>
  </w:style>
  <w:style w:type="paragraph" w:styleId="Rubrik4">
    <w:name w:val="heading 4"/>
    <w:basedOn w:val="Normal"/>
    <w:next w:val="Normal"/>
    <w:link w:val="Rubrik4Char"/>
    <w:semiHidden/>
    <w:rsid w:val="003904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6AA73" w:themeColor="accent1"/>
    </w:rPr>
  </w:style>
  <w:style w:type="paragraph" w:styleId="Rubrik5">
    <w:name w:val="heading 5"/>
    <w:basedOn w:val="Normal"/>
    <w:next w:val="Normal"/>
    <w:link w:val="Rubrik5Char"/>
    <w:semiHidden/>
    <w:qFormat/>
    <w:rsid w:val="00390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55835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D239CF"/>
    <w:pPr>
      <w:spacing w:line="300" w:lineRule="exact"/>
      <w:ind w:left="1152" w:hanging="1152"/>
      <w:outlineLvl w:val="5"/>
    </w:pPr>
    <w:rPr>
      <w:rFonts w:ascii="Garamond" w:eastAsia="Times New Roman" w:hAnsi="Garamond"/>
      <w:bCs/>
      <w:sz w:val="24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D239CF"/>
    <w:pPr>
      <w:spacing w:line="300" w:lineRule="exact"/>
      <w:ind w:left="1296" w:hanging="1296"/>
      <w:outlineLvl w:val="6"/>
    </w:pPr>
    <w:rPr>
      <w:rFonts w:ascii="Garamond" w:eastAsia="Times New Roman" w:hAnsi="Garamond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D239CF"/>
    <w:pPr>
      <w:spacing w:line="300" w:lineRule="exact"/>
      <w:ind w:left="1440" w:hanging="1440"/>
      <w:outlineLvl w:val="7"/>
    </w:pPr>
    <w:rPr>
      <w:rFonts w:ascii="Garamond" w:eastAsia="Times New Roman" w:hAnsi="Garamond"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D239CF"/>
    <w:pPr>
      <w:spacing w:line="300" w:lineRule="exact"/>
      <w:ind w:left="1584" w:hanging="1584"/>
      <w:outlineLvl w:val="8"/>
    </w:pPr>
    <w:rPr>
      <w:rFonts w:ascii="Garamond" w:eastAsia="Times New Roman" w:hAnsi="Garamond" w:cs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Huvudrubrik"/>
    <w:basedOn w:val="Normal"/>
    <w:next w:val="Normal"/>
    <w:link w:val="RubrikChar"/>
    <w:qFormat/>
    <w:rsid w:val="00D3377B"/>
    <w:pPr>
      <w:spacing w:before="960" w:after="180"/>
      <w:contextualSpacing/>
    </w:pPr>
    <w:rPr>
      <w:rFonts w:eastAsiaTheme="majorEastAsia" w:cstheme="majorBidi"/>
      <w:spacing w:val="5"/>
      <w:kern w:val="28"/>
      <w:sz w:val="4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rsid w:val="00D3377B"/>
    <w:rPr>
      <w:rFonts w:ascii="Garamond" w:eastAsiaTheme="majorEastAsia" w:hAnsi="Garamond" w:cstheme="majorBidi"/>
      <w:spacing w:val="5"/>
      <w:kern w:val="28"/>
      <w:sz w:val="42"/>
      <w:szCs w:val="52"/>
    </w:rPr>
  </w:style>
  <w:style w:type="character" w:customStyle="1" w:styleId="Rubrik1Char">
    <w:name w:val="Rubrik 1 Char"/>
    <w:basedOn w:val="Standardstycketeckensnitt"/>
    <w:link w:val="Rubrik1"/>
    <w:rsid w:val="00390458"/>
    <w:rPr>
      <w:rFonts w:ascii="Garamond" w:eastAsiaTheme="majorEastAsia" w:hAnsi="Garamond" w:cstheme="majorBidi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rsid w:val="00390458"/>
    <w:rPr>
      <w:rFonts w:ascii="Garamond" w:eastAsiaTheme="majorEastAsia" w:hAnsi="Garamond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0458"/>
    <w:rPr>
      <w:rFonts w:ascii="Garamond" w:eastAsiaTheme="majorEastAsia" w:hAnsi="Garamond" w:cstheme="majorBidi"/>
      <w:bCs/>
      <w:i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90458"/>
    <w:rPr>
      <w:rFonts w:asciiTheme="majorHAnsi" w:eastAsiaTheme="majorEastAsia" w:hAnsiTheme="majorHAnsi" w:cstheme="majorBidi"/>
      <w:b/>
      <w:bCs/>
      <w:i/>
      <w:iCs/>
      <w:color w:val="A6AA73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90458"/>
    <w:rPr>
      <w:rFonts w:asciiTheme="majorHAnsi" w:eastAsiaTheme="majorEastAsia" w:hAnsiTheme="majorHAnsi" w:cstheme="majorBidi"/>
      <w:color w:val="555835" w:themeColor="accent1" w:themeShade="7F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9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9CF"/>
    <w:rPr>
      <w:rFonts w:ascii="Tahoma" w:hAnsi="Tahoma" w:cs="Tahoma"/>
      <w:sz w:val="16"/>
      <w:szCs w:val="1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D239CF"/>
    <w:rPr>
      <w:rFonts w:ascii="Garamond" w:eastAsia="Times New Roman" w:hAnsi="Garamond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D239CF"/>
    <w:rPr>
      <w:rFonts w:ascii="Garamond" w:eastAsia="Times New Roman" w:hAnsi="Garamond" w:cs="Times New Roman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D239CF"/>
    <w:rPr>
      <w:rFonts w:ascii="Garamond" w:eastAsia="Times New Roman" w:hAnsi="Garamond" w:cs="Times New Roman"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D239CF"/>
    <w:rPr>
      <w:rFonts w:ascii="Garamond" w:eastAsia="Times New Roman" w:hAnsi="Garamond" w:cs="Arial"/>
      <w:sz w:val="24"/>
      <w:lang w:eastAsia="sv-SE"/>
    </w:rPr>
  </w:style>
  <w:style w:type="paragraph" w:styleId="Beskrivning">
    <w:name w:val="caption"/>
    <w:basedOn w:val="Normal"/>
    <w:next w:val="Normal"/>
    <w:unhideWhenUsed/>
    <w:qFormat/>
    <w:rsid w:val="00D239CF"/>
    <w:pPr>
      <w:spacing w:after="200"/>
    </w:pPr>
    <w:rPr>
      <w:rFonts w:ascii="Garamond" w:hAnsi="Garamond" w:cstheme="minorBidi"/>
      <w:b/>
      <w:bCs/>
      <w:color w:val="A6AA73" w:themeColor="accent1"/>
      <w:sz w:val="18"/>
      <w:szCs w:val="1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2C63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63B3"/>
    <w:rPr>
      <w:rFonts w:ascii="Calibri" w:hAnsi="Calibri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C63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C63B3"/>
    <w:rPr>
      <w:rFonts w:ascii="Calibri" w:hAnsi="Calibri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39CF"/>
    <w:pPr>
      <w:spacing w:after="0" w:line="240" w:lineRule="auto"/>
    </w:pPr>
    <w:rPr>
      <w:rFonts w:ascii="Calibri" w:hAnsi="Calibri" w:cs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90458"/>
    <w:pPr>
      <w:keepNext/>
      <w:keepLines/>
      <w:spacing w:before="360" w:after="240"/>
      <w:outlineLvl w:val="0"/>
    </w:pPr>
    <w:rPr>
      <w:rFonts w:eastAsiaTheme="majorEastAsia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0458"/>
    <w:pPr>
      <w:keepNext/>
      <w:keepLines/>
      <w:spacing w:before="320" w:after="120"/>
      <w:outlineLvl w:val="1"/>
    </w:pPr>
    <w:rPr>
      <w:rFonts w:eastAsiaTheme="majorEastAsia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390458"/>
    <w:pPr>
      <w:keepNext/>
      <w:keepLines/>
      <w:spacing w:before="240" w:after="60"/>
      <w:outlineLvl w:val="2"/>
    </w:pPr>
    <w:rPr>
      <w:rFonts w:eastAsiaTheme="majorEastAsia" w:cstheme="majorBidi"/>
      <w:bCs/>
      <w:i/>
      <w:sz w:val="32"/>
    </w:rPr>
  </w:style>
  <w:style w:type="paragraph" w:styleId="Rubrik4">
    <w:name w:val="heading 4"/>
    <w:basedOn w:val="Normal"/>
    <w:next w:val="Normal"/>
    <w:link w:val="Rubrik4Char"/>
    <w:semiHidden/>
    <w:rsid w:val="003904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6AA73" w:themeColor="accent1"/>
    </w:rPr>
  </w:style>
  <w:style w:type="paragraph" w:styleId="Rubrik5">
    <w:name w:val="heading 5"/>
    <w:basedOn w:val="Normal"/>
    <w:next w:val="Normal"/>
    <w:link w:val="Rubrik5Char"/>
    <w:semiHidden/>
    <w:qFormat/>
    <w:rsid w:val="00390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55835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D239CF"/>
    <w:pPr>
      <w:spacing w:line="300" w:lineRule="exact"/>
      <w:ind w:left="1152" w:hanging="1152"/>
      <w:outlineLvl w:val="5"/>
    </w:pPr>
    <w:rPr>
      <w:rFonts w:ascii="Garamond" w:eastAsia="Times New Roman" w:hAnsi="Garamond"/>
      <w:bCs/>
      <w:sz w:val="24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D239CF"/>
    <w:pPr>
      <w:spacing w:line="300" w:lineRule="exact"/>
      <w:ind w:left="1296" w:hanging="1296"/>
      <w:outlineLvl w:val="6"/>
    </w:pPr>
    <w:rPr>
      <w:rFonts w:ascii="Garamond" w:eastAsia="Times New Roman" w:hAnsi="Garamond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D239CF"/>
    <w:pPr>
      <w:spacing w:line="300" w:lineRule="exact"/>
      <w:ind w:left="1440" w:hanging="1440"/>
      <w:outlineLvl w:val="7"/>
    </w:pPr>
    <w:rPr>
      <w:rFonts w:ascii="Garamond" w:eastAsia="Times New Roman" w:hAnsi="Garamond"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D239CF"/>
    <w:pPr>
      <w:spacing w:line="300" w:lineRule="exact"/>
      <w:ind w:left="1584" w:hanging="1584"/>
      <w:outlineLvl w:val="8"/>
    </w:pPr>
    <w:rPr>
      <w:rFonts w:ascii="Garamond" w:eastAsia="Times New Roman" w:hAnsi="Garamond" w:cs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Huvudrubrik"/>
    <w:basedOn w:val="Normal"/>
    <w:next w:val="Normal"/>
    <w:link w:val="RubrikChar"/>
    <w:qFormat/>
    <w:rsid w:val="00D3377B"/>
    <w:pPr>
      <w:spacing w:before="960" w:after="180"/>
      <w:contextualSpacing/>
    </w:pPr>
    <w:rPr>
      <w:rFonts w:eastAsiaTheme="majorEastAsia" w:cstheme="majorBidi"/>
      <w:spacing w:val="5"/>
      <w:kern w:val="28"/>
      <w:sz w:val="4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rsid w:val="00D3377B"/>
    <w:rPr>
      <w:rFonts w:ascii="Garamond" w:eastAsiaTheme="majorEastAsia" w:hAnsi="Garamond" w:cstheme="majorBidi"/>
      <w:spacing w:val="5"/>
      <w:kern w:val="28"/>
      <w:sz w:val="42"/>
      <w:szCs w:val="52"/>
    </w:rPr>
  </w:style>
  <w:style w:type="character" w:customStyle="1" w:styleId="Rubrik1Char">
    <w:name w:val="Rubrik 1 Char"/>
    <w:basedOn w:val="Standardstycketeckensnitt"/>
    <w:link w:val="Rubrik1"/>
    <w:rsid w:val="00390458"/>
    <w:rPr>
      <w:rFonts w:ascii="Garamond" w:eastAsiaTheme="majorEastAsia" w:hAnsi="Garamond" w:cstheme="majorBidi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rsid w:val="00390458"/>
    <w:rPr>
      <w:rFonts w:ascii="Garamond" w:eastAsiaTheme="majorEastAsia" w:hAnsi="Garamond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0458"/>
    <w:rPr>
      <w:rFonts w:ascii="Garamond" w:eastAsiaTheme="majorEastAsia" w:hAnsi="Garamond" w:cstheme="majorBidi"/>
      <w:bCs/>
      <w:i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90458"/>
    <w:rPr>
      <w:rFonts w:asciiTheme="majorHAnsi" w:eastAsiaTheme="majorEastAsia" w:hAnsiTheme="majorHAnsi" w:cstheme="majorBidi"/>
      <w:b/>
      <w:bCs/>
      <w:i/>
      <w:iCs/>
      <w:color w:val="A6AA73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90458"/>
    <w:rPr>
      <w:rFonts w:asciiTheme="majorHAnsi" w:eastAsiaTheme="majorEastAsia" w:hAnsiTheme="majorHAnsi" w:cstheme="majorBidi"/>
      <w:color w:val="555835" w:themeColor="accent1" w:themeShade="7F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9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9CF"/>
    <w:rPr>
      <w:rFonts w:ascii="Tahoma" w:hAnsi="Tahoma" w:cs="Tahoma"/>
      <w:sz w:val="16"/>
      <w:szCs w:val="1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D239CF"/>
    <w:rPr>
      <w:rFonts w:ascii="Garamond" w:eastAsia="Times New Roman" w:hAnsi="Garamond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D239CF"/>
    <w:rPr>
      <w:rFonts w:ascii="Garamond" w:eastAsia="Times New Roman" w:hAnsi="Garamond" w:cs="Times New Roman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D239CF"/>
    <w:rPr>
      <w:rFonts w:ascii="Garamond" w:eastAsia="Times New Roman" w:hAnsi="Garamond" w:cs="Times New Roman"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D239CF"/>
    <w:rPr>
      <w:rFonts w:ascii="Garamond" w:eastAsia="Times New Roman" w:hAnsi="Garamond" w:cs="Arial"/>
      <w:sz w:val="24"/>
      <w:lang w:eastAsia="sv-SE"/>
    </w:rPr>
  </w:style>
  <w:style w:type="paragraph" w:styleId="Beskrivning">
    <w:name w:val="caption"/>
    <w:basedOn w:val="Normal"/>
    <w:next w:val="Normal"/>
    <w:unhideWhenUsed/>
    <w:qFormat/>
    <w:rsid w:val="00D239CF"/>
    <w:pPr>
      <w:spacing w:after="200"/>
    </w:pPr>
    <w:rPr>
      <w:rFonts w:ascii="Garamond" w:hAnsi="Garamond" w:cstheme="minorBidi"/>
      <w:b/>
      <w:bCs/>
      <w:color w:val="A6AA73" w:themeColor="accent1"/>
      <w:sz w:val="18"/>
      <w:szCs w:val="1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2C63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63B3"/>
    <w:rPr>
      <w:rFonts w:ascii="Calibri" w:hAnsi="Calibri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C63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C63B3"/>
    <w:rPr>
      <w:rFonts w:ascii="Calibri" w:hAnsi="Calibri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cid:image001.png@01D03C9E.8271F4B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lotteriinspektionen.se/sv/Om-oss/Statistik/Veckans-statistik/reklaminvest_2013_201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tteriinspektionen.se/sv/Press/Nyheter/Farre-spelar-om-mer-/" TargetMode="Externa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gaia\home$\joejun\Platina\Platina\erebos\Historisk%20statistik%202.0(384776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gaia\home$\joejun\Platina\Platina\erebos\Historisk%20statistik%202.0(38477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v-SE"/>
              <a:t>Mest omsatta produkter</a:t>
            </a:r>
            <a:r>
              <a:rPr lang="sv-SE" baseline="0"/>
              <a:t> år 2014, nettoomsättning i miljoner kronor</a:t>
            </a:r>
            <a:endParaRPr lang="sv-SE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/>
            </a:solidFill>
          </c:spPr>
          <c:invertIfNegative val="0"/>
          <c:cat>
            <c:strRef>
              <c:f>Blad1!$A$11:$A$20</c:f>
              <c:strCache>
                <c:ptCount val="10"/>
                <c:pt idx="0">
                  <c:v>Postkodlotteriet</c:v>
                </c:pt>
                <c:pt idx="1">
                  <c:v>Triss</c:v>
                </c:pt>
                <c:pt idx="2">
                  <c:v>V75</c:v>
                </c:pt>
                <c:pt idx="3">
                  <c:v>Lotto</c:v>
                </c:pt>
                <c:pt idx="4">
                  <c:v>Vegas</c:v>
                </c:pt>
                <c:pt idx="5">
                  <c:v>Casino Cosmopol</c:v>
                </c:pt>
                <c:pt idx="6">
                  <c:v>Oddset</c:v>
                </c:pt>
                <c:pt idx="7">
                  <c:v>Keno</c:v>
                </c:pt>
                <c:pt idx="8">
                  <c:v>Joker</c:v>
                </c:pt>
                <c:pt idx="9">
                  <c:v>Bingolotto</c:v>
                </c:pt>
              </c:strCache>
            </c:strRef>
          </c:cat>
          <c:val>
            <c:numRef>
              <c:f>Blad1!$B$11:$B$20</c:f>
              <c:numCache>
                <c:formatCode>General</c:formatCode>
                <c:ptCount val="10"/>
                <c:pt idx="0">
                  <c:v>2048</c:v>
                </c:pt>
                <c:pt idx="1">
                  <c:v>1643</c:v>
                </c:pt>
                <c:pt idx="2">
                  <c:v>1616</c:v>
                </c:pt>
                <c:pt idx="3">
                  <c:v>1608</c:v>
                </c:pt>
                <c:pt idx="4">
                  <c:v>1302</c:v>
                </c:pt>
                <c:pt idx="5">
                  <c:v>1159</c:v>
                </c:pt>
                <c:pt idx="6">
                  <c:v>773</c:v>
                </c:pt>
                <c:pt idx="7">
                  <c:v>536</c:v>
                </c:pt>
                <c:pt idx="8">
                  <c:v>521</c:v>
                </c:pt>
                <c:pt idx="9">
                  <c:v>385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axId val="141532160"/>
        <c:axId val="141551104"/>
      </c:barChart>
      <c:catAx>
        <c:axId val="1415321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solidFill>
                  <a:sysClr val="windowText" lastClr="000000"/>
                </a:solidFill>
              </a:defRPr>
            </a:pPr>
            <a:endParaRPr lang="sv-SE"/>
          </a:p>
        </c:txPr>
        <c:crossAx val="141551104"/>
        <c:crosses val="autoZero"/>
        <c:auto val="1"/>
        <c:lblAlgn val="ctr"/>
        <c:lblOffset val="100"/>
        <c:noMultiLvlLbl val="0"/>
      </c:catAx>
      <c:valAx>
        <c:axId val="1415511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sv-SE" sz="1400" b="1"/>
                  <a:t>Mnkr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solidFill>
                  <a:sysClr val="windowText" lastClr="000000"/>
                </a:solidFill>
              </a:defRPr>
            </a:pPr>
            <a:endParaRPr lang="sv-SE"/>
          </a:p>
        </c:txPr>
        <c:crossAx val="141532160"/>
        <c:crosses val="autoZero"/>
        <c:crossBetween val="between"/>
      </c:valAx>
      <c:spPr>
        <a:solidFill>
          <a:srgbClr val="FFFFFF"/>
        </a:solidFill>
      </c:spPr>
    </c:plotArea>
    <c:plotVisOnly val="1"/>
    <c:dispBlanksAs val="gap"/>
    <c:showDLblsOverMax val="0"/>
  </c:chart>
  <c:spPr>
    <a:solidFill>
      <a:srgbClr val="FFFFFF"/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spPr>
            <a:ln w="12700">
              <a:solidFill>
                <a:srgbClr val="FFFFFF"/>
              </a:solidFill>
            </a:ln>
          </c:spPr>
          <c:dPt>
            <c:idx val="3"/>
            <c:bubble3D val="0"/>
            <c:spPr>
              <a:solidFill>
                <a:srgbClr val="9D9D9D"/>
              </a:solidFill>
              <a:ln w="12700">
                <a:solidFill>
                  <a:srgbClr val="FFFFFF"/>
                </a:solidFill>
              </a:ln>
            </c:spPr>
          </c:dPt>
          <c:dLbls>
            <c:dLbl>
              <c:idx val="0"/>
              <c:layout>
                <c:manualLayout>
                  <c:x val="-0.12108215536747298"/>
                  <c:y val="0.15799015394850444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solidFill>
                        <a:srgbClr val="FFFFFF"/>
                      </a:solidFill>
                    </a:defRPr>
                  </a:pPr>
                  <a:endParaRPr lang="sv-SE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181211723534558"/>
                  <c:y val="-0.23840141810321583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solidFill>
                        <a:srgbClr val="FFFFFF"/>
                      </a:solidFill>
                    </a:defRPr>
                  </a:pPr>
                  <a:endParaRPr lang="sv-SE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951662625010788"/>
                  <c:y val="-2.3084839108994792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solidFill>
                        <a:srgbClr val="FFFFFF"/>
                      </a:solidFill>
                    </a:defRPr>
                  </a:pPr>
                  <a:endParaRPr lang="sv-SE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6394012010704355E-3"/>
                  <c:y val="4.010637354354151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5092977541250618"/>
                  <c:y val="0.1561412785723838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solidFill>
                        <a:srgbClr val="FFFFFF"/>
                      </a:solidFill>
                    </a:defRPr>
                  </a:pPr>
                  <a:endParaRPr lang="sv-SE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24360261205779243"/>
                  <c:y val="1.8330985466728292E-3"/>
                </c:manualLayout>
              </c:layout>
              <c:tx>
                <c:rich>
                  <a:bodyPr/>
                  <a:lstStyle/>
                  <a:p>
                    <a:pPr>
                      <a:defRPr sz="1000">
                        <a:solidFill>
                          <a:schemeClr val="accent5">
                            <a:lumMod val="50000"/>
                          </a:schemeClr>
                        </a:solidFill>
                      </a:defRPr>
                    </a:pPr>
                    <a:r>
                      <a:rPr lang="en-US" sz="100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Lokala &amp; regionala lotterier mindre</a:t>
                    </a:r>
                    <a:r>
                      <a:rPr lang="en-US" sz="1000" baseline="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 än 1</a:t>
                    </a:r>
                    <a:r>
                      <a:rPr lang="en-US" sz="100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%</a:t>
                    </a:r>
                    <a:endParaRPr lang="en-US" sz="1000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20481723500246662"/>
                  <c:y val="3.5868774885003313E-2"/>
                </c:manualLayout>
              </c:layout>
              <c:spPr/>
              <c:txPr>
                <a:bodyPr rot="0"/>
                <a:lstStyle/>
                <a:p>
                  <a:pPr>
                    <a:defRPr sz="1000">
                      <a:solidFill>
                        <a:schemeClr val="accent5">
                          <a:lumMod val="50000"/>
                        </a:schemeClr>
                      </a:solidFill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sz="1100">
                    <a:solidFill>
                      <a:schemeClr val="accent5">
                        <a:lumMod val="50000"/>
                      </a:schemeClr>
                    </a:solidFill>
                  </a:defRPr>
                </a:pPr>
                <a:endParaRPr lang="sv-SE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Blad1!$A$3:$A$9</c:f>
              <c:strCache>
                <c:ptCount val="7"/>
                <c:pt idx="0">
                  <c:v>ATG</c:v>
                </c:pt>
                <c:pt idx="1">
                  <c:v>Svenska Spel </c:v>
                </c:pt>
                <c:pt idx="2">
                  <c:v>Casino Cosmopol</c:v>
                </c:pt>
                <c:pt idx="3">
                  <c:v>Bingo</c:v>
                </c:pt>
                <c:pt idx="4">
                  <c:v>Rikslotterier </c:v>
                </c:pt>
                <c:pt idx="5">
                  <c:v>Lokala &amp; Regionala lotterier</c:v>
                </c:pt>
                <c:pt idx="6">
                  <c:v>Restaurangkasino</c:v>
                </c:pt>
              </c:strCache>
            </c:strRef>
          </c:cat>
          <c:val>
            <c:numRef>
              <c:f>Blad1!$B$3:$B$9</c:f>
              <c:numCache>
                <c:formatCode>#,##0</c:formatCode>
                <c:ptCount val="7"/>
                <c:pt idx="0">
                  <c:v>3660</c:v>
                </c:pt>
                <c:pt idx="1">
                  <c:v>7776</c:v>
                </c:pt>
                <c:pt idx="2">
                  <c:v>1159</c:v>
                </c:pt>
                <c:pt idx="3" formatCode="General">
                  <c:v>282</c:v>
                </c:pt>
                <c:pt idx="4" formatCode="General">
                  <c:v>3360</c:v>
                </c:pt>
                <c:pt idx="5" formatCode="General">
                  <c:v>32</c:v>
                </c:pt>
                <c:pt idx="6" formatCode="General">
                  <c:v>190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rgbClr val="FFFFFF"/>
    </a:soli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044835222945079"/>
          <c:y val="7.294939637896776E-2"/>
          <c:w val="0.63345780616594616"/>
          <c:h val="0.84574203099041856"/>
        </c:manualLayout>
      </c:layout>
      <c:pieChart>
        <c:varyColors val="1"/>
        <c:ser>
          <c:idx val="0"/>
          <c:order val="0"/>
          <c:spPr>
            <a:ln w="12700">
              <a:solidFill>
                <a:srgbClr val="FFFFFF"/>
              </a:solidFill>
            </a:ln>
          </c:spPr>
          <c:dPt>
            <c:idx val="3"/>
            <c:bubble3D val="0"/>
            <c:spPr>
              <a:solidFill>
                <a:srgbClr val="9D9D9D"/>
              </a:solidFill>
              <a:ln w="12700">
                <a:solidFill>
                  <a:srgbClr val="FFFFFF"/>
                </a:solidFill>
              </a:ln>
            </c:spPr>
          </c:dPt>
          <c:dPt>
            <c:idx val="7"/>
            <c:bubble3D val="0"/>
            <c:spPr>
              <a:solidFill>
                <a:srgbClr val="D4743B"/>
              </a:solidFill>
              <a:ln w="12700">
                <a:solidFill>
                  <a:srgbClr val="FFFFFF"/>
                </a:solidFill>
              </a:ln>
            </c:spPr>
          </c:dPt>
          <c:dLbls>
            <c:dLbl>
              <c:idx val="0"/>
              <c:layout>
                <c:manualLayout>
                  <c:x val="-9.5606713336923346E-2"/>
                  <c:y val="0.17061137628066761"/>
                </c:manualLayout>
              </c:layout>
              <c:spPr/>
              <c:txPr>
                <a:bodyPr/>
                <a:lstStyle/>
                <a:p>
                  <a:pPr>
                    <a:defRPr sz="1050">
                      <a:solidFill>
                        <a:srgbClr val="FFFFFF"/>
                      </a:solidFill>
                    </a:defRPr>
                  </a:pPr>
                  <a:endParaRPr lang="sv-SE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8591186212863955"/>
                  <c:y val="-0.15930704607869961"/>
                </c:manualLayout>
              </c:layout>
              <c:spPr/>
              <c:txPr>
                <a:bodyPr/>
                <a:lstStyle/>
                <a:p>
                  <a:pPr>
                    <a:defRPr sz="1050">
                      <a:solidFill>
                        <a:srgbClr val="FFFFFF"/>
                      </a:solidFill>
                    </a:defRPr>
                  </a:pPr>
                  <a:endParaRPr lang="sv-SE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7600891872324465"/>
                  <c:y val="-5.9249688383546655E-2"/>
                </c:manualLayout>
              </c:layout>
              <c:spPr/>
              <c:txPr>
                <a:bodyPr/>
                <a:lstStyle/>
                <a:p>
                  <a:pPr>
                    <a:defRPr sz="1050">
                      <a:solidFill>
                        <a:srgbClr val="FFFFFF"/>
                      </a:solidFill>
                    </a:defRPr>
                  </a:pPr>
                  <a:endParaRPr lang="sv-SE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695562080659011E-2"/>
                  <c:y val="3.1568418812513301E-2"/>
                </c:manualLayout>
              </c:layout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Lokala &amp; Regionala lotterier
mindre än 1%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2.9043911830770382E-2"/>
                  <c:y val="-0.15102527201561969"/>
                </c:manualLayout>
              </c:layout>
              <c:spPr/>
              <c:txPr>
                <a:bodyPr/>
                <a:lstStyle/>
                <a:p>
                  <a:pPr>
                    <a:defRPr sz="1000">
                      <a:solidFill>
                        <a:schemeClr val="accent5">
                          <a:lumMod val="50000"/>
                        </a:schemeClr>
                      </a:solidFill>
                    </a:defRPr>
                  </a:pPr>
                  <a:endParaRPr lang="sv-SE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5495665293726682"/>
                  <c:y val="0.18323533882589002"/>
                </c:manualLayout>
              </c:layout>
              <c:spPr/>
              <c:txPr>
                <a:bodyPr/>
                <a:lstStyle/>
                <a:p>
                  <a:pPr>
                    <a:defRPr sz="1050">
                      <a:solidFill>
                        <a:srgbClr val="FFFFFF"/>
                      </a:solidFill>
                    </a:defRPr>
                  </a:pPr>
                  <a:endParaRPr lang="sv-SE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accent5">
                        <a:lumMod val="50000"/>
                      </a:schemeClr>
                    </a:solidFill>
                  </a:defRPr>
                </a:pPr>
                <a:endParaRPr lang="sv-SE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Blad1!$A$3:$A$10</c:f>
              <c:strCache>
                <c:ptCount val="8"/>
                <c:pt idx="0">
                  <c:v>ATG</c:v>
                </c:pt>
                <c:pt idx="1">
                  <c:v>Svenska Spel </c:v>
                </c:pt>
                <c:pt idx="2">
                  <c:v>Casino Cosmopol</c:v>
                </c:pt>
                <c:pt idx="3">
                  <c:v>Bingo</c:v>
                </c:pt>
                <c:pt idx="4">
                  <c:v>Rikslotterier </c:v>
                </c:pt>
                <c:pt idx="5">
                  <c:v>Lokala &amp; Regionala lotterier</c:v>
                </c:pt>
                <c:pt idx="6">
                  <c:v>Restaurangkasino</c:v>
                </c:pt>
                <c:pt idx="7">
                  <c:v>Utländska aktörer</c:v>
                </c:pt>
              </c:strCache>
            </c:strRef>
          </c:cat>
          <c:val>
            <c:numRef>
              <c:f>Blad1!$B$3:$B$10</c:f>
              <c:numCache>
                <c:formatCode>#,##0</c:formatCode>
                <c:ptCount val="8"/>
                <c:pt idx="0">
                  <c:v>3660</c:v>
                </c:pt>
                <c:pt idx="1">
                  <c:v>7776</c:v>
                </c:pt>
                <c:pt idx="2">
                  <c:v>1159</c:v>
                </c:pt>
                <c:pt idx="3" formatCode="General">
                  <c:v>282</c:v>
                </c:pt>
                <c:pt idx="4" formatCode="General">
                  <c:v>3360</c:v>
                </c:pt>
                <c:pt idx="5" formatCode="General">
                  <c:v>32</c:v>
                </c:pt>
                <c:pt idx="6" formatCode="General">
                  <c:v>190</c:v>
                </c:pt>
                <c:pt idx="7" formatCode="General">
                  <c:v>4437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rgbClr val="FFFFFF"/>
    </a:soli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Online!$A$2:$A$5</c:f>
              <c:strCache>
                <c:ptCount val="1"/>
                <c:pt idx="0">
                  <c:v>Svenska Spel ATG Övriga (rikslotterier) Utländska aktörer</c:v>
                </c:pt>
              </c:strCache>
            </c:strRef>
          </c:tx>
          <c:spPr>
            <a:ln w="12700">
              <a:solidFill>
                <a:srgbClr val="FFFFFF"/>
              </a:solidFill>
            </a:ln>
          </c:spPr>
          <c:dPt>
            <c:idx val="0"/>
            <c:bubble3D val="0"/>
            <c:spPr>
              <a:solidFill>
                <a:schemeClr val="accent2"/>
              </a:solidFill>
              <a:ln w="12700">
                <a:solidFill>
                  <a:srgbClr val="FFFFFF"/>
                </a:solidFill>
              </a:ln>
            </c:spPr>
          </c:dPt>
          <c:dPt>
            <c:idx val="1"/>
            <c:bubble3D val="0"/>
            <c:spPr>
              <a:solidFill>
                <a:schemeClr val="accent1"/>
              </a:solidFill>
              <a:ln w="12700">
                <a:solidFill>
                  <a:srgbClr val="FFFFFF"/>
                </a:solidFill>
              </a:ln>
            </c:spPr>
          </c:dPt>
          <c:dPt>
            <c:idx val="2"/>
            <c:bubble3D val="0"/>
            <c:spPr>
              <a:solidFill>
                <a:schemeClr val="bg1"/>
              </a:solidFill>
              <a:ln w="12700">
                <a:solidFill>
                  <a:srgbClr val="FFFFFF"/>
                </a:solidFill>
              </a:ln>
            </c:spPr>
          </c:dPt>
          <c:dPt>
            <c:idx val="3"/>
            <c:bubble3D val="0"/>
            <c:spPr>
              <a:solidFill>
                <a:schemeClr val="accent4"/>
              </a:solidFill>
              <a:ln w="12700">
                <a:solidFill>
                  <a:srgbClr val="FFFFFF"/>
                </a:solidFill>
              </a:ln>
            </c:spPr>
          </c:dPt>
          <c:dLbls>
            <c:dLbl>
              <c:idx val="0"/>
              <c:layout>
                <c:manualLayout>
                  <c:x val="-0.16339815276910202"/>
                  <c:y val="0.207038891215039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4879293952524014"/>
                  <c:y val="-0.100446985005431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200">
                      <a:solidFill>
                        <a:sysClr val="windowText" lastClr="000000"/>
                      </a:solidFill>
                    </a:defRPr>
                  </a:pPr>
                  <a:endParaRPr lang="sv-SE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1725966623575038"/>
                  <c:y val="-6.56923780935584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rgbClr val="FFFFFF"/>
                    </a:solidFill>
                  </a:defRPr>
                </a:pPr>
                <a:endParaRPr lang="sv-SE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Online!$A$2:$A$5</c:f>
              <c:strCache>
                <c:ptCount val="4"/>
                <c:pt idx="0">
                  <c:v>Svenska Spel</c:v>
                </c:pt>
                <c:pt idx="1">
                  <c:v>ATG</c:v>
                </c:pt>
                <c:pt idx="2">
                  <c:v>Övriga (rikslotterier)</c:v>
                </c:pt>
                <c:pt idx="3">
                  <c:v>Utländska aktörer</c:v>
                </c:pt>
              </c:strCache>
            </c:strRef>
          </c:cat>
          <c:val>
            <c:numRef>
              <c:f>Online!$H$2:$H$5</c:f>
              <c:numCache>
                <c:formatCode>#,##0</c:formatCode>
                <c:ptCount val="4"/>
                <c:pt idx="0">
                  <c:v>1677.4639999999999</c:v>
                </c:pt>
                <c:pt idx="1">
                  <c:v>1641.978562</c:v>
                </c:pt>
                <c:pt idx="2" formatCode="General">
                  <c:v>86</c:v>
                </c:pt>
                <c:pt idx="3" formatCode="0">
                  <c:v>4437.3000001848795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rgbClr val="FFFFFF"/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Online!$A$6</c:f>
              <c:strCache>
                <c:ptCount val="1"/>
                <c:pt idx="0">
                  <c:v>Reglerat</c:v>
                </c:pt>
              </c:strCache>
            </c:strRef>
          </c:tx>
          <c:spPr>
            <a:ln w="44450">
              <a:solidFill>
                <a:schemeClr val="tx2"/>
              </a:solidFill>
            </a:ln>
          </c:spPr>
          <c:marker>
            <c:symbol val="none"/>
          </c:marker>
          <c:cat>
            <c:numRef>
              <c:f>Online!$D$1:$H$1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Online!$D$6:$H$6</c:f>
              <c:numCache>
                <c:formatCode>#,##0</c:formatCode>
                <c:ptCount val="5"/>
                <c:pt idx="0">
                  <c:v>2492</c:v>
                </c:pt>
                <c:pt idx="1">
                  <c:v>2736.5140000000001</c:v>
                </c:pt>
                <c:pt idx="2">
                  <c:v>2887.2570000000001</c:v>
                </c:pt>
                <c:pt idx="3">
                  <c:v>3253.2771619999999</c:v>
                </c:pt>
                <c:pt idx="4">
                  <c:v>3405.4425620000002</c:v>
                </c:pt>
              </c:numCache>
            </c:numRef>
          </c:val>
          <c:smooth val="1"/>
        </c:ser>
        <c:ser>
          <c:idx val="2"/>
          <c:order val="1"/>
          <c:tx>
            <c:strRef>
              <c:f>Online!$A$7</c:f>
              <c:strCache>
                <c:ptCount val="1"/>
                <c:pt idx="0">
                  <c:v>Oreglerat</c:v>
                </c:pt>
              </c:strCache>
            </c:strRef>
          </c:tx>
          <c:spPr>
            <a:ln w="44450">
              <a:solidFill>
                <a:schemeClr val="accent4"/>
              </a:solidFill>
            </a:ln>
          </c:spPr>
          <c:marker>
            <c:symbol val="none"/>
          </c:marker>
          <c:val>
            <c:numRef>
              <c:f>Online!$D$7:$H$7</c:f>
              <c:numCache>
                <c:formatCode>#,##0</c:formatCode>
                <c:ptCount val="5"/>
                <c:pt idx="0">
                  <c:v>2333</c:v>
                </c:pt>
                <c:pt idx="1">
                  <c:v>2385</c:v>
                </c:pt>
                <c:pt idx="2">
                  <c:v>2848</c:v>
                </c:pt>
                <c:pt idx="3">
                  <c:v>3161</c:v>
                </c:pt>
                <c:pt idx="4">
                  <c:v>4437.3000001848795</c:v>
                </c:pt>
              </c:numCache>
            </c:numRef>
          </c:val>
          <c:smooth val="1"/>
        </c:ser>
        <c:ser>
          <c:idx val="1"/>
          <c:order val="2"/>
          <c:tx>
            <c:strRef>
              <c:f>Online!$A$8</c:f>
              <c:strCache>
                <c:ptCount val="1"/>
                <c:pt idx="0">
                  <c:v>Totalt</c:v>
                </c:pt>
              </c:strCache>
            </c:strRef>
          </c:tx>
          <c:spPr>
            <a:ln w="4445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Online!$D$1:$H$1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Online!$D$8:$H$8</c:f>
              <c:numCache>
                <c:formatCode>#,##0</c:formatCode>
                <c:ptCount val="5"/>
                <c:pt idx="0">
                  <c:v>4825</c:v>
                </c:pt>
                <c:pt idx="1">
                  <c:v>5121.5140000000001</c:v>
                </c:pt>
                <c:pt idx="2">
                  <c:v>5735.2569999999996</c:v>
                </c:pt>
                <c:pt idx="3">
                  <c:v>6414.2771620000003</c:v>
                </c:pt>
                <c:pt idx="4">
                  <c:v>7842.7425621848797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814592"/>
        <c:axId val="118816128"/>
      </c:lineChart>
      <c:catAx>
        <c:axId val="11881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>
                <a:solidFill>
                  <a:sysClr val="windowText" lastClr="000000"/>
                </a:solidFill>
              </a:defRPr>
            </a:pPr>
            <a:endParaRPr lang="sv-SE"/>
          </a:p>
        </c:txPr>
        <c:crossAx val="118816128"/>
        <c:crosses val="autoZero"/>
        <c:auto val="1"/>
        <c:lblAlgn val="ctr"/>
        <c:lblOffset val="100"/>
        <c:noMultiLvlLbl val="0"/>
      </c:catAx>
      <c:valAx>
        <c:axId val="1188161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>
                    <a:solidFill>
                      <a:sysClr val="windowText" lastClr="000000"/>
                    </a:solidFill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</a:rPr>
                  <a:t>Mnkr</a:t>
                </a:r>
              </a:p>
            </c:rich>
          </c:tx>
          <c:layout>
            <c:manualLayout>
              <c:xMode val="edge"/>
              <c:yMode val="edge"/>
              <c:x val="7.0740056101877566E-3"/>
              <c:y val="0.40122165492165884"/>
            </c:manualLayout>
          </c:layout>
          <c:overlay val="0"/>
        </c:title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 sz="1400">
                <a:solidFill>
                  <a:sysClr val="windowText" lastClr="000000"/>
                </a:solidFill>
              </a:defRPr>
            </a:pPr>
            <a:endParaRPr lang="sv-SE"/>
          </a:p>
        </c:txPr>
        <c:crossAx val="118814592"/>
        <c:crosses val="autoZero"/>
        <c:crossBetween val="between"/>
      </c:valAx>
      <c:spPr>
        <a:solidFill>
          <a:srgbClr val="FFFFFF"/>
        </a:solidFill>
      </c:spPr>
    </c:plotArea>
    <c:legend>
      <c:legendPos val="r"/>
      <c:layout/>
      <c:overlay val="0"/>
      <c:txPr>
        <a:bodyPr/>
        <a:lstStyle/>
        <a:p>
          <a:pPr>
            <a:defRPr sz="1200">
              <a:solidFill>
                <a:sysClr val="windowText" lastClr="000000"/>
              </a:solidFill>
            </a:defRPr>
          </a:pPr>
          <a:endParaRPr lang="sv-SE"/>
        </a:p>
      </c:txPr>
    </c:legend>
    <c:plotVisOnly val="1"/>
    <c:dispBlanksAs val="gap"/>
    <c:showDLblsOverMax val="0"/>
  </c:chart>
  <c:spPr>
    <a:solidFill>
      <a:srgbClr val="FFFFFF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Lifärger">
      <a:dk1>
        <a:srgbClr val="627F97"/>
      </a:dk1>
      <a:lt1>
        <a:srgbClr val="E0E1D0"/>
      </a:lt1>
      <a:dk2>
        <a:srgbClr val="454545"/>
      </a:dk2>
      <a:lt2>
        <a:srgbClr val="E5B598"/>
      </a:lt2>
      <a:accent1>
        <a:srgbClr val="A6AA73"/>
      </a:accent1>
      <a:accent2>
        <a:srgbClr val="003058"/>
      </a:accent2>
      <a:accent3>
        <a:srgbClr val="7A908D"/>
      </a:accent3>
      <a:accent4>
        <a:srgbClr val="D4743B"/>
      </a:accent4>
      <a:accent5>
        <a:srgbClr val="3F3F3F"/>
      </a:accent5>
      <a:accent6>
        <a:srgbClr val="9D9D9D"/>
      </a:accent6>
      <a:hlink>
        <a:srgbClr val="DFDFDF"/>
      </a:hlink>
      <a:folHlink>
        <a:srgbClr val="E0E1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ifärger">
    <a:dk1>
      <a:srgbClr val="627F97"/>
    </a:dk1>
    <a:lt1>
      <a:srgbClr val="E0E1D0"/>
    </a:lt1>
    <a:dk2>
      <a:srgbClr val="454545"/>
    </a:dk2>
    <a:lt2>
      <a:srgbClr val="E5B598"/>
    </a:lt2>
    <a:accent1>
      <a:srgbClr val="A6AA73"/>
    </a:accent1>
    <a:accent2>
      <a:srgbClr val="003058"/>
    </a:accent2>
    <a:accent3>
      <a:srgbClr val="7A908D"/>
    </a:accent3>
    <a:accent4>
      <a:srgbClr val="D4743B"/>
    </a:accent4>
    <a:accent5>
      <a:srgbClr val="3F3F3F"/>
    </a:accent5>
    <a:accent6>
      <a:srgbClr val="9D9D9D"/>
    </a:accent6>
    <a:hlink>
      <a:srgbClr val="DFDFDF"/>
    </a:hlink>
    <a:folHlink>
      <a:srgbClr val="E0E1D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Lifärger">
    <a:dk1>
      <a:srgbClr val="627F97"/>
    </a:dk1>
    <a:lt1>
      <a:srgbClr val="E0E1D0"/>
    </a:lt1>
    <a:dk2>
      <a:srgbClr val="454545"/>
    </a:dk2>
    <a:lt2>
      <a:srgbClr val="E5B598"/>
    </a:lt2>
    <a:accent1>
      <a:srgbClr val="A6AA73"/>
    </a:accent1>
    <a:accent2>
      <a:srgbClr val="003058"/>
    </a:accent2>
    <a:accent3>
      <a:srgbClr val="7A908D"/>
    </a:accent3>
    <a:accent4>
      <a:srgbClr val="D4743B"/>
    </a:accent4>
    <a:accent5>
      <a:srgbClr val="3F3F3F"/>
    </a:accent5>
    <a:accent6>
      <a:srgbClr val="9D9D9D"/>
    </a:accent6>
    <a:hlink>
      <a:srgbClr val="DFDFDF"/>
    </a:hlink>
    <a:folHlink>
      <a:srgbClr val="E0E1D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Lifärger">
    <a:dk1>
      <a:srgbClr val="627F97"/>
    </a:dk1>
    <a:lt1>
      <a:srgbClr val="E0E1D0"/>
    </a:lt1>
    <a:dk2>
      <a:srgbClr val="454545"/>
    </a:dk2>
    <a:lt2>
      <a:srgbClr val="E5B598"/>
    </a:lt2>
    <a:accent1>
      <a:srgbClr val="A6AA73"/>
    </a:accent1>
    <a:accent2>
      <a:srgbClr val="003058"/>
    </a:accent2>
    <a:accent3>
      <a:srgbClr val="7A908D"/>
    </a:accent3>
    <a:accent4>
      <a:srgbClr val="D4743B"/>
    </a:accent4>
    <a:accent5>
      <a:srgbClr val="3F3F3F"/>
    </a:accent5>
    <a:accent6>
      <a:srgbClr val="9D9D9D"/>
    </a:accent6>
    <a:hlink>
      <a:srgbClr val="DFDFDF"/>
    </a:hlink>
    <a:folHlink>
      <a:srgbClr val="E0E1D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D586F9AB.dotm</Template>
  <TotalTime>1</TotalTime>
  <Pages>5</Pages>
  <Words>770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Lotteriinspektionen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Kitti Junros</dc:creator>
  <cp:lastModifiedBy>Robert Andersson</cp:lastModifiedBy>
  <cp:revision>4</cp:revision>
  <cp:lastPrinted>2015-02-03T10:07:00Z</cp:lastPrinted>
  <dcterms:created xsi:type="dcterms:W3CDTF">2015-02-03T10:46:00Z</dcterms:created>
  <dcterms:modified xsi:type="dcterms:W3CDTF">2015-02-03T14:50:00Z</dcterms:modified>
</cp:coreProperties>
</file>