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A9D1" w14:textId="77777777" w:rsidR="003C590C" w:rsidRPr="002C6B32" w:rsidRDefault="002C6B32" w:rsidP="003C590C">
      <w:pPr>
        <w:rPr>
          <w:sz w:val="32"/>
          <w:szCs w:val="32"/>
        </w:rPr>
      </w:pPr>
      <w:r w:rsidRPr="002C6B32">
        <w:rPr>
          <w:rFonts w:ascii="Georgia" w:hAnsi="Georgia"/>
          <w:b/>
          <w:bCs/>
          <w:sz w:val="32"/>
          <w:szCs w:val="32"/>
        </w:rPr>
        <w:t>N</w:t>
      </w:r>
      <w:r w:rsidR="003C590C" w:rsidRPr="002C6B32">
        <w:rPr>
          <w:rFonts w:ascii="Georgia" w:hAnsi="Georgia"/>
          <w:b/>
          <w:bCs/>
          <w:sz w:val="32"/>
          <w:szCs w:val="32"/>
        </w:rPr>
        <w:t xml:space="preserve">ära var femte ung har ändrat framtidsplanerna </w:t>
      </w:r>
      <w:r w:rsidRPr="002C6B32">
        <w:rPr>
          <w:rFonts w:ascii="Georgia" w:hAnsi="Georgia"/>
          <w:b/>
          <w:bCs/>
          <w:sz w:val="32"/>
          <w:szCs w:val="32"/>
        </w:rPr>
        <w:t>efter amorteringskravet</w:t>
      </w:r>
    </w:p>
    <w:p w14:paraId="4311A78B" w14:textId="77777777" w:rsidR="003C590C" w:rsidRDefault="003C590C" w:rsidP="003C590C">
      <w:pPr>
        <w:rPr>
          <w:rFonts w:ascii="Georgia" w:hAnsi="Georgia"/>
          <w:b/>
          <w:bCs/>
          <w:sz w:val="22"/>
          <w:szCs w:val="22"/>
        </w:rPr>
      </w:pPr>
      <w:r>
        <w:rPr>
          <w:rFonts w:ascii="Georgia" w:hAnsi="Georgia"/>
          <w:b/>
          <w:bCs/>
          <w:color w:val="000000"/>
          <w:sz w:val="20"/>
          <w:szCs w:val="20"/>
          <w:lang w:eastAsia="sv-SE"/>
        </w:rPr>
        <w:t> </w:t>
      </w:r>
    </w:p>
    <w:p w14:paraId="175559A3" w14:textId="67D5CD4E" w:rsidR="003C590C" w:rsidRDefault="003C590C" w:rsidP="003C590C">
      <w:r>
        <w:rPr>
          <w:rFonts w:ascii="Georgia" w:hAnsi="Georgia"/>
          <w:b/>
          <w:bCs/>
          <w:sz w:val="22"/>
          <w:szCs w:val="22"/>
        </w:rPr>
        <w:t>Många unga har fått ändra sina framtidsplaner på grund av det förstärkta amorteringskravet infördes 1 mars 2018.</w:t>
      </w:r>
      <w:r>
        <w:rPr>
          <w:rFonts w:ascii="Georgia" w:hAnsi="Georgia"/>
          <w:b/>
          <w:bCs/>
          <w:color w:val="000000"/>
          <w:sz w:val="20"/>
          <w:szCs w:val="20"/>
          <w:lang w:eastAsia="sv-SE"/>
        </w:rPr>
        <w:t xml:space="preserve"> </w:t>
      </w:r>
      <w:r>
        <w:rPr>
          <w:rFonts w:ascii="Georgia" w:hAnsi="Georgia"/>
          <w:b/>
          <w:bCs/>
          <w:sz w:val="22"/>
          <w:szCs w:val="22"/>
        </w:rPr>
        <w:t>Det visar en Sifo-undersökning från mäklarfirman Bjurfors. I samma undersökning visar det sig att frågan om att hjälpa unga att hitta bostäder är den åtgärd som flest svenskar vill att politi</w:t>
      </w:r>
      <w:r w:rsidR="00B30212">
        <w:rPr>
          <w:rFonts w:ascii="Georgia" w:hAnsi="Georgia"/>
          <w:b/>
          <w:bCs/>
          <w:sz w:val="22"/>
          <w:szCs w:val="22"/>
        </w:rPr>
        <w:t>k</w:t>
      </w:r>
      <w:r>
        <w:rPr>
          <w:rFonts w:ascii="Georgia" w:hAnsi="Georgia"/>
          <w:b/>
          <w:bCs/>
          <w:sz w:val="22"/>
          <w:szCs w:val="22"/>
        </w:rPr>
        <w:t>er bör ta tag i.</w:t>
      </w:r>
    </w:p>
    <w:p w14:paraId="405C8966" w14:textId="77777777" w:rsidR="003C590C" w:rsidRDefault="003C590C" w:rsidP="003C590C">
      <w:pPr>
        <w:rPr>
          <w:rFonts w:ascii="Georgia" w:hAnsi="Georgia"/>
          <w:b/>
          <w:bCs/>
          <w:sz w:val="22"/>
          <w:szCs w:val="22"/>
        </w:rPr>
      </w:pPr>
    </w:p>
    <w:p w14:paraId="390FD6F6" w14:textId="2C148D95" w:rsidR="003C590C" w:rsidRDefault="003C590C" w:rsidP="003C590C">
      <w:pPr>
        <w:rPr>
          <w:rFonts w:ascii="Georgia" w:hAnsi="Georgia"/>
          <w:sz w:val="22"/>
          <w:szCs w:val="22"/>
        </w:rPr>
      </w:pPr>
      <w:r>
        <w:rPr>
          <w:rFonts w:ascii="Georgia" w:hAnsi="Georgia"/>
          <w:sz w:val="22"/>
          <w:szCs w:val="22"/>
        </w:rPr>
        <w:t xml:space="preserve">Nästan var femte svensk i åldersspannet </w:t>
      </w:r>
      <w:r w:rsidR="00B30212">
        <w:rPr>
          <w:rFonts w:ascii="Georgia" w:hAnsi="Georgia"/>
          <w:sz w:val="22"/>
          <w:szCs w:val="22"/>
        </w:rPr>
        <w:t>18–34</w:t>
      </w:r>
      <w:r>
        <w:rPr>
          <w:rFonts w:ascii="Georgia" w:hAnsi="Georgia"/>
          <w:sz w:val="22"/>
          <w:szCs w:val="22"/>
        </w:rPr>
        <w:t xml:space="preserve"> år (17 procent) svarar att det amorteringskrav och skuldkvottak som infördes för ett år sedan - i mars 2018 - har påverkat deras framtidsplaner. Detta kan jämförs med populationen i stort (</w:t>
      </w:r>
      <w:r w:rsidR="00B30212">
        <w:rPr>
          <w:rFonts w:ascii="Georgia" w:hAnsi="Georgia"/>
          <w:sz w:val="22"/>
          <w:szCs w:val="22"/>
        </w:rPr>
        <w:t>18–79</w:t>
      </w:r>
      <w:r>
        <w:rPr>
          <w:rFonts w:ascii="Georgia" w:hAnsi="Georgia"/>
          <w:sz w:val="22"/>
          <w:szCs w:val="22"/>
        </w:rPr>
        <w:t xml:space="preserve"> år) där 11 procent svarade att detta påverkat deras framtidsplaner. </w:t>
      </w:r>
    </w:p>
    <w:p w14:paraId="2FB66B18" w14:textId="77777777" w:rsidR="003C590C" w:rsidRDefault="003C590C" w:rsidP="003C590C">
      <w:pPr>
        <w:rPr>
          <w:rFonts w:ascii="Georgia" w:hAnsi="Georgia"/>
          <w:sz w:val="22"/>
          <w:szCs w:val="22"/>
        </w:rPr>
      </w:pPr>
    </w:p>
    <w:p w14:paraId="04373564" w14:textId="77777777" w:rsidR="003C590C" w:rsidRDefault="003C590C" w:rsidP="003C590C">
      <w:pPr>
        <w:pStyle w:val="Liststycke"/>
        <w:numPr>
          <w:ilvl w:val="0"/>
          <w:numId w:val="1"/>
        </w:numPr>
        <w:rPr>
          <w:rFonts w:eastAsia="Times New Roman"/>
        </w:rPr>
      </w:pPr>
      <w:r>
        <w:rPr>
          <w:rFonts w:ascii="Georgia" w:eastAsia="Times New Roman" w:hAnsi="Georgia"/>
          <w:sz w:val="22"/>
          <w:szCs w:val="22"/>
        </w:rPr>
        <w:t>Det stärkta amorteringskraven har fått flera konsekvenser. En av dessa är att unga fått svårare att komma in på bostadsmarknaden, en grupp som redan hade det svårt med de gamla reglerna. Det är olyckligt på flera sätt, menar Fredrik Kullman, vd för Bjurfors Stockholm.</w:t>
      </w:r>
    </w:p>
    <w:p w14:paraId="5507DD3F" w14:textId="77777777" w:rsidR="003C590C" w:rsidRDefault="003C590C" w:rsidP="003C590C">
      <w:r>
        <w:rPr>
          <w:rFonts w:ascii="Georgia" w:hAnsi="Georgia"/>
          <w:sz w:val="22"/>
          <w:szCs w:val="22"/>
        </w:rPr>
        <w:t> </w:t>
      </w:r>
    </w:p>
    <w:p w14:paraId="29BFA243" w14:textId="77777777" w:rsidR="003C590C" w:rsidRDefault="003C590C" w:rsidP="003C590C">
      <w:pPr>
        <w:pStyle w:val="Liststycke"/>
        <w:numPr>
          <w:ilvl w:val="0"/>
          <w:numId w:val="2"/>
        </w:numPr>
        <w:rPr>
          <w:rFonts w:eastAsia="Times New Roman"/>
        </w:rPr>
      </w:pPr>
      <w:r>
        <w:rPr>
          <w:rFonts w:ascii="Georgia" w:eastAsia="Times New Roman" w:hAnsi="Georgia"/>
          <w:sz w:val="22"/>
          <w:szCs w:val="22"/>
        </w:rPr>
        <w:t xml:space="preserve">Det förstärkta amorteringskravet är en del av en bostadspolitik som tyvärr skapat rekordhöga trösklar för ungas möjlighet att komma in på bostadsmarknaden. Vi behöver konkreta och långsiktiga förslag som stimulerar rörligheten på bostadsmarknaden så att fler flyttkedjor skapas och att unga ges bättre möjligheter att köpa sin första lägenhet, säger Fredrik Kullman, vd för Bjurfors Stockholm. </w:t>
      </w:r>
    </w:p>
    <w:p w14:paraId="37C0BF27" w14:textId="77777777" w:rsidR="003C590C" w:rsidRDefault="003C590C" w:rsidP="003C590C">
      <w:r>
        <w:rPr>
          <w:rFonts w:ascii="Georgia" w:hAnsi="Georgia"/>
          <w:sz w:val="22"/>
          <w:szCs w:val="22"/>
        </w:rPr>
        <w:t> </w:t>
      </w:r>
    </w:p>
    <w:p w14:paraId="78721AB3" w14:textId="77777777" w:rsidR="003C590C" w:rsidRDefault="003C590C" w:rsidP="003C590C">
      <w:r>
        <w:rPr>
          <w:rFonts w:ascii="Georgia" w:hAnsi="Georgia"/>
          <w:sz w:val="22"/>
          <w:szCs w:val="22"/>
        </w:rPr>
        <w:t xml:space="preserve">Det förstärkta amorteringskravet och skuldkvottaket har också inneburit att antal köp av bostad gått ner sedan det nya amorteringskravet. </w:t>
      </w:r>
    </w:p>
    <w:p w14:paraId="4C773592" w14:textId="77777777" w:rsidR="003C590C" w:rsidRDefault="003C590C" w:rsidP="003C590C">
      <w:r>
        <w:rPr>
          <w:rFonts w:ascii="Georgia" w:hAnsi="Georgia"/>
          <w:sz w:val="22"/>
          <w:szCs w:val="22"/>
        </w:rPr>
        <w:t> </w:t>
      </w:r>
    </w:p>
    <w:p w14:paraId="144EF54A" w14:textId="77777777" w:rsidR="003C590C" w:rsidRDefault="003C590C" w:rsidP="003C590C">
      <w:pPr>
        <w:pStyle w:val="Liststycke"/>
        <w:numPr>
          <w:ilvl w:val="0"/>
          <w:numId w:val="2"/>
        </w:numPr>
        <w:rPr>
          <w:rFonts w:eastAsia="Times New Roman"/>
        </w:rPr>
      </w:pPr>
      <w:r>
        <w:rPr>
          <w:rFonts w:ascii="Georgia" w:eastAsia="Times New Roman" w:hAnsi="Georgia"/>
          <w:sz w:val="22"/>
          <w:szCs w:val="22"/>
        </w:rPr>
        <w:t>Inför amorteringskravet var det många som slog till och köpte bostad med de gamla reglerna. Efter det har rörligheten minskat och färre affärer avslutats då många valt att skjuta på sina flyttplaner när de inser hur dyrt det blir att ta nya lån. Det har påverkat efterfrågan och lett till att bostadspriserna har rört sig i sidled, kommenterar Fredrik Kullman, vd på Bjurfors Stockholm.</w:t>
      </w:r>
    </w:p>
    <w:p w14:paraId="3424C3CB" w14:textId="77777777" w:rsidR="003C590C" w:rsidRDefault="003C590C" w:rsidP="003C590C">
      <w:r>
        <w:rPr>
          <w:rFonts w:ascii="Georgia" w:hAnsi="Georgia"/>
          <w:sz w:val="22"/>
          <w:szCs w:val="22"/>
        </w:rPr>
        <w:t> </w:t>
      </w:r>
    </w:p>
    <w:p w14:paraId="01780729" w14:textId="77777777" w:rsidR="003C590C" w:rsidRDefault="003C590C" w:rsidP="003C590C">
      <w:r>
        <w:rPr>
          <w:rFonts w:ascii="Georgia" w:hAnsi="Georgia"/>
          <w:sz w:val="22"/>
          <w:szCs w:val="22"/>
        </w:rPr>
        <w:t>Det är inte bara köp av bostad som har påverkats med det höjda amorteringskravet. Med de pengar som nu måste investeras i lånet minskar andra typer av köp</w:t>
      </w:r>
      <w:r w:rsidR="00AF5CAC">
        <w:rPr>
          <w:rFonts w:ascii="Georgia" w:hAnsi="Georgia"/>
          <w:sz w:val="22"/>
          <w:szCs w:val="22"/>
        </w:rPr>
        <w:t>.</w:t>
      </w:r>
      <w:r>
        <w:rPr>
          <w:rFonts w:ascii="Georgia" w:hAnsi="Georgia"/>
          <w:sz w:val="22"/>
          <w:szCs w:val="22"/>
        </w:rPr>
        <w:t xml:space="preserve"> </w:t>
      </w:r>
    </w:p>
    <w:p w14:paraId="74B75D26" w14:textId="77777777" w:rsidR="003C590C" w:rsidRDefault="003C590C" w:rsidP="003C590C">
      <w:r>
        <w:rPr>
          <w:rFonts w:ascii="Georgia" w:hAnsi="Georgia"/>
          <w:sz w:val="22"/>
          <w:szCs w:val="22"/>
        </w:rPr>
        <w:t> </w:t>
      </w:r>
    </w:p>
    <w:p w14:paraId="397D6FEB" w14:textId="77777777" w:rsidR="003C590C" w:rsidRPr="008325AF" w:rsidRDefault="003C590C" w:rsidP="003C590C">
      <w:pPr>
        <w:pStyle w:val="Liststycke"/>
        <w:numPr>
          <w:ilvl w:val="0"/>
          <w:numId w:val="2"/>
        </w:numPr>
        <w:rPr>
          <w:rFonts w:eastAsia="Times New Roman"/>
        </w:rPr>
      </w:pPr>
      <w:r>
        <w:rPr>
          <w:rFonts w:ascii="Georgia" w:eastAsia="Times New Roman" w:hAnsi="Georgia"/>
          <w:sz w:val="22"/>
          <w:szCs w:val="22"/>
        </w:rPr>
        <w:t>När det blir svårare och framförallt dyrare att ta nya lån drabbas även marknaden för fritidshus och bostäder utomlands, men också hushållens möjligheter att renovera, köpa bil och göra andra större investeringar som tidigare finansierades med ökade bostadslån, säger Fredrik Kullman, vd på Bjurfors Stockholm.</w:t>
      </w:r>
    </w:p>
    <w:p w14:paraId="1C3B6C28" w14:textId="77777777" w:rsidR="008325AF" w:rsidRPr="008325AF" w:rsidRDefault="008325AF" w:rsidP="008325AF">
      <w:pPr>
        <w:ind w:left="360"/>
        <w:rPr>
          <w:rFonts w:eastAsia="Times New Roman"/>
        </w:rPr>
      </w:pPr>
    </w:p>
    <w:p w14:paraId="2EB0EF95" w14:textId="77777777" w:rsidR="00AF5CAC" w:rsidRDefault="008325AF" w:rsidP="008325AF">
      <w:pPr>
        <w:rPr>
          <w:rFonts w:eastAsia="Times New Roman"/>
        </w:rPr>
      </w:pPr>
      <w:r>
        <w:rPr>
          <w:rFonts w:eastAsia="Times New Roman"/>
        </w:rPr>
        <w:t xml:space="preserve">                                                                                          </w:t>
      </w:r>
      <w:r w:rsidR="00AF5CAC">
        <w:rPr>
          <w:rFonts w:eastAsia="Times New Roman"/>
        </w:rPr>
        <w:tab/>
      </w:r>
    </w:p>
    <w:tbl>
      <w:tblPr>
        <w:tblStyle w:val="Tabellrutnt"/>
        <w:tblW w:w="0" w:type="auto"/>
        <w:jc w:val="center"/>
        <w:tblLook w:val="04A0" w:firstRow="1" w:lastRow="0" w:firstColumn="1" w:lastColumn="0" w:noHBand="0" w:noVBand="1"/>
      </w:tblPr>
      <w:tblGrid>
        <w:gridCol w:w="3118"/>
        <w:gridCol w:w="1129"/>
        <w:gridCol w:w="714"/>
        <w:gridCol w:w="851"/>
        <w:gridCol w:w="992"/>
        <w:gridCol w:w="1017"/>
      </w:tblGrid>
      <w:tr w:rsidR="00AF5CAC" w:rsidRPr="00AF5CAC" w14:paraId="46A1F940" w14:textId="77777777" w:rsidTr="00B30212">
        <w:trPr>
          <w:trHeight w:val="385"/>
          <w:jc w:val="center"/>
        </w:trPr>
        <w:tc>
          <w:tcPr>
            <w:tcW w:w="3118" w:type="dxa"/>
          </w:tcPr>
          <w:p w14:paraId="54E3F1AE" w14:textId="77777777" w:rsidR="00AF5CAC" w:rsidRPr="00AF5CAC" w:rsidRDefault="00AF5CAC" w:rsidP="00AF5CAC">
            <w:pPr>
              <w:rPr>
                <w:rFonts w:eastAsia="Times New Roman" w:cs="Times New Roman"/>
                <w:sz w:val="22"/>
                <w:szCs w:val="22"/>
                <w:lang w:eastAsia="sv-SE"/>
              </w:rPr>
            </w:pPr>
            <w:bookmarkStart w:id="0" w:name="_GoBack"/>
          </w:p>
        </w:tc>
        <w:tc>
          <w:tcPr>
            <w:tcW w:w="1129" w:type="dxa"/>
          </w:tcPr>
          <w:p w14:paraId="47BB9626" w14:textId="77777777" w:rsidR="00AF5CAC" w:rsidRPr="00AF5CAC" w:rsidRDefault="00AF5CAC" w:rsidP="00AF5CAC">
            <w:pPr>
              <w:rPr>
                <w:rFonts w:eastAsia="Times New Roman" w:cs="Times New Roman"/>
                <w:sz w:val="22"/>
                <w:szCs w:val="22"/>
                <w:lang w:eastAsia="sv-SE"/>
              </w:rPr>
            </w:pPr>
          </w:p>
        </w:tc>
        <w:tc>
          <w:tcPr>
            <w:tcW w:w="714" w:type="dxa"/>
          </w:tcPr>
          <w:p w14:paraId="027C05E7" w14:textId="77777777" w:rsidR="00AF5CAC" w:rsidRPr="00AF5CAC" w:rsidRDefault="00AF5CAC" w:rsidP="00AF5CAC">
            <w:pPr>
              <w:rPr>
                <w:rFonts w:eastAsia="Times New Roman" w:cs="Times New Roman"/>
                <w:sz w:val="22"/>
                <w:szCs w:val="22"/>
                <w:lang w:eastAsia="sv-SE"/>
              </w:rPr>
            </w:pPr>
            <w:r>
              <w:rPr>
                <w:rFonts w:eastAsia="Times New Roman" w:cs="Times New Roman"/>
                <w:sz w:val="22"/>
                <w:szCs w:val="22"/>
                <w:lang w:eastAsia="sv-SE"/>
              </w:rPr>
              <w:t>Alla</w:t>
            </w:r>
          </w:p>
        </w:tc>
        <w:tc>
          <w:tcPr>
            <w:tcW w:w="851" w:type="dxa"/>
          </w:tcPr>
          <w:p w14:paraId="6AFB1714" w14:textId="77777777" w:rsidR="00AF5CAC" w:rsidRPr="00AF5CAC" w:rsidRDefault="00AF5CAC" w:rsidP="00AF5CAC">
            <w:pPr>
              <w:rPr>
                <w:rFonts w:eastAsia="Times New Roman" w:cs="Times New Roman"/>
                <w:sz w:val="22"/>
                <w:szCs w:val="22"/>
                <w:lang w:eastAsia="sv-SE"/>
              </w:rPr>
            </w:pPr>
            <w:r>
              <w:rPr>
                <w:rFonts w:eastAsia="Times New Roman" w:cs="Times New Roman"/>
                <w:sz w:val="22"/>
                <w:szCs w:val="22"/>
                <w:lang w:eastAsia="sv-SE"/>
              </w:rPr>
              <w:t>-</w:t>
            </w:r>
            <w:r w:rsidRPr="00AF5CAC">
              <w:rPr>
                <w:rFonts w:eastAsia="Times New Roman" w:cs="Times New Roman"/>
                <w:sz w:val="22"/>
                <w:szCs w:val="22"/>
                <w:lang w:eastAsia="sv-SE"/>
              </w:rPr>
              <w:t>34 år</w:t>
            </w:r>
          </w:p>
        </w:tc>
        <w:tc>
          <w:tcPr>
            <w:tcW w:w="992" w:type="dxa"/>
          </w:tcPr>
          <w:p w14:paraId="3DB141E5" w14:textId="77777777" w:rsidR="00AF5CAC" w:rsidRPr="00AF5CAC" w:rsidRDefault="00AF5CAC" w:rsidP="00AF5CAC">
            <w:pPr>
              <w:rPr>
                <w:rFonts w:eastAsia="Times New Roman" w:cs="Times New Roman"/>
                <w:sz w:val="22"/>
                <w:szCs w:val="22"/>
                <w:lang w:eastAsia="sv-SE"/>
              </w:rPr>
            </w:pPr>
            <w:proofErr w:type="gramStart"/>
            <w:r>
              <w:rPr>
                <w:rFonts w:eastAsia="Times New Roman" w:cs="Times New Roman"/>
                <w:sz w:val="22"/>
                <w:szCs w:val="22"/>
                <w:lang w:eastAsia="sv-SE"/>
              </w:rPr>
              <w:t>35-55</w:t>
            </w:r>
            <w:proofErr w:type="gramEnd"/>
            <w:r>
              <w:rPr>
                <w:rFonts w:eastAsia="Times New Roman" w:cs="Times New Roman"/>
                <w:sz w:val="22"/>
                <w:szCs w:val="22"/>
                <w:lang w:eastAsia="sv-SE"/>
              </w:rPr>
              <w:t xml:space="preserve"> år</w:t>
            </w:r>
          </w:p>
        </w:tc>
        <w:tc>
          <w:tcPr>
            <w:tcW w:w="1017" w:type="dxa"/>
          </w:tcPr>
          <w:p w14:paraId="5439C0B0" w14:textId="77777777" w:rsidR="00AF5CAC" w:rsidRPr="00AF5CAC" w:rsidRDefault="00AF5CAC" w:rsidP="00AF5CAC">
            <w:pPr>
              <w:rPr>
                <w:rFonts w:eastAsia="Times New Roman" w:cs="Times New Roman"/>
                <w:sz w:val="22"/>
                <w:szCs w:val="22"/>
                <w:lang w:eastAsia="sv-SE"/>
              </w:rPr>
            </w:pPr>
            <w:r>
              <w:rPr>
                <w:rFonts w:eastAsia="Times New Roman" w:cs="Times New Roman"/>
                <w:sz w:val="22"/>
                <w:szCs w:val="22"/>
                <w:lang w:eastAsia="sv-SE"/>
              </w:rPr>
              <w:t>+55</w:t>
            </w:r>
            <w:r w:rsidR="002C6B32">
              <w:rPr>
                <w:rFonts w:eastAsia="Times New Roman" w:cs="Times New Roman"/>
                <w:sz w:val="22"/>
                <w:szCs w:val="22"/>
                <w:lang w:eastAsia="sv-SE"/>
              </w:rPr>
              <w:t xml:space="preserve"> år</w:t>
            </w:r>
          </w:p>
        </w:tc>
      </w:tr>
      <w:tr w:rsidR="002C6B32" w:rsidRPr="00AF5CAC" w14:paraId="56605944" w14:textId="77777777" w:rsidTr="00B30212">
        <w:trPr>
          <w:trHeight w:val="747"/>
          <w:jc w:val="center"/>
        </w:trPr>
        <w:tc>
          <w:tcPr>
            <w:tcW w:w="3118" w:type="dxa"/>
            <w:vMerge w:val="restart"/>
            <w:hideMark/>
          </w:tcPr>
          <w:p w14:paraId="4EE3F9DF" w14:textId="77777777" w:rsidR="00AF5CAC" w:rsidRPr="00AF5CAC" w:rsidRDefault="00AF5CAC" w:rsidP="00AF5CAC">
            <w:pPr>
              <w:rPr>
                <w:rFonts w:eastAsia="Times New Roman" w:cs="Times New Roman"/>
                <w:b/>
                <w:sz w:val="22"/>
                <w:szCs w:val="22"/>
                <w:lang w:eastAsia="sv-SE"/>
              </w:rPr>
            </w:pPr>
            <w:r w:rsidRPr="00AF5CAC">
              <w:rPr>
                <w:rFonts w:eastAsia="Times New Roman" w:cs="Times New Roman"/>
                <w:b/>
                <w:sz w:val="22"/>
                <w:szCs w:val="22"/>
                <w:lang w:eastAsia="sv-SE"/>
              </w:rPr>
              <w:t xml:space="preserve">Har amorteringskravet och skuldkvottaket som infördes i mars påverkat dig och dina framtidsplaner? </w:t>
            </w:r>
          </w:p>
        </w:tc>
        <w:tc>
          <w:tcPr>
            <w:tcW w:w="1129" w:type="dxa"/>
            <w:hideMark/>
          </w:tcPr>
          <w:p w14:paraId="1AF5AFE3"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Ja</w:t>
            </w:r>
          </w:p>
        </w:tc>
        <w:tc>
          <w:tcPr>
            <w:tcW w:w="714" w:type="dxa"/>
            <w:hideMark/>
          </w:tcPr>
          <w:p w14:paraId="5E696311"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11%</w:t>
            </w:r>
          </w:p>
        </w:tc>
        <w:tc>
          <w:tcPr>
            <w:tcW w:w="851" w:type="dxa"/>
            <w:hideMark/>
          </w:tcPr>
          <w:p w14:paraId="0C0A6795"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17%</w:t>
            </w:r>
          </w:p>
        </w:tc>
        <w:tc>
          <w:tcPr>
            <w:tcW w:w="992" w:type="dxa"/>
            <w:hideMark/>
          </w:tcPr>
          <w:p w14:paraId="063481E5"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11%</w:t>
            </w:r>
          </w:p>
        </w:tc>
        <w:tc>
          <w:tcPr>
            <w:tcW w:w="1017" w:type="dxa"/>
            <w:hideMark/>
          </w:tcPr>
          <w:p w14:paraId="2767DB9A"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4%</w:t>
            </w:r>
          </w:p>
        </w:tc>
      </w:tr>
      <w:tr w:rsidR="00AF5CAC" w:rsidRPr="00AF5CAC" w14:paraId="50D6436B" w14:textId="77777777" w:rsidTr="00B30212">
        <w:trPr>
          <w:trHeight w:val="300"/>
          <w:jc w:val="center"/>
        </w:trPr>
        <w:tc>
          <w:tcPr>
            <w:tcW w:w="3118" w:type="dxa"/>
            <w:vMerge/>
            <w:hideMark/>
          </w:tcPr>
          <w:p w14:paraId="494D79FE" w14:textId="77777777" w:rsidR="00AF5CAC" w:rsidRPr="00AF5CAC" w:rsidRDefault="00AF5CAC" w:rsidP="00AF5CAC">
            <w:pPr>
              <w:rPr>
                <w:rFonts w:eastAsia="Times New Roman" w:cs="Times New Roman"/>
                <w:sz w:val="22"/>
                <w:szCs w:val="22"/>
                <w:lang w:eastAsia="sv-SE"/>
              </w:rPr>
            </w:pPr>
          </w:p>
        </w:tc>
        <w:tc>
          <w:tcPr>
            <w:tcW w:w="1129" w:type="dxa"/>
            <w:hideMark/>
          </w:tcPr>
          <w:p w14:paraId="3C4DDB84"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Nej</w:t>
            </w:r>
          </w:p>
        </w:tc>
        <w:tc>
          <w:tcPr>
            <w:tcW w:w="714" w:type="dxa"/>
            <w:hideMark/>
          </w:tcPr>
          <w:p w14:paraId="11EB336B"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81%</w:t>
            </w:r>
          </w:p>
        </w:tc>
        <w:tc>
          <w:tcPr>
            <w:tcW w:w="851" w:type="dxa"/>
            <w:hideMark/>
          </w:tcPr>
          <w:p w14:paraId="072048E5"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66%</w:t>
            </w:r>
          </w:p>
        </w:tc>
        <w:tc>
          <w:tcPr>
            <w:tcW w:w="992" w:type="dxa"/>
            <w:hideMark/>
          </w:tcPr>
          <w:p w14:paraId="7C99356E"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86%</w:t>
            </w:r>
          </w:p>
        </w:tc>
        <w:tc>
          <w:tcPr>
            <w:tcW w:w="1017" w:type="dxa"/>
            <w:hideMark/>
          </w:tcPr>
          <w:p w14:paraId="1CA3BEAA"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92%</w:t>
            </w:r>
          </w:p>
        </w:tc>
      </w:tr>
      <w:tr w:rsidR="002C6B32" w:rsidRPr="00AF5CAC" w14:paraId="248BCCB8" w14:textId="77777777" w:rsidTr="00B30212">
        <w:trPr>
          <w:trHeight w:val="300"/>
          <w:jc w:val="center"/>
        </w:trPr>
        <w:tc>
          <w:tcPr>
            <w:tcW w:w="3118" w:type="dxa"/>
            <w:vMerge/>
            <w:hideMark/>
          </w:tcPr>
          <w:p w14:paraId="46E53A89" w14:textId="77777777" w:rsidR="00AF5CAC" w:rsidRPr="00AF5CAC" w:rsidRDefault="00AF5CAC" w:rsidP="00AF5CAC">
            <w:pPr>
              <w:rPr>
                <w:rFonts w:eastAsia="Times New Roman" w:cs="Times New Roman"/>
                <w:sz w:val="22"/>
                <w:szCs w:val="22"/>
                <w:lang w:eastAsia="sv-SE"/>
              </w:rPr>
            </w:pPr>
          </w:p>
        </w:tc>
        <w:tc>
          <w:tcPr>
            <w:tcW w:w="1129" w:type="dxa"/>
            <w:hideMark/>
          </w:tcPr>
          <w:p w14:paraId="63036B5D"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Vet ej</w:t>
            </w:r>
          </w:p>
        </w:tc>
        <w:tc>
          <w:tcPr>
            <w:tcW w:w="714" w:type="dxa"/>
            <w:hideMark/>
          </w:tcPr>
          <w:p w14:paraId="153AC793"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8%</w:t>
            </w:r>
          </w:p>
        </w:tc>
        <w:tc>
          <w:tcPr>
            <w:tcW w:w="851" w:type="dxa"/>
            <w:hideMark/>
          </w:tcPr>
          <w:p w14:paraId="0B06FE64"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17%</w:t>
            </w:r>
          </w:p>
        </w:tc>
        <w:tc>
          <w:tcPr>
            <w:tcW w:w="992" w:type="dxa"/>
            <w:hideMark/>
          </w:tcPr>
          <w:p w14:paraId="2659E758"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3%</w:t>
            </w:r>
          </w:p>
        </w:tc>
        <w:tc>
          <w:tcPr>
            <w:tcW w:w="1017" w:type="dxa"/>
            <w:hideMark/>
          </w:tcPr>
          <w:p w14:paraId="620CEA77" w14:textId="77777777" w:rsidR="00AF5CAC" w:rsidRPr="00AF5CAC" w:rsidRDefault="00AF5CAC" w:rsidP="00AF5CAC">
            <w:pPr>
              <w:rPr>
                <w:rFonts w:eastAsia="Times New Roman" w:cs="Times New Roman"/>
                <w:sz w:val="22"/>
                <w:szCs w:val="22"/>
                <w:lang w:eastAsia="sv-SE"/>
              </w:rPr>
            </w:pPr>
            <w:r w:rsidRPr="00AF5CAC">
              <w:rPr>
                <w:rFonts w:eastAsia="Times New Roman" w:cs="Times New Roman"/>
                <w:sz w:val="22"/>
                <w:szCs w:val="22"/>
                <w:lang w:eastAsia="sv-SE"/>
              </w:rPr>
              <w:t>4%</w:t>
            </w:r>
          </w:p>
        </w:tc>
      </w:tr>
      <w:bookmarkEnd w:id="0"/>
    </w:tbl>
    <w:p w14:paraId="2239817E" w14:textId="77777777" w:rsidR="00AD2733" w:rsidRPr="002C6B32" w:rsidRDefault="00AD2733" w:rsidP="00AD2733">
      <w:pPr>
        <w:rPr>
          <w:rFonts w:eastAsia="Times New Roman"/>
        </w:rPr>
      </w:pPr>
    </w:p>
    <w:p w14:paraId="13297FAA" w14:textId="77777777" w:rsidR="007F3766" w:rsidRDefault="007F3766" w:rsidP="007F3766">
      <w:pPr>
        <w:rPr>
          <w:rFonts w:ascii="Georgia" w:hAnsi="Georgia"/>
          <w:b/>
          <w:bCs/>
          <w:sz w:val="22"/>
          <w:szCs w:val="22"/>
        </w:rPr>
      </w:pPr>
    </w:p>
    <w:p w14:paraId="3A135BC6" w14:textId="77777777" w:rsidR="007F3766" w:rsidRDefault="007F3766" w:rsidP="007F3766">
      <w:pPr>
        <w:rPr>
          <w:rFonts w:ascii="Georgia" w:hAnsi="Georgia"/>
          <w:b/>
          <w:bCs/>
          <w:sz w:val="22"/>
          <w:szCs w:val="22"/>
        </w:rPr>
      </w:pPr>
      <w:r>
        <w:rPr>
          <w:rFonts w:ascii="Georgia" w:hAnsi="Georgia"/>
          <w:b/>
          <w:bCs/>
          <w:sz w:val="22"/>
          <w:szCs w:val="22"/>
        </w:rPr>
        <w:t>Om undersökningen</w:t>
      </w:r>
    </w:p>
    <w:p w14:paraId="13B48B8E" w14:textId="77777777" w:rsidR="007F3766" w:rsidRDefault="007F3766" w:rsidP="007F3766">
      <w:pPr>
        <w:rPr>
          <w:rFonts w:ascii="Georgia" w:hAnsi="Georgia"/>
          <w:sz w:val="22"/>
          <w:szCs w:val="22"/>
        </w:rPr>
      </w:pPr>
      <w:r>
        <w:rPr>
          <w:rFonts w:ascii="Georgia" w:hAnsi="Georgia"/>
          <w:sz w:val="22"/>
          <w:szCs w:val="22"/>
        </w:rPr>
        <w:lastRenderedPageBreak/>
        <w:t xml:space="preserve">Undersökningen genomfördes i Kantar Sifos webbpanel under perioden 18–23 oktober 2018. Totalt intervjuades 1501 personer. </w:t>
      </w:r>
    </w:p>
    <w:p w14:paraId="105A8B26" w14:textId="77777777" w:rsidR="007F3766" w:rsidRDefault="007F3766" w:rsidP="007F3766">
      <w:pPr>
        <w:rPr>
          <w:rFonts w:ascii="Georgia" w:hAnsi="Georgia"/>
          <w:sz w:val="22"/>
          <w:szCs w:val="22"/>
        </w:rPr>
      </w:pPr>
      <w:r>
        <w:rPr>
          <w:rFonts w:ascii="Georgia" w:hAnsi="Georgia"/>
          <w:sz w:val="22"/>
          <w:szCs w:val="22"/>
        </w:rPr>
        <w:t>Webbpanelen är riksrepresentativt rekryterad utifrån slumpmässiga urval. Det förekommer ingen självrekrytering i Sifos webbpanel.</w:t>
      </w:r>
    </w:p>
    <w:p w14:paraId="7C98EBFF" w14:textId="77777777" w:rsidR="007F3766" w:rsidRDefault="007F3766" w:rsidP="007F3766">
      <w:pPr>
        <w:rPr>
          <w:rFonts w:ascii="Georgia" w:hAnsi="Georgia"/>
          <w:sz w:val="22"/>
          <w:szCs w:val="22"/>
        </w:rPr>
      </w:pPr>
    </w:p>
    <w:p w14:paraId="11A28283" w14:textId="77777777" w:rsidR="007F3766" w:rsidRDefault="007F3766" w:rsidP="007F3766">
      <w:pPr>
        <w:rPr>
          <w:rFonts w:ascii="Georgia" w:hAnsi="Georgia"/>
          <w:b/>
          <w:bCs/>
          <w:sz w:val="22"/>
          <w:szCs w:val="22"/>
        </w:rPr>
      </w:pPr>
      <w:r>
        <w:rPr>
          <w:rFonts w:ascii="Georgia" w:hAnsi="Georgia"/>
          <w:b/>
          <w:bCs/>
          <w:sz w:val="22"/>
          <w:szCs w:val="22"/>
        </w:rPr>
        <w:t>Om Bjurfors</w:t>
      </w:r>
      <w:r>
        <w:rPr>
          <w:rFonts w:ascii="Georgia" w:hAnsi="Georgia"/>
          <w:b/>
          <w:bCs/>
          <w:sz w:val="22"/>
          <w:szCs w:val="22"/>
        </w:rPr>
        <w:br/>
      </w:r>
      <w:proofErr w:type="spellStart"/>
      <w:r>
        <w:rPr>
          <w:rFonts w:ascii="Georgia" w:hAnsi="Georgia"/>
          <w:sz w:val="22"/>
          <w:szCs w:val="22"/>
        </w:rPr>
        <w:t>Bjurfors</w:t>
      </w:r>
      <w:proofErr w:type="spellEnd"/>
      <w:r>
        <w:rPr>
          <w:rFonts w:ascii="Georgia" w:hAnsi="Georgia"/>
          <w:sz w:val="22"/>
          <w:szCs w:val="22"/>
        </w:rPr>
        <w:t xml:space="preserve"> är ett av Sveriges största fastighetsmäklarföretag och är verksamma inom såväl privatmarknaden som den kommersiella fastighetsmarknaden. Bjurfors Sverige ägs av Ola Lundqvist och Mats Ljung och har idag 72 kontor med cirka 470 medarbetare runt om i Sverige samt i Spanien och Frankrike. Totalt omsätter Bjurfors cirka 600 miljoner på </w:t>
      </w:r>
      <w:proofErr w:type="gramStart"/>
      <w:r>
        <w:rPr>
          <w:rFonts w:ascii="Georgia" w:hAnsi="Georgia"/>
          <w:sz w:val="22"/>
          <w:szCs w:val="22"/>
        </w:rPr>
        <w:t>11.000</w:t>
      </w:r>
      <w:proofErr w:type="gramEnd"/>
      <w:r>
        <w:rPr>
          <w:rFonts w:ascii="Georgia" w:hAnsi="Georgia"/>
          <w:sz w:val="22"/>
          <w:szCs w:val="22"/>
        </w:rPr>
        <w:t xml:space="preserve"> bostadsaffärer.</w:t>
      </w:r>
    </w:p>
    <w:p w14:paraId="22758C38" w14:textId="77777777" w:rsidR="007F3766" w:rsidRDefault="007F3766" w:rsidP="007F3766">
      <w:pPr>
        <w:rPr>
          <w:rFonts w:ascii="Georgia" w:hAnsi="Georgia"/>
          <w:b/>
          <w:bCs/>
          <w:sz w:val="22"/>
          <w:szCs w:val="22"/>
        </w:rPr>
      </w:pPr>
    </w:p>
    <w:p w14:paraId="129115C4" w14:textId="77777777" w:rsidR="007F3766" w:rsidRDefault="007F3766" w:rsidP="007F3766">
      <w:pPr>
        <w:rPr>
          <w:rFonts w:ascii="Georgia" w:hAnsi="Georgia"/>
          <w:sz w:val="22"/>
          <w:szCs w:val="22"/>
        </w:rPr>
      </w:pPr>
      <w:r>
        <w:rPr>
          <w:rFonts w:ascii="Georgia" w:hAnsi="Georgia"/>
          <w:b/>
          <w:bCs/>
          <w:sz w:val="22"/>
          <w:szCs w:val="22"/>
        </w:rPr>
        <w:t>För ytterligare information, kontakta:</w:t>
      </w:r>
      <w:r>
        <w:rPr>
          <w:rFonts w:ascii="Georgia" w:hAnsi="Georgia"/>
          <w:sz w:val="22"/>
          <w:szCs w:val="22"/>
        </w:rPr>
        <w:br/>
        <w:t xml:space="preserve">Fredrik Kullman, vd Bjurfors Stockholm, </w:t>
      </w:r>
      <w:proofErr w:type="spellStart"/>
      <w:r>
        <w:rPr>
          <w:rFonts w:ascii="Georgia" w:hAnsi="Georgia"/>
          <w:sz w:val="22"/>
          <w:szCs w:val="22"/>
        </w:rPr>
        <w:t>tel</w:t>
      </w:r>
      <w:proofErr w:type="spellEnd"/>
      <w:r>
        <w:rPr>
          <w:rFonts w:ascii="Georgia" w:hAnsi="Georgia"/>
          <w:sz w:val="22"/>
          <w:szCs w:val="22"/>
        </w:rPr>
        <w:t xml:space="preserve"> 073-257 56 86</w:t>
      </w:r>
    </w:p>
    <w:p w14:paraId="62FCB660" w14:textId="77777777" w:rsidR="008325AF" w:rsidRDefault="008325AF" w:rsidP="007F3766">
      <w:pPr>
        <w:rPr>
          <w:rFonts w:ascii="Georgia" w:hAnsi="Georgia"/>
          <w:sz w:val="22"/>
          <w:szCs w:val="22"/>
        </w:rPr>
      </w:pPr>
    </w:p>
    <w:p w14:paraId="13ED673B" w14:textId="77777777" w:rsidR="008325AF" w:rsidRDefault="008325AF" w:rsidP="007F3766">
      <w:pPr>
        <w:rPr>
          <w:rFonts w:ascii="Georgia" w:hAnsi="Georgia"/>
          <w:sz w:val="22"/>
          <w:szCs w:val="22"/>
        </w:rPr>
      </w:pPr>
    </w:p>
    <w:p w14:paraId="159DFA8F" w14:textId="77777777" w:rsidR="008325AF" w:rsidRDefault="008325AF" w:rsidP="007F3766">
      <w:pPr>
        <w:rPr>
          <w:rFonts w:ascii="Georgia" w:hAnsi="Georgia"/>
          <w:sz w:val="22"/>
          <w:szCs w:val="22"/>
        </w:rPr>
      </w:pPr>
    </w:p>
    <w:p w14:paraId="68A1F54C" w14:textId="77777777" w:rsidR="007F3766" w:rsidRDefault="007F3766" w:rsidP="007F3766">
      <w:pPr>
        <w:pStyle w:val="Liststycke"/>
        <w:rPr>
          <w:rFonts w:ascii="Georgia" w:hAnsi="Georgia"/>
          <w:b/>
          <w:sz w:val="22"/>
        </w:rPr>
      </w:pPr>
    </w:p>
    <w:p w14:paraId="284C4B0A" w14:textId="77777777" w:rsidR="008325AF" w:rsidRPr="003C590C" w:rsidRDefault="008325AF" w:rsidP="007F3766">
      <w:pPr>
        <w:pStyle w:val="Liststycke"/>
        <w:rPr>
          <w:rFonts w:ascii="Georgia" w:hAnsi="Georgia"/>
          <w:b/>
          <w:sz w:val="22"/>
        </w:rPr>
      </w:pPr>
    </w:p>
    <w:sectPr w:rsidR="008325AF" w:rsidRPr="003C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5990"/>
    <w:multiLevelType w:val="hybridMultilevel"/>
    <w:tmpl w:val="679C6A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F5A1007"/>
    <w:multiLevelType w:val="hybridMultilevel"/>
    <w:tmpl w:val="7674B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F121F1"/>
    <w:multiLevelType w:val="hybridMultilevel"/>
    <w:tmpl w:val="B9AED556"/>
    <w:lvl w:ilvl="0" w:tplc="571683D4">
      <w:start w:val="5"/>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DE66AB8"/>
    <w:multiLevelType w:val="hybridMultilevel"/>
    <w:tmpl w:val="CA78F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7E3317"/>
    <w:multiLevelType w:val="hybridMultilevel"/>
    <w:tmpl w:val="5322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4E01C3"/>
    <w:multiLevelType w:val="hybridMultilevel"/>
    <w:tmpl w:val="65889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EE751A"/>
    <w:multiLevelType w:val="hybridMultilevel"/>
    <w:tmpl w:val="88A6D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AA7C2B"/>
    <w:multiLevelType w:val="hybridMultilevel"/>
    <w:tmpl w:val="F490C472"/>
    <w:lvl w:ilvl="0" w:tplc="21F63AAA">
      <w:start w:val="708"/>
      <w:numFmt w:val="bullet"/>
      <w:lvlText w:val="-"/>
      <w:lvlJc w:val="left"/>
      <w:pPr>
        <w:ind w:left="720" w:hanging="360"/>
      </w:pPr>
      <w:rPr>
        <w:rFonts w:ascii="Georgia" w:eastAsia="Calibri" w:hAnsi="Georgia" w:cs="Calibri"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
  </w:num>
  <w:num w:numId="4">
    <w:abstractNumId w:val="4"/>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0C"/>
    <w:rsid w:val="000813D6"/>
    <w:rsid w:val="001665EF"/>
    <w:rsid w:val="001F79B7"/>
    <w:rsid w:val="0020268F"/>
    <w:rsid w:val="00212F82"/>
    <w:rsid w:val="002B079D"/>
    <w:rsid w:val="002C6B32"/>
    <w:rsid w:val="003C590C"/>
    <w:rsid w:val="004D45CD"/>
    <w:rsid w:val="005F6BA0"/>
    <w:rsid w:val="007079CE"/>
    <w:rsid w:val="007F3766"/>
    <w:rsid w:val="008325AF"/>
    <w:rsid w:val="008A2C06"/>
    <w:rsid w:val="008E7B39"/>
    <w:rsid w:val="009C4BFB"/>
    <w:rsid w:val="00AD2733"/>
    <w:rsid w:val="00AF3197"/>
    <w:rsid w:val="00AF5CAC"/>
    <w:rsid w:val="00B30212"/>
    <w:rsid w:val="00D347D4"/>
    <w:rsid w:val="00DC19B5"/>
    <w:rsid w:val="00F10A22"/>
    <w:rsid w:val="00F25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67EA"/>
  <w15:chartTrackingRefBased/>
  <w15:docId w15:val="{82CC53FD-25B7-4406-B79D-201E5F7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90C"/>
    <w:pPr>
      <w:spacing w:after="0" w:line="240" w:lineRule="auto"/>
    </w:pPr>
    <w:rPr>
      <w:rFonts w:ascii="Calibri" w:hAnsi="Calibri" w:cs="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590C"/>
    <w:pPr>
      <w:ind w:left="720"/>
    </w:pPr>
  </w:style>
  <w:style w:type="table" w:styleId="Tabellrutnt">
    <w:name w:val="Table Grid"/>
    <w:basedOn w:val="Normaltabell"/>
    <w:uiPriority w:val="39"/>
    <w:rsid w:val="0083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2C6B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5">
    <w:name w:val="Plain Table 5"/>
    <w:basedOn w:val="Normaltabell"/>
    <w:uiPriority w:val="45"/>
    <w:rsid w:val="002C6B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715">
      <w:bodyDiv w:val="1"/>
      <w:marLeft w:val="0"/>
      <w:marRight w:val="0"/>
      <w:marTop w:val="0"/>
      <w:marBottom w:val="0"/>
      <w:divBdr>
        <w:top w:val="none" w:sz="0" w:space="0" w:color="auto"/>
        <w:left w:val="none" w:sz="0" w:space="0" w:color="auto"/>
        <w:bottom w:val="none" w:sz="0" w:space="0" w:color="auto"/>
        <w:right w:val="none" w:sz="0" w:space="0" w:color="auto"/>
      </w:divBdr>
    </w:div>
    <w:div w:id="778527341">
      <w:bodyDiv w:val="1"/>
      <w:marLeft w:val="0"/>
      <w:marRight w:val="0"/>
      <w:marTop w:val="0"/>
      <w:marBottom w:val="0"/>
      <w:divBdr>
        <w:top w:val="none" w:sz="0" w:space="0" w:color="auto"/>
        <w:left w:val="none" w:sz="0" w:space="0" w:color="auto"/>
        <w:bottom w:val="none" w:sz="0" w:space="0" w:color="auto"/>
        <w:right w:val="none" w:sz="0" w:space="0" w:color="auto"/>
      </w:divBdr>
    </w:div>
    <w:div w:id="1616905593">
      <w:bodyDiv w:val="1"/>
      <w:marLeft w:val="0"/>
      <w:marRight w:val="0"/>
      <w:marTop w:val="0"/>
      <w:marBottom w:val="0"/>
      <w:divBdr>
        <w:top w:val="none" w:sz="0" w:space="0" w:color="auto"/>
        <w:left w:val="none" w:sz="0" w:space="0" w:color="auto"/>
        <w:bottom w:val="none" w:sz="0" w:space="0" w:color="auto"/>
        <w:right w:val="none" w:sz="0" w:space="0" w:color="auto"/>
      </w:divBdr>
    </w:div>
    <w:div w:id="1798061722">
      <w:bodyDiv w:val="1"/>
      <w:marLeft w:val="0"/>
      <w:marRight w:val="0"/>
      <w:marTop w:val="0"/>
      <w:marBottom w:val="0"/>
      <w:divBdr>
        <w:top w:val="none" w:sz="0" w:space="0" w:color="auto"/>
        <w:left w:val="none" w:sz="0" w:space="0" w:color="auto"/>
        <w:bottom w:val="none" w:sz="0" w:space="0" w:color="auto"/>
        <w:right w:val="none" w:sz="0" w:space="0" w:color="auto"/>
      </w:divBdr>
    </w:div>
    <w:div w:id="1818717039">
      <w:bodyDiv w:val="1"/>
      <w:marLeft w:val="0"/>
      <w:marRight w:val="0"/>
      <w:marTop w:val="0"/>
      <w:marBottom w:val="0"/>
      <w:divBdr>
        <w:top w:val="none" w:sz="0" w:space="0" w:color="auto"/>
        <w:left w:val="none" w:sz="0" w:space="0" w:color="auto"/>
        <w:bottom w:val="none" w:sz="0" w:space="0" w:color="auto"/>
        <w:right w:val="none" w:sz="0" w:space="0" w:color="auto"/>
      </w:divBdr>
    </w:div>
    <w:div w:id="1839147932">
      <w:bodyDiv w:val="1"/>
      <w:marLeft w:val="0"/>
      <w:marRight w:val="0"/>
      <w:marTop w:val="0"/>
      <w:marBottom w:val="0"/>
      <w:divBdr>
        <w:top w:val="none" w:sz="0" w:space="0" w:color="auto"/>
        <w:left w:val="none" w:sz="0" w:space="0" w:color="auto"/>
        <w:bottom w:val="none" w:sz="0" w:space="0" w:color="auto"/>
        <w:right w:val="none" w:sz="0" w:space="0" w:color="auto"/>
      </w:divBdr>
    </w:div>
    <w:div w:id="21194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EDE4-781C-426C-A173-3CB43500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2924</Characters>
  <Application>Microsoft Office Word</Application>
  <DocSecurity>0</DocSecurity>
  <Lines>62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Färggren</dc:creator>
  <cp:keywords/>
  <dc:description/>
  <cp:lastModifiedBy>Dani Backteg</cp:lastModifiedBy>
  <cp:revision>2</cp:revision>
  <dcterms:created xsi:type="dcterms:W3CDTF">2019-03-06T13:12:00Z</dcterms:created>
  <dcterms:modified xsi:type="dcterms:W3CDTF">2019-03-06T13:12:00Z</dcterms:modified>
</cp:coreProperties>
</file>