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EA" w:rsidRDefault="005F51EA" w:rsidP="005F51EA">
      <w:pPr>
        <w:rPr>
          <w:rFonts w:ascii="Palatino Linotype" w:hAnsi="Palatino Linotype"/>
        </w:rPr>
      </w:pPr>
      <w:bookmarkStart w:id="0" w:name="OLE_LINK3"/>
      <w:bookmarkStart w:id="1" w:name="OLE_LINK4"/>
      <w:r>
        <w:rPr>
          <w:rFonts w:ascii="Palatino Linotype" w:hAnsi="Palatino Linotype"/>
          <w:b/>
          <w:bCs/>
          <w:noProof/>
          <w:color w:val="006699"/>
        </w:rPr>
        <w:drawing>
          <wp:anchor distT="0" distB="0" distL="114300" distR="114300" simplePos="0" relativeHeight="251659264" behindDoc="0" locked="0" layoutInCell="1" allowOverlap="1" wp14:anchorId="10F8A2DA" wp14:editId="2D8C5033">
            <wp:simplePos x="0" y="0"/>
            <wp:positionH relativeFrom="page">
              <wp:posOffset>914400</wp:posOffset>
            </wp:positionH>
            <wp:positionV relativeFrom="page">
              <wp:posOffset>685800</wp:posOffset>
            </wp:positionV>
            <wp:extent cx="2905125" cy="561975"/>
            <wp:effectExtent l="0" t="0" r="9525" b="9525"/>
            <wp:wrapSquare wrapText="bothSides"/>
            <wp:docPr id="2" name="Picture 2" descr="logo-horz-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rz-blue-w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13622">
        <w:rPr>
          <w:rFonts w:ascii="Palatino Linotype" w:hAnsi="Palatino Linotype"/>
        </w:rPr>
        <w:tab/>
        <w:t xml:space="preserve"> </w:t>
      </w:r>
      <w:r w:rsidRPr="004563B7">
        <w:rPr>
          <w:rFonts w:ascii="Palatino Linotype" w:hAnsi="Palatino Linotype"/>
        </w:rPr>
        <w:tab/>
      </w:r>
      <w:r w:rsidRPr="004563B7">
        <w:rPr>
          <w:rFonts w:ascii="Palatino Linotype" w:hAnsi="Palatino Linotype"/>
        </w:rPr>
        <w:tab/>
      </w:r>
      <w:r w:rsidRPr="004563B7">
        <w:rPr>
          <w:rFonts w:ascii="Palatino Linotype" w:hAnsi="Palatino Linotype"/>
        </w:rPr>
        <w:tab/>
      </w:r>
      <w:r w:rsidRPr="004563B7">
        <w:rPr>
          <w:rFonts w:ascii="Palatino Linotype" w:hAnsi="Palatino Linotype"/>
        </w:rPr>
        <w:tab/>
      </w:r>
    </w:p>
    <w:p w:rsidR="005F51EA" w:rsidRDefault="005F51EA" w:rsidP="005F51EA">
      <w:pPr>
        <w:jc w:val="right"/>
        <w:rPr>
          <w:rFonts w:ascii="Palatino Linotype" w:hAnsi="Palatino Linotype"/>
          <w:b/>
          <w:bCs/>
          <w:color w:val="006699"/>
        </w:rPr>
      </w:pPr>
    </w:p>
    <w:p w:rsidR="005F51EA" w:rsidRPr="004563B7" w:rsidRDefault="005F51EA" w:rsidP="005F51EA">
      <w:pPr>
        <w:jc w:val="right"/>
        <w:rPr>
          <w:rFonts w:ascii="Palatino Linotype" w:hAnsi="Palatino Linotype"/>
          <w:bCs/>
          <w:iCs/>
          <w:u w:val="single"/>
        </w:rPr>
      </w:pPr>
      <w:r w:rsidRPr="004563B7">
        <w:rPr>
          <w:rFonts w:ascii="Palatino Linotype" w:hAnsi="Palatino Linotype"/>
          <w:b/>
          <w:bCs/>
          <w:color w:val="006699"/>
        </w:rPr>
        <w:t>NEWS RELEASE</w:t>
      </w:r>
    </w:p>
    <w:bookmarkEnd w:id="0"/>
    <w:bookmarkEnd w:id="1"/>
    <w:p w:rsidR="002E6414" w:rsidRPr="00176A5D" w:rsidRDefault="003C41D6" w:rsidP="000949F2">
      <w:pPr>
        <w:tabs>
          <w:tab w:val="left" w:pos="4900"/>
          <w:tab w:val="left" w:pos="5220"/>
          <w:tab w:val="left" w:pos="7380"/>
        </w:tabs>
        <w:autoSpaceDE w:val="0"/>
        <w:autoSpaceDN w:val="0"/>
        <w:adjustRightInd w:val="0"/>
        <w:spacing w:after="0"/>
        <w:outlineLvl w:val="0"/>
        <w:rPr>
          <w:rFonts w:ascii="Palatino Linotype" w:hAnsi="Palatino Linotype" w:cs="Arial"/>
          <w:bCs/>
          <w:u w:val="single"/>
        </w:rPr>
      </w:pPr>
      <w:r>
        <w:rPr>
          <w:rFonts w:ascii="Palatino Linotype" w:hAnsi="Palatino Linotype" w:cs="Arial"/>
          <w:bCs/>
          <w:sz w:val="24"/>
          <w:szCs w:val="24"/>
        </w:rPr>
        <w:tab/>
      </w:r>
      <w:r w:rsidR="000949F2">
        <w:rPr>
          <w:rFonts w:ascii="Palatino Linotype" w:hAnsi="Palatino Linotype" w:cs="Arial"/>
          <w:bCs/>
          <w:sz w:val="24"/>
          <w:szCs w:val="24"/>
        </w:rPr>
        <w:tab/>
      </w:r>
      <w:r w:rsidR="002E6414" w:rsidRPr="00176A5D">
        <w:rPr>
          <w:rFonts w:ascii="Palatino Linotype" w:hAnsi="Palatino Linotype" w:cs="Arial"/>
          <w:bCs/>
          <w:u w:val="single"/>
        </w:rPr>
        <w:t>Contacts:</w:t>
      </w:r>
      <w:r w:rsidR="008C6339">
        <w:rPr>
          <w:rFonts w:ascii="Palatino Linotype" w:hAnsi="Palatino Linotype" w:cs="Arial"/>
          <w:bCs/>
          <w:u w:val="single"/>
        </w:rPr>
        <w:t xml:space="preserve">  </w:t>
      </w:r>
    </w:p>
    <w:p w:rsidR="002E6414" w:rsidRPr="00176A5D" w:rsidRDefault="00A72D75" w:rsidP="00F92616">
      <w:pPr>
        <w:tabs>
          <w:tab w:val="left" w:pos="5220"/>
          <w:tab w:val="left" w:pos="7380"/>
        </w:tabs>
        <w:autoSpaceDE w:val="0"/>
        <w:autoSpaceDN w:val="0"/>
        <w:adjustRightInd w:val="0"/>
        <w:spacing w:after="0" w:line="240" w:lineRule="auto"/>
        <w:rPr>
          <w:rFonts w:ascii="Palatino Linotype" w:hAnsi="Palatino Linotype" w:cs="Arial"/>
          <w:bCs/>
        </w:rPr>
      </w:pPr>
      <w:r>
        <w:rPr>
          <w:rFonts w:ascii="Arial" w:hAnsi="Arial" w:cs="Arial"/>
          <w:b/>
          <w:bCs/>
          <w:color w:val="000000"/>
        </w:rPr>
        <w:tab/>
      </w:r>
      <w:r w:rsidR="002E6414" w:rsidRPr="00E8464E">
        <w:rPr>
          <w:rFonts w:ascii="Palatino Linotype" w:hAnsi="Palatino Linotype"/>
          <w:bCs/>
        </w:rPr>
        <w:t>Kathleen Janasz</w:t>
      </w:r>
      <w:r w:rsidR="002E6414" w:rsidRPr="00176A5D">
        <w:rPr>
          <w:rFonts w:ascii="Palatino Linotype" w:hAnsi="Palatino Linotype" w:cs="Arial"/>
          <w:bCs/>
        </w:rPr>
        <w:tab/>
        <w:t>Jeff Warren</w:t>
      </w:r>
    </w:p>
    <w:p w:rsidR="002E6414" w:rsidRPr="00176A5D" w:rsidRDefault="002E6414" w:rsidP="002E6414">
      <w:pPr>
        <w:tabs>
          <w:tab w:val="left" w:pos="5220"/>
          <w:tab w:val="left" w:pos="7380"/>
        </w:tabs>
        <w:autoSpaceDE w:val="0"/>
        <w:autoSpaceDN w:val="0"/>
        <w:adjustRightInd w:val="0"/>
        <w:spacing w:after="0" w:line="240" w:lineRule="auto"/>
        <w:outlineLvl w:val="0"/>
        <w:rPr>
          <w:rFonts w:ascii="Palatino Linotype" w:hAnsi="Palatino Linotype" w:cs="Arial"/>
          <w:bCs/>
        </w:rPr>
      </w:pPr>
      <w:r w:rsidRPr="00176A5D">
        <w:rPr>
          <w:rFonts w:ascii="Palatino Linotype" w:hAnsi="Palatino Linotype" w:cs="Arial"/>
          <w:bCs/>
        </w:rPr>
        <w:tab/>
        <w:t xml:space="preserve">Public Relations </w:t>
      </w:r>
      <w:r w:rsidRPr="00176A5D">
        <w:rPr>
          <w:rFonts w:ascii="Palatino Linotype" w:hAnsi="Palatino Linotype" w:cs="Arial"/>
          <w:bCs/>
        </w:rPr>
        <w:tab/>
        <w:t>Investor Relations</w:t>
      </w:r>
    </w:p>
    <w:p w:rsidR="002E6414" w:rsidRPr="00176A5D" w:rsidRDefault="002E6414" w:rsidP="002E6414">
      <w:pPr>
        <w:tabs>
          <w:tab w:val="left" w:pos="5220"/>
          <w:tab w:val="left" w:pos="7380"/>
        </w:tabs>
        <w:autoSpaceDE w:val="0"/>
        <w:autoSpaceDN w:val="0"/>
        <w:adjustRightInd w:val="0"/>
        <w:spacing w:after="0" w:line="240" w:lineRule="auto"/>
        <w:rPr>
          <w:rFonts w:ascii="Palatino Linotype" w:hAnsi="Palatino Linotype" w:cs="Arial"/>
        </w:rPr>
      </w:pPr>
      <w:r w:rsidRPr="00176A5D">
        <w:rPr>
          <w:rFonts w:ascii="Palatino Linotype" w:hAnsi="Palatino Linotype" w:cs="Arial"/>
          <w:bCs/>
        </w:rPr>
        <w:tab/>
      </w:r>
      <w:r w:rsidRPr="00CD3882">
        <w:rPr>
          <w:rFonts w:ascii="Palatino Linotype" w:hAnsi="Palatino Linotype" w:cs="Arial"/>
          <w:bCs/>
        </w:rPr>
        <w:t>+1-763-526-3676</w:t>
      </w:r>
      <w:r w:rsidRPr="00176A5D">
        <w:rPr>
          <w:rFonts w:ascii="Palatino Linotype" w:hAnsi="Palatino Linotype" w:cs="Arial"/>
          <w:bCs/>
        </w:rPr>
        <w:tab/>
        <w:t>+1-</w:t>
      </w:r>
      <w:r w:rsidRPr="00176A5D">
        <w:rPr>
          <w:rFonts w:ascii="Palatino Linotype" w:hAnsi="Palatino Linotype" w:cs="Arial"/>
        </w:rPr>
        <w:t>763-505-2696</w:t>
      </w:r>
    </w:p>
    <w:p w:rsidR="006452C6" w:rsidRPr="005D1CB3" w:rsidRDefault="006452C6" w:rsidP="005F51EA">
      <w:pPr>
        <w:spacing w:after="0" w:line="240" w:lineRule="auto"/>
        <w:rPr>
          <w:rFonts w:ascii="Palatino Linotype" w:hAnsi="Palatino Linotype" w:cs="Arial"/>
          <w:b/>
          <w:color w:val="FF0000"/>
        </w:rPr>
      </w:pPr>
    </w:p>
    <w:p w:rsidR="00AB1843" w:rsidRPr="00D772FF" w:rsidRDefault="00D772FF" w:rsidP="00D772FF">
      <w:pPr>
        <w:shd w:val="clear" w:color="auto" w:fill="FFFFFF"/>
        <w:spacing w:after="0" w:line="240" w:lineRule="auto"/>
        <w:rPr>
          <w:rFonts w:ascii="Palatino Linotype" w:hAnsi="Palatino Linotype" w:cs="Arial"/>
          <w:b/>
          <w:bCs/>
          <w:sz w:val="24"/>
          <w:szCs w:val="24"/>
        </w:rPr>
      </w:pPr>
      <w:r w:rsidRPr="00D772FF">
        <w:rPr>
          <w:rFonts w:ascii="Palatino Linotype" w:hAnsi="Palatino Linotype" w:cs="Arial"/>
          <w:b/>
          <w:bCs/>
          <w:sz w:val="24"/>
          <w:szCs w:val="24"/>
        </w:rPr>
        <w:t>FOR IMMEDIATE RELEASE</w:t>
      </w:r>
    </w:p>
    <w:p w:rsidR="00AB1843" w:rsidRPr="00E718F8" w:rsidRDefault="00AB1843" w:rsidP="00AB1843">
      <w:pPr>
        <w:shd w:val="clear" w:color="auto" w:fill="FFFFFF"/>
        <w:spacing w:after="0" w:line="240" w:lineRule="auto"/>
        <w:rPr>
          <w:rFonts w:ascii="Palatino Linotype" w:hAnsi="Palatino Linotype" w:cs="Arial"/>
          <w:b/>
          <w:bCs/>
        </w:rPr>
      </w:pPr>
    </w:p>
    <w:p w:rsidR="00BD18F2" w:rsidRPr="00815166" w:rsidRDefault="00BF55DE" w:rsidP="00AC1035">
      <w:pPr>
        <w:shd w:val="clear" w:color="auto" w:fill="FFFFFF"/>
        <w:spacing w:after="0" w:line="240" w:lineRule="auto"/>
        <w:jc w:val="center"/>
        <w:rPr>
          <w:rFonts w:ascii="Palatino Linotype" w:hAnsi="Palatino Linotype"/>
          <w:b/>
          <w:bCs/>
          <w:caps/>
          <w:sz w:val="24"/>
          <w:szCs w:val="24"/>
        </w:rPr>
      </w:pPr>
      <w:r w:rsidRPr="00815166">
        <w:rPr>
          <w:rFonts w:ascii="Palatino Linotype" w:hAnsi="Palatino Linotype"/>
          <w:b/>
          <w:bCs/>
          <w:caps/>
          <w:sz w:val="24"/>
          <w:szCs w:val="24"/>
        </w:rPr>
        <w:t>Medtronic</w:t>
      </w:r>
      <w:r w:rsidR="00C045BF" w:rsidRPr="00815166">
        <w:rPr>
          <w:rFonts w:ascii="Palatino Linotype" w:hAnsi="Palatino Linotype"/>
          <w:b/>
          <w:bCs/>
          <w:caps/>
          <w:sz w:val="24"/>
          <w:szCs w:val="24"/>
        </w:rPr>
        <w:t xml:space="preserve"> CoreValve</w:t>
      </w:r>
      <w:r w:rsidR="009D758C" w:rsidRPr="00815166">
        <w:rPr>
          <w:rFonts w:ascii="Palatino Linotype" w:hAnsi="Palatino Linotype"/>
          <w:b/>
          <w:bCs/>
          <w:caps/>
          <w:sz w:val="24"/>
          <w:szCs w:val="24"/>
          <w:vertAlign w:val="superscript"/>
        </w:rPr>
        <w:t>®</w:t>
      </w:r>
      <w:r w:rsidR="00C045BF" w:rsidRPr="00815166">
        <w:rPr>
          <w:rFonts w:ascii="Palatino Linotype" w:hAnsi="Palatino Linotype"/>
          <w:b/>
          <w:bCs/>
          <w:caps/>
          <w:sz w:val="24"/>
          <w:szCs w:val="24"/>
        </w:rPr>
        <w:t xml:space="preserve"> </w:t>
      </w:r>
      <w:r w:rsidR="00923325" w:rsidRPr="00815166">
        <w:rPr>
          <w:rFonts w:ascii="Palatino Linotype" w:hAnsi="Palatino Linotype"/>
          <w:b/>
          <w:bCs/>
          <w:caps/>
          <w:sz w:val="24"/>
          <w:szCs w:val="24"/>
        </w:rPr>
        <w:t>sYSTEM</w:t>
      </w:r>
      <w:r w:rsidR="009D758C" w:rsidRPr="00815166">
        <w:rPr>
          <w:rFonts w:ascii="Palatino Linotype" w:hAnsi="Palatino Linotype"/>
          <w:b/>
          <w:bCs/>
          <w:caps/>
          <w:sz w:val="24"/>
          <w:szCs w:val="24"/>
        </w:rPr>
        <w:t xml:space="preserve"> </w:t>
      </w:r>
      <w:r w:rsidR="006E7032">
        <w:rPr>
          <w:rFonts w:ascii="Palatino Linotype" w:hAnsi="Palatino Linotype"/>
          <w:b/>
          <w:bCs/>
          <w:caps/>
          <w:sz w:val="24"/>
          <w:szCs w:val="24"/>
        </w:rPr>
        <w:t>RESULTS</w:t>
      </w:r>
      <w:r w:rsidR="006E7032" w:rsidRPr="00815166">
        <w:rPr>
          <w:rFonts w:ascii="Palatino Linotype" w:hAnsi="Palatino Linotype"/>
          <w:b/>
          <w:bCs/>
          <w:caps/>
          <w:sz w:val="24"/>
          <w:szCs w:val="24"/>
        </w:rPr>
        <w:t xml:space="preserve"> </w:t>
      </w:r>
      <w:r w:rsidR="00923325" w:rsidRPr="00815166">
        <w:rPr>
          <w:rFonts w:ascii="Palatino Linotype" w:hAnsi="Palatino Linotype"/>
          <w:b/>
          <w:bCs/>
          <w:caps/>
          <w:sz w:val="24"/>
          <w:szCs w:val="24"/>
        </w:rPr>
        <w:t xml:space="preserve">SUPERIOR </w:t>
      </w:r>
    </w:p>
    <w:p w:rsidR="00B27B08" w:rsidRPr="00815166" w:rsidRDefault="00923325" w:rsidP="00625791">
      <w:pPr>
        <w:shd w:val="clear" w:color="auto" w:fill="FFFFFF"/>
        <w:spacing w:after="0" w:line="240" w:lineRule="auto"/>
        <w:jc w:val="center"/>
        <w:rPr>
          <w:rFonts w:ascii="Palatino Linotype" w:hAnsi="Palatino Linotype"/>
          <w:b/>
          <w:bCs/>
          <w:caps/>
          <w:sz w:val="24"/>
          <w:szCs w:val="24"/>
        </w:rPr>
      </w:pPr>
      <w:r w:rsidRPr="00815166">
        <w:rPr>
          <w:rFonts w:ascii="Palatino Linotype" w:hAnsi="Palatino Linotype"/>
          <w:b/>
          <w:bCs/>
          <w:caps/>
          <w:sz w:val="24"/>
          <w:szCs w:val="24"/>
        </w:rPr>
        <w:t>TO OPEN</w:t>
      </w:r>
      <w:r w:rsidR="00713622">
        <w:rPr>
          <w:rFonts w:ascii="Palatino Linotype" w:hAnsi="Palatino Linotype"/>
          <w:b/>
          <w:bCs/>
          <w:caps/>
          <w:sz w:val="24"/>
          <w:szCs w:val="24"/>
        </w:rPr>
        <w:t>-</w:t>
      </w:r>
      <w:r w:rsidRPr="00815166">
        <w:rPr>
          <w:rFonts w:ascii="Palatino Linotype" w:hAnsi="Palatino Linotype"/>
          <w:b/>
          <w:bCs/>
          <w:caps/>
          <w:sz w:val="24"/>
          <w:szCs w:val="24"/>
        </w:rPr>
        <w:t xml:space="preserve">HEART SURGERY </w:t>
      </w:r>
      <w:r w:rsidR="00A91741">
        <w:rPr>
          <w:rFonts w:ascii="Palatino Linotype" w:hAnsi="Palatino Linotype"/>
          <w:b/>
          <w:bCs/>
          <w:caps/>
          <w:sz w:val="24"/>
          <w:szCs w:val="24"/>
        </w:rPr>
        <w:t xml:space="preserve">AT ONE YEAR </w:t>
      </w:r>
      <w:r w:rsidR="00AC1035" w:rsidRPr="00815166">
        <w:rPr>
          <w:rFonts w:ascii="Palatino Linotype" w:hAnsi="Palatino Linotype"/>
          <w:b/>
          <w:bCs/>
          <w:caps/>
          <w:sz w:val="24"/>
          <w:szCs w:val="24"/>
        </w:rPr>
        <w:t>iN U.S. Pivotal trial</w:t>
      </w:r>
    </w:p>
    <w:p w:rsidR="00923325" w:rsidRPr="00E718F8" w:rsidRDefault="00923325" w:rsidP="00625791">
      <w:pPr>
        <w:shd w:val="clear" w:color="auto" w:fill="FFFFFF"/>
        <w:spacing w:after="0" w:line="240" w:lineRule="auto"/>
        <w:jc w:val="center"/>
        <w:rPr>
          <w:rFonts w:ascii="Palatino Linotype" w:hAnsi="Palatino Linotype"/>
          <w:b/>
          <w:bCs/>
          <w:caps/>
        </w:rPr>
      </w:pPr>
    </w:p>
    <w:p w:rsidR="00CE0ACE" w:rsidRPr="00D772FF" w:rsidRDefault="00CE0ACE" w:rsidP="00625791">
      <w:pPr>
        <w:pStyle w:val="ListParagraph"/>
        <w:numPr>
          <w:ilvl w:val="0"/>
          <w:numId w:val="8"/>
        </w:numPr>
        <w:shd w:val="clear" w:color="auto" w:fill="FFFFFF"/>
        <w:spacing w:after="0" w:line="240" w:lineRule="auto"/>
        <w:ind w:left="1627" w:hanging="187"/>
        <w:rPr>
          <w:rFonts w:ascii="Palatino Linotype" w:hAnsi="Palatino Linotype"/>
          <w:b/>
          <w:bCs/>
          <w:i/>
          <w:iCs/>
        </w:rPr>
      </w:pPr>
      <w:r w:rsidRPr="00D772FF">
        <w:rPr>
          <w:rFonts w:ascii="Palatino Linotype" w:hAnsi="Palatino Linotype"/>
          <w:b/>
          <w:bCs/>
          <w:i/>
          <w:iCs/>
        </w:rPr>
        <w:t>CoreValve High Risk Study: FDA Determines Expert Panel Not Required</w:t>
      </w:r>
    </w:p>
    <w:p w:rsidR="00E718F8" w:rsidRPr="00CE0ACE" w:rsidRDefault="00923325" w:rsidP="00625791">
      <w:pPr>
        <w:pStyle w:val="ListParagraph"/>
        <w:numPr>
          <w:ilvl w:val="0"/>
          <w:numId w:val="8"/>
        </w:numPr>
        <w:shd w:val="clear" w:color="auto" w:fill="FFFFFF"/>
        <w:spacing w:before="120" w:after="0" w:line="240" w:lineRule="auto"/>
        <w:ind w:left="1627" w:hanging="187"/>
        <w:contextualSpacing w:val="0"/>
        <w:rPr>
          <w:rFonts w:ascii="Palatino Linotype" w:hAnsi="Palatino Linotype"/>
          <w:b/>
          <w:i/>
          <w:iCs/>
        </w:rPr>
      </w:pPr>
      <w:r w:rsidRPr="00CE0ACE">
        <w:rPr>
          <w:rFonts w:ascii="Palatino Linotype" w:hAnsi="Palatino Linotype"/>
          <w:b/>
          <w:i/>
          <w:iCs/>
        </w:rPr>
        <w:t>Low Mortality</w:t>
      </w:r>
      <w:r w:rsidR="00C942A0" w:rsidRPr="00CE0ACE">
        <w:rPr>
          <w:rFonts w:ascii="Palatino Linotype" w:hAnsi="Palatino Linotype"/>
          <w:b/>
          <w:i/>
          <w:iCs/>
        </w:rPr>
        <w:t xml:space="preserve"> Rate</w:t>
      </w:r>
      <w:r w:rsidRPr="00CE0ACE">
        <w:rPr>
          <w:rFonts w:ascii="Palatino Linotype" w:hAnsi="Palatino Linotype"/>
          <w:b/>
          <w:i/>
          <w:iCs/>
        </w:rPr>
        <w:t xml:space="preserve"> </w:t>
      </w:r>
      <w:r w:rsidR="00AC1035" w:rsidRPr="00CE0ACE">
        <w:rPr>
          <w:rFonts w:ascii="Palatino Linotype" w:hAnsi="Palatino Linotype"/>
          <w:b/>
          <w:i/>
          <w:iCs/>
        </w:rPr>
        <w:t>Exceeds</w:t>
      </w:r>
      <w:r w:rsidR="00E718F8" w:rsidRPr="00CE0ACE">
        <w:rPr>
          <w:rFonts w:ascii="Palatino Linotype" w:hAnsi="Palatino Linotype"/>
          <w:b/>
          <w:i/>
          <w:iCs/>
        </w:rPr>
        <w:t xml:space="preserve"> </w:t>
      </w:r>
      <w:r w:rsidR="00F62064" w:rsidRPr="00CE0ACE">
        <w:rPr>
          <w:rFonts w:ascii="Palatino Linotype" w:hAnsi="Palatino Linotype"/>
          <w:b/>
          <w:i/>
          <w:iCs/>
        </w:rPr>
        <w:t xml:space="preserve">Expectations for </w:t>
      </w:r>
      <w:r w:rsidR="00E718F8" w:rsidRPr="00CE0ACE">
        <w:rPr>
          <w:rFonts w:ascii="Palatino Linotype" w:hAnsi="Palatino Linotype"/>
          <w:b/>
          <w:i/>
          <w:iCs/>
        </w:rPr>
        <w:t>Primary Endpoint</w:t>
      </w:r>
    </w:p>
    <w:p w:rsidR="0099332A" w:rsidRPr="00CE0ACE" w:rsidRDefault="00E718F8" w:rsidP="00625791">
      <w:pPr>
        <w:pStyle w:val="ListParagraph"/>
        <w:numPr>
          <w:ilvl w:val="0"/>
          <w:numId w:val="8"/>
        </w:numPr>
        <w:shd w:val="clear" w:color="auto" w:fill="FFFFFF"/>
        <w:spacing w:before="120" w:after="0" w:line="240" w:lineRule="auto"/>
        <w:ind w:left="1627" w:hanging="187"/>
        <w:contextualSpacing w:val="0"/>
        <w:rPr>
          <w:rFonts w:ascii="Palatino Linotype" w:hAnsi="Palatino Linotype"/>
          <w:b/>
          <w:i/>
          <w:iCs/>
        </w:rPr>
      </w:pPr>
      <w:r w:rsidRPr="00CE0ACE">
        <w:rPr>
          <w:rFonts w:ascii="Palatino Linotype" w:hAnsi="Palatino Linotype"/>
          <w:b/>
          <w:i/>
          <w:iCs/>
        </w:rPr>
        <w:t xml:space="preserve">CoreValve System is </w:t>
      </w:r>
      <w:r w:rsidR="00B27B08" w:rsidRPr="00CE0ACE">
        <w:rPr>
          <w:rFonts w:ascii="Palatino Linotype" w:hAnsi="Palatino Linotype"/>
          <w:b/>
          <w:i/>
          <w:iCs/>
        </w:rPr>
        <w:t xml:space="preserve">First </w:t>
      </w:r>
      <w:r w:rsidR="001D3312" w:rsidRPr="00CE0ACE">
        <w:rPr>
          <w:rFonts w:ascii="Palatino Linotype" w:hAnsi="Palatino Linotype"/>
          <w:b/>
          <w:i/>
          <w:iCs/>
        </w:rPr>
        <w:t xml:space="preserve">and Only Transcatheter </w:t>
      </w:r>
      <w:r w:rsidR="00B27B08" w:rsidRPr="00CE0ACE">
        <w:rPr>
          <w:rFonts w:ascii="Palatino Linotype" w:hAnsi="Palatino Linotype"/>
          <w:b/>
          <w:i/>
          <w:iCs/>
        </w:rPr>
        <w:t xml:space="preserve">Aortic Valve to </w:t>
      </w:r>
      <w:r w:rsidR="006E7032" w:rsidRPr="00CE0ACE">
        <w:rPr>
          <w:rFonts w:ascii="Palatino Linotype" w:hAnsi="Palatino Linotype"/>
          <w:b/>
          <w:i/>
          <w:iCs/>
        </w:rPr>
        <w:t xml:space="preserve">Show Results </w:t>
      </w:r>
      <w:r w:rsidR="00B27B08" w:rsidRPr="00CE0ACE">
        <w:rPr>
          <w:rFonts w:ascii="Palatino Linotype" w:hAnsi="Palatino Linotype"/>
          <w:b/>
          <w:i/>
          <w:iCs/>
        </w:rPr>
        <w:t xml:space="preserve"> Superior to Surgical Aortic Valve Replacement</w:t>
      </w:r>
    </w:p>
    <w:p w:rsidR="0099332A" w:rsidRPr="00E718F8" w:rsidRDefault="00BD18F2" w:rsidP="00625791">
      <w:pPr>
        <w:tabs>
          <w:tab w:val="left" w:pos="6847"/>
        </w:tabs>
        <w:spacing w:after="0" w:line="240" w:lineRule="auto"/>
        <w:jc w:val="both"/>
        <w:rPr>
          <w:rFonts w:ascii="Palatino Linotype" w:eastAsia="Calibri" w:hAnsi="Palatino Linotype" w:cs="Times New Roman"/>
          <w:bCs/>
          <w:color w:val="000000"/>
        </w:rPr>
      </w:pPr>
      <w:r>
        <w:rPr>
          <w:rFonts w:ascii="Palatino Linotype" w:eastAsia="Calibri" w:hAnsi="Palatino Linotype" w:cs="Times New Roman"/>
          <w:bCs/>
          <w:color w:val="000000"/>
        </w:rPr>
        <w:tab/>
      </w:r>
    </w:p>
    <w:p w:rsidR="002931F5" w:rsidRDefault="00BD18F2" w:rsidP="00265FC2">
      <w:pPr>
        <w:spacing w:after="0" w:line="360" w:lineRule="auto"/>
        <w:rPr>
          <w:rFonts w:ascii="Palatino Linotype" w:hAnsi="Palatino Linotype" w:cstheme="minorHAnsi"/>
        </w:rPr>
      </w:pPr>
      <w:r w:rsidRPr="001557D9">
        <w:rPr>
          <w:rFonts w:ascii="Palatino Linotype" w:eastAsia="Calibri" w:hAnsi="Palatino Linotype" w:cs="Times New Roman"/>
          <w:b/>
          <w:bCs/>
          <w:color w:val="000000"/>
        </w:rPr>
        <w:t>MINNEAPOLIS</w:t>
      </w:r>
      <w:r w:rsidR="00713622">
        <w:rPr>
          <w:rFonts w:ascii="Palatino Linotype" w:eastAsia="Calibri" w:hAnsi="Palatino Linotype" w:cs="Times New Roman"/>
          <w:b/>
          <w:bCs/>
          <w:color w:val="000000"/>
        </w:rPr>
        <w:t xml:space="preserve"> and WASHINGTON</w:t>
      </w:r>
      <w:r w:rsidRPr="001557D9">
        <w:rPr>
          <w:rFonts w:ascii="Palatino Linotype" w:eastAsia="Times New Roman" w:hAnsi="Palatino Linotype"/>
          <w:bCs/>
        </w:rPr>
        <w:t xml:space="preserve"> – </w:t>
      </w:r>
      <w:r w:rsidR="00713622">
        <w:rPr>
          <w:rFonts w:ascii="Palatino Linotype" w:eastAsia="Times New Roman" w:hAnsi="Palatino Linotype"/>
          <w:b/>
          <w:bCs/>
        </w:rPr>
        <w:t>March</w:t>
      </w:r>
      <w:r w:rsidRPr="001557D9">
        <w:rPr>
          <w:rFonts w:ascii="Palatino Linotype" w:eastAsia="Times New Roman" w:hAnsi="Palatino Linotype"/>
          <w:b/>
          <w:bCs/>
        </w:rPr>
        <w:t xml:space="preserve"> 29, 2014</w:t>
      </w:r>
      <w:r w:rsidRPr="001557D9">
        <w:rPr>
          <w:rFonts w:ascii="Palatino Linotype" w:eastAsia="Times New Roman" w:hAnsi="Palatino Linotype"/>
          <w:bCs/>
        </w:rPr>
        <w:t xml:space="preserve"> – Medtronic, </w:t>
      </w:r>
      <w:r w:rsidRPr="001557D9">
        <w:rPr>
          <w:rFonts w:ascii="Palatino Linotype" w:hAnsi="Palatino Linotype"/>
          <w:color w:val="000000"/>
        </w:rPr>
        <w:t xml:space="preserve">Inc. (NYSE: MDT) today announced </w:t>
      </w:r>
      <w:r>
        <w:rPr>
          <w:rFonts w:ascii="Palatino Linotype" w:hAnsi="Palatino Linotype"/>
          <w:color w:val="000000"/>
        </w:rPr>
        <w:t>that</w:t>
      </w:r>
      <w:r w:rsidRPr="001557D9">
        <w:rPr>
          <w:rFonts w:ascii="Palatino Linotype" w:hAnsi="Palatino Linotype"/>
          <w:color w:val="000000"/>
        </w:rPr>
        <w:t xml:space="preserve"> the</w:t>
      </w:r>
      <w:r w:rsidRPr="00E718F8">
        <w:rPr>
          <w:rFonts w:ascii="Palatino Linotype" w:hAnsi="Palatino Linotype"/>
        </w:rPr>
        <w:t xml:space="preserve"> </w:t>
      </w:r>
      <w:r w:rsidRPr="00E718F8">
        <w:rPr>
          <w:rFonts w:ascii="Palatino Linotype" w:hAnsi="Palatino Linotype"/>
          <w:color w:val="000000"/>
        </w:rPr>
        <w:t>CoreValve</w:t>
      </w:r>
      <w:r w:rsidRPr="00E718F8">
        <w:rPr>
          <w:rFonts w:ascii="Palatino Linotype" w:hAnsi="Palatino Linotype"/>
          <w:color w:val="000000"/>
          <w:vertAlign w:val="superscript"/>
        </w:rPr>
        <w:t>®</w:t>
      </w:r>
      <w:r w:rsidRPr="00E718F8">
        <w:rPr>
          <w:rFonts w:ascii="Palatino Linotype" w:hAnsi="Palatino Linotype"/>
          <w:color w:val="000000"/>
        </w:rPr>
        <w:t xml:space="preserve"> System </w:t>
      </w:r>
      <w:r w:rsidR="006E7032" w:rsidRPr="002931F5">
        <w:rPr>
          <w:rFonts w:ascii="Palatino Linotype" w:hAnsi="Palatino Linotype"/>
          <w:color w:val="000000"/>
        </w:rPr>
        <w:t>showed results</w:t>
      </w:r>
      <w:r w:rsidRPr="002931F5">
        <w:rPr>
          <w:rFonts w:ascii="Palatino Linotype" w:hAnsi="Palatino Linotype"/>
          <w:color w:val="000000"/>
        </w:rPr>
        <w:t xml:space="preserve"> superior to</w:t>
      </w:r>
      <w:r w:rsidRPr="00E718F8">
        <w:rPr>
          <w:rFonts w:ascii="Palatino Linotype" w:hAnsi="Palatino Linotype"/>
          <w:color w:val="000000"/>
        </w:rPr>
        <w:t xml:space="preserve"> surgical aortic valve replacement (SAVR)</w:t>
      </w:r>
      <w:r>
        <w:rPr>
          <w:rFonts w:ascii="Palatino Linotype" w:hAnsi="Palatino Linotype"/>
          <w:color w:val="000000"/>
        </w:rPr>
        <w:t xml:space="preserve"> </w:t>
      </w:r>
      <w:r w:rsidR="00B32CE3">
        <w:rPr>
          <w:rFonts w:ascii="Palatino Linotype" w:hAnsi="Palatino Linotype"/>
          <w:color w:val="000000"/>
        </w:rPr>
        <w:t xml:space="preserve">at </w:t>
      </w:r>
      <w:r w:rsidR="00B32CE3" w:rsidRPr="002931F5">
        <w:rPr>
          <w:rFonts w:ascii="Palatino Linotype" w:hAnsi="Palatino Linotype"/>
          <w:color w:val="000000"/>
        </w:rPr>
        <w:t>one year</w:t>
      </w:r>
      <w:r w:rsidR="00B32CE3">
        <w:rPr>
          <w:rFonts w:ascii="Palatino Linotype" w:hAnsi="Palatino Linotype"/>
          <w:color w:val="000000"/>
        </w:rPr>
        <w:t xml:space="preserve"> </w:t>
      </w:r>
      <w:r>
        <w:rPr>
          <w:rFonts w:ascii="Palatino Linotype" w:hAnsi="Palatino Linotype"/>
          <w:color w:val="000000"/>
        </w:rPr>
        <w:t>in the</w:t>
      </w:r>
      <w:r w:rsidRPr="001557D9">
        <w:rPr>
          <w:rFonts w:ascii="Palatino Linotype" w:hAnsi="Palatino Linotype"/>
          <w:color w:val="000000"/>
        </w:rPr>
        <w:t xml:space="preserve"> High Risk Study of </w:t>
      </w:r>
      <w:r>
        <w:rPr>
          <w:rFonts w:ascii="Palatino Linotype" w:hAnsi="Palatino Linotype"/>
          <w:color w:val="000000"/>
        </w:rPr>
        <w:t>its</w:t>
      </w:r>
      <w:r w:rsidRPr="001557D9">
        <w:rPr>
          <w:rFonts w:ascii="Palatino Linotype" w:hAnsi="Palatino Linotype"/>
          <w:color w:val="000000"/>
        </w:rPr>
        <w:t xml:space="preserve"> CoreValve U.S. Pivotal Trial</w:t>
      </w:r>
      <w:r>
        <w:rPr>
          <w:rFonts w:ascii="Palatino Linotype" w:hAnsi="Palatino Linotype"/>
          <w:color w:val="000000"/>
        </w:rPr>
        <w:t>, which evaluated</w:t>
      </w:r>
      <w:r w:rsidRPr="00E718F8">
        <w:rPr>
          <w:rFonts w:ascii="Palatino Linotype" w:hAnsi="Palatino Linotype"/>
          <w:color w:val="000000"/>
        </w:rPr>
        <w:t xml:space="preserve"> </w:t>
      </w:r>
      <w:r w:rsidRPr="001557D9">
        <w:rPr>
          <w:rFonts w:ascii="Palatino Linotype" w:hAnsi="Palatino Linotype"/>
          <w:color w:val="000000"/>
        </w:rPr>
        <w:t xml:space="preserve">patients with </w:t>
      </w:r>
      <w:r w:rsidR="00742666">
        <w:rPr>
          <w:rFonts w:ascii="Palatino Linotype" w:hAnsi="Palatino Linotype"/>
          <w:color w:val="000000"/>
        </w:rPr>
        <w:t xml:space="preserve">severe </w:t>
      </w:r>
      <w:r w:rsidRPr="001557D9">
        <w:rPr>
          <w:rFonts w:ascii="Palatino Linotype" w:hAnsi="Palatino Linotype"/>
          <w:color w:val="000000"/>
        </w:rPr>
        <w:t xml:space="preserve">aortic stenosis who are considered </w:t>
      </w:r>
      <w:r w:rsidRPr="002931F5">
        <w:rPr>
          <w:rFonts w:ascii="Palatino Linotype" w:hAnsi="Palatino Linotype"/>
          <w:color w:val="000000"/>
        </w:rPr>
        <w:t xml:space="preserve">high </w:t>
      </w:r>
      <w:r w:rsidRPr="001557D9">
        <w:rPr>
          <w:rFonts w:ascii="Palatino Linotype" w:hAnsi="Palatino Linotype"/>
          <w:color w:val="000000"/>
        </w:rPr>
        <w:t xml:space="preserve">risk for surgery. </w:t>
      </w:r>
      <w:r w:rsidR="005D1310">
        <w:rPr>
          <w:rFonts w:ascii="Palatino Linotype" w:hAnsi="Palatino Linotype"/>
          <w:color w:val="000000"/>
        </w:rPr>
        <w:t>The data were p</w:t>
      </w:r>
      <w:r w:rsidR="00DB4576" w:rsidRPr="001557D9">
        <w:rPr>
          <w:rFonts w:ascii="Palatino Linotype" w:hAnsi="Palatino Linotype" w:cstheme="minorHAnsi"/>
        </w:rPr>
        <w:t xml:space="preserve">resented at a late-breaking clinical trial session </w:t>
      </w:r>
      <w:r w:rsidR="00C942A0" w:rsidRPr="001557D9">
        <w:rPr>
          <w:rFonts w:ascii="Palatino Linotype" w:hAnsi="Palatino Linotype" w:cstheme="minorHAnsi"/>
        </w:rPr>
        <w:t>at</w:t>
      </w:r>
      <w:r w:rsidR="00DB4576" w:rsidRPr="001557D9">
        <w:rPr>
          <w:rFonts w:ascii="Palatino Linotype" w:hAnsi="Palatino Linotype" w:cstheme="minorHAnsi"/>
        </w:rPr>
        <w:t xml:space="preserve"> the</w:t>
      </w:r>
      <w:r w:rsidR="00C942A0" w:rsidRPr="001557D9">
        <w:rPr>
          <w:rFonts w:ascii="Palatino Linotype" w:hAnsi="Palatino Linotype" w:cstheme="minorHAnsi"/>
        </w:rPr>
        <w:t xml:space="preserve"> </w:t>
      </w:r>
      <w:r w:rsidR="00C942A0" w:rsidRPr="001557D9">
        <w:rPr>
          <w:rFonts w:ascii="Palatino Linotype" w:hAnsi="Palatino Linotype"/>
        </w:rPr>
        <w:t>63rd Annual Scientific Session of the</w:t>
      </w:r>
      <w:r w:rsidR="00DB4576" w:rsidRPr="00BD18F2">
        <w:rPr>
          <w:rFonts w:ascii="Palatino Linotype" w:hAnsi="Palatino Linotype" w:cstheme="minorHAnsi"/>
        </w:rPr>
        <w:t xml:space="preserve"> American College of Cardiology (ACC)</w:t>
      </w:r>
      <w:r w:rsidR="00097F13" w:rsidRPr="00BD18F2">
        <w:rPr>
          <w:rFonts w:ascii="Palatino Linotype" w:hAnsi="Palatino Linotype" w:cstheme="minorHAnsi"/>
        </w:rPr>
        <w:t xml:space="preserve"> and simultaneously published in </w:t>
      </w:r>
      <w:r w:rsidR="00097F13" w:rsidRPr="00BD18F2">
        <w:rPr>
          <w:rFonts w:ascii="Palatino Linotype" w:hAnsi="Palatino Linotype" w:cstheme="minorHAnsi"/>
          <w:i/>
        </w:rPr>
        <w:t xml:space="preserve">The New England Journal of </w:t>
      </w:r>
      <w:r w:rsidR="00097F13" w:rsidRPr="00827E49">
        <w:rPr>
          <w:rFonts w:ascii="Palatino Linotype" w:hAnsi="Palatino Linotype" w:cstheme="minorHAnsi"/>
          <w:i/>
        </w:rPr>
        <w:t>Medicine</w:t>
      </w:r>
      <w:r w:rsidR="00DB4576" w:rsidRPr="00827E49">
        <w:rPr>
          <w:rFonts w:ascii="Palatino Linotype" w:hAnsi="Palatino Linotype" w:cstheme="minorHAnsi"/>
        </w:rPr>
        <w:t>.</w:t>
      </w:r>
      <w:r w:rsidR="006E7032">
        <w:rPr>
          <w:rFonts w:ascii="Palatino Linotype" w:hAnsi="Palatino Linotype" w:cstheme="minorHAnsi"/>
        </w:rPr>
        <w:t xml:space="preserve"> </w:t>
      </w:r>
    </w:p>
    <w:p w:rsidR="002931F5" w:rsidRDefault="002931F5" w:rsidP="00265FC2">
      <w:pPr>
        <w:spacing w:after="0" w:line="360" w:lineRule="auto"/>
        <w:rPr>
          <w:rFonts w:ascii="Palatino Linotype" w:hAnsi="Palatino Linotype" w:cstheme="minorHAnsi"/>
        </w:rPr>
      </w:pPr>
    </w:p>
    <w:p w:rsidR="00DB4576" w:rsidRPr="00BD18F2" w:rsidRDefault="006E7032" w:rsidP="00265FC2">
      <w:pPr>
        <w:spacing w:after="0" w:line="360" w:lineRule="auto"/>
        <w:rPr>
          <w:rFonts w:ascii="Palatino Linotype" w:hAnsi="Palatino Linotype"/>
          <w:color w:val="000000"/>
        </w:rPr>
      </w:pPr>
      <w:r>
        <w:rPr>
          <w:rFonts w:ascii="Palatino Linotype" w:hAnsi="Palatino Linotype" w:cstheme="minorHAnsi"/>
        </w:rPr>
        <w:t>The CoreValve System was approved by the U.S. Food and Drug Administration (FDA) in January 2014 for patients consid</w:t>
      </w:r>
      <w:r w:rsidR="0071056B">
        <w:rPr>
          <w:rFonts w:ascii="Palatino Linotype" w:hAnsi="Palatino Linotype" w:cstheme="minorHAnsi"/>
        </w:rPr>
        <w:t xml:space="preserve">ered extreme risk for surgery; </w:t>
      </w:r>
      <w:r>
        <w:rPr>
          <w:rFonts w:ascii="Palatino Linotype" w:hAnsi="Palatino Linotype" w:cstheme="minorHAnsi"/>
        </w:rPr>
        <w:t>the device is not currently approved in the U.S. for use with patients at high risk.</w:t>
      </w:r>
    </w:p>
    <w:p w:rsidR="00DB4576" w:rsidRPr="00BD18F2" w:rsidRDefault="00DB4576" w:rsidP="00DB4576">
      <w:pPr>
        <w:spacing w:after="0" w:line="240" w:lineRule="auto"/>
        <w:rPr>
          <w:rFonts w:ascii="Palatino Linotype" w:hAnsi="Palatino Linotype"/>
          <w:color w:val="000000"/>
        </w:rPr>
      </w:pPr>
    </w:p>
    <w:p w:rsidR="00DB4576" w:rsidRPr="00625791" w:rsidRDefault="00595AFA" w:rsidP="001F6E75">
      <w:pPr>
        <w:spacing w:after="0" w:line="360" w:lineRule="auto"/>
        <w:rPr>
          <w:rFonts w:ascii="Palatino Linotype" w:hAnsi="Palatino Linotype" w:cstheme="minorHAnsi"/>
        </w:rPr>
      </w:pPr>
      <w:r w:rsidRPr="00BD18F2">
        <w:rPr>
          <w:rFonts w:ascii="Palatino Linotype" w:hAnsi="Palatino Linotype" w:cstheme="minorHAnsi"/>
        </w:rPr>
        <w:t xml:space="preserve">The </w:t>
      </w:r>
      <w:r w:rsidR="00742666" w:rsidRPr="00BD18F2">
        <w:rPr>
          <w:rFonts w:ascii="Palatino Linotype" w:hAnsi="Palatino Linotype" w:cstheme="minorHAnsi"/>
        </w:rPr>
        <w:t xml:space="preserve">head-to-head </w:t>
      </w:r>
      <w:r w:rsidR="00742666">
        <w:rPr>
          <w:rFonts w:ascii="Palatino Linotype" w:hAnsi="Palatino Linotype" w:cstheme="minorHAnsi"/>
        </w:rPr>
        <w:t xml:space="preserve">study met its </w:t>
      </w:r>
      <w:r w:rsidR="00DB4576" w:rsidRPr="00BD18F2">
        <w:rPr>
          <w:rFonts w:ascii="Palatino Linotype" w:hAnsi="Palatino Linotype" w:cstheme="minorHAnsi"/>
        </w:rPr>
        <w:t xml:space="preserve">primary endpoint with a low </w:t>
      </w:r>
      <w:r w:rsidR="00C407F5">
        <w:rPr>
          <w:rFonts w:ascii="Palatino Linotype" w:hAnsi="Palatino Linotype" w:cstheme="minorHAnsi"/>
        </w:rPr>
        <w:t xml:space="preserve">one </w:t>
      </w:r>
      <w:r w:rsidR="0071056B">
        <w:rPr>
          <w:rFonts w:ascii="Palatino Linotype" w:hAnsi="Palatino Linotype" w:cstheme="minorHAnsi"/>
        </w:rPr>
        <w:t xml:space="preserve">year, </w:t>
      </w:r>
      <w:r w:rsidR="00DB4576" w:rsidRPr="00BD18F2">
        <w:rPr>
          <w:rFonts w:ascii="Palatino Linotype" w:hAnsi="Palatino Linotype" w:cstheme="minorHAnsi"/>
        </w:rPr>
        <w:t xml:space="preserve">all-cause mortality rate of only 14.2 percent in patients receiving </w:t>
      </w:r>
      <w:r w:rsidRPr="00BD18F2">
        <w:rPr>
          <w:rFonts w:ascii="Palatino Linotype" w:hAnsi="Palatino Linotype" w:cstheme="minorHAnsi"/>
        </w:rPr>
        <w:t xml:space="preserve">the </w:t>
      </w:r>
      <w:r w:rsidR="00DB4576" w:rsidRPr="00BD18F2">
        <w:rPr>
          <w:rFonts w:ascii="Palatino Linotype" w:hAnsi="Palatino Linotype" w:cstheme="minorHAnsi"/>
        </w:rPr>
        <w:t>CoreValve</w:t>
      </w:r>
      <w:r w:rsidRPr="00BD18F2">
        <w:rPr>
          <w:rFonts w:ascii="Palatino Linotype" w:hAnsi="Palatino Linotype" w:cstheme="minorHAnsi"/>
        </w:rPr>
        <w:t xml:space="preserve"> System</w:t>
      </w:r>
      <w:r w:rsidR="00DB4576" w:rsidRPr="00BD18F2">
        <w:rPr>
          <w:rFonts w:ascii="Palatino Linotype" w:hAnsi="Palatino Linotype" w:cstheme="minorHAnsi"/>
        </w:rPr>
        <w:t xml:space="preserve">, compared to 19.1 percent in patients receiving SAVR at one year (non-inferiority </w:t>
      </w:r>
      <w:r w:rsidR="00DB4576" w:rsidRPr="00BD18F2">
        <w:rPr>
          <w:rFonts w:ascii="Palatino Linotype" w:hAnsi="Palatino Linotype" w:cstheme="minorHAnsi"/>
          <w:i/>
        </w:rPr>
        <w:t>p</w:t>
      </w:r>
      <w:r w:rsidR="00DB4576" w:rsidRPr="00BD18F2">
        <w:rPr>
          <w:rFonts w:ascii="Palatino Linotype" w:hAnsi="Palatino Linotype" w:cstheme="minorHAnsi"/>
        </w:rPr>
        <w:t xml:space="preserve">-value&lt;0.001; superiority </w:t>
      </w:r>
      <w:r w:rsidR="00DB4576" w:rsidRPr="00BD18F2">
        <w:rPr>
          <w:rFonts w:ascii="Palatino Linotype" w:hAnsi="Palatino Linotype" w:cstheme="minorHAnsi"/>
          <w:i/>
        </w:rPr>
        <w:t>p</w:t>
      </w:r>
      <w:r w:rsidR="00DB4576" w:rsidRPr="00BD18F2">
        <w:rPr>
          <w:rFonts w:ascii="Palatino Linotype" w:hAnsi="Palatino Linotype" w:cstheme="minorHAnsi"/>
        </w:rPr>
        <w:t>-value</w:t>
      </w:r>
      <w:r w:rsidR="00C942A0" w:rsidRPr="00BD18F2">
        <w:rPr>
          <w:rFonts w:ascii="Palatino Linotype" w:hAnsi="Palatino Linotype" w:cstheme="minorHAnsi"/>
        </w:rPr>
        <w:t>=</w:t>
      </w:r>
      <w:r w:rsidR="00DB4576" w:rsidRPr="00BD18F2">
        <w:rPr>
          <w:rFonts w:ascii="Palatino Linotype" w:hAnsi="Palatino Linotype" w:cstheme="minorHAnsi"/>
        </w:rPr>
        <w:t>0.04</w:t>
      </w:r>
      <w:r w:rsidR="003115D1">
        <w:rPr>
          <w:rFonts w:ascii="Palatino Linotype" w:hAnsi="Palatino Linotype" w:cstheme="minorHAnsi"/>
        </w:rPr>
        <w:t xml:space="preserve">). </w:t>
      </w:r>
      <w:r w:rsidR="005D1310" w:rsidRPr="00827E49">
        <w:rPr>
          <w:rFonts w:ascii="Palatino Linotype" w:hAnsi="Palatino Linotype" w:cstheme="minorHAnsi"/>
        </w:rPr>
        <w:t xml:space="preserve">The CoreValve High </w:t>
      </w:r>
      <w:r w:rsidR="005D1310" w:rsidRPr="001F6E75">
        <w:rPr>
          <w:rFonts w:ascii="Palatino Linotype" w:hAnsi="Palatino Linotype" w:cstheme="minorHAnsi"/>
        </w:rPr>
        <w:t xml:space="preserve">Risk Study is the first prospective, randomized study to show any transcatheter aortic valve to be </w:t>
      </w:r>
      <w:r w:rsidR="005D1310" w:rsidRPr="00625791">
        <w:rPr>
          <w:rFonts w:ascii="Palatino Linotype" w:hAnsi="Palatino Linotype" w:cstheme="minorHAnsi"/>
        </w:rPr>
        <w:t>superior to surgery.</w:t>
      </w:r>
    </w:p>
    <w:p w:rsidR="00865879" w:rsidRPr="00625791" w:rsidRDefault="00865879" w:rsidP="001F6E75">
      <w:pPr>
        <w:pStyle w:val="NormalWeb"/>
        <w:spacing w:before="0" w:beforeAutospacing="0" w:after="0" w:afterAutospacing="0" w:line="360" w:lineRule="auto"/>
        <w:rPr>
          <w:rFonts w:ascii="Palatino Linotype" w:hAnsi="Palatino Linotype"/>
        </w:rPr>
      </w:pPr>
    </w:p>
    <w:p w:rsidR="001F6E75" w:rsidRPr="00625791" w:rsidRDefault="001F6E75" w:rsidP="001F6E75">
      <w:pPr>
        <w:pStyle w:val="PlainText"/>
        <w:spacing w:line="360" w:lineRule="auto"/>
        <w:rPr>
          <w:rFonts w:ascii="Palatino Linotype" w:hAnsi="Palatino Linotype"/>
        </w:rPr>
      </w:pPr>
      <w:r w:rsidRPr="00625791">
        <w:rPr>
          <w:rFonts w:ascii="Palatino Linotype" w:hAnsi="Palatino Linotype"/>
        </w:rPr>
        <w:t>“The extremely low mortality rates in both arms of the trial confirm that our heart teams were outstanding, particularly considering they had no prior experience with transcatheter aortic valve therapy, said David H. Adams, M.D., chair of the Department of Cardiothoracic Surgery at the Mount Sinai Hospital, New York City, national co-principal investigator of the CoreValve U. S. Pivotal Trial and presenter of the data at ACC. “Our key finding that TAVR with CoreValve was associated with a significantly higher rate of survival at one year in patients at increased risk has significant and broad implications.”</w:t>
      </w:r>
    </w:p>
    <w:p w:rsidR="00462A33" w:rsidRPr="00625791" w:rsidRDefault="00462A33" w:rsidP="001F6E75">
      <w:pPr>
        <w:spacing w:after="0" w:line="360" w:lineRule="auto"/>
        <w:rPr>
          <w:rFonts w:ascii="Palatino Linotype" w:hAnsi="Palatino Linotype" w:cs="Arial"/>
          <w:highlight w:val="yellow"/>
        </w:rPr>
      </w:pPr>
    </w:p>
    <w:p w:rsidR="00FD5AA5" w:rsidRPr="001557D9" w:rsidRDefault="00107D11" w:rsidP="001F6E75">
      <w:pPr>
        <w:spacing w:after="0" w:line="360" w:lineRule="auto"/>
        <w:rPr>
          <w:rFonts w:ascii="Palatino Linotype" w:hAnsi="Palatino Linotype" w:cs="Arial"/>
          <w:color w:val="000000"/>
        </w:rPr>
      </w:pPr>
      <w:r w:rsidRPr="00625791">
        <w:rPr>
          <w:rFonts w:ascii="Palatino Linotype" w:hAnsi="Palatino Linotype" w:cs="Arial"/>
        </w:rPr>
        <w:t xml:space="preserve">Stroke rates in </w:t>
      </w:r>
      <w:r w:rsidRPr="001F6E75">
        <w:rPr>
          <w:rFonts w:ascii="Palatino Linotype" w:hAnsi="Palatino Linotype" w:cs="Arial"/>
          <w:color w:val="000000"/>
        </w:rPr>
        <w:t>patients</w:t>
      </w:r>
      <w:r w:rsidRPr="002931F5">
        <w:rPr>
          <w:rFonts w:ascii="Palatino Linotype" w:hAnsi="Palatino Linotype" w:cs="Arial"/>
          <w:color w:val="000000"/>
        </w:rPr>
        <w:t xml:space="preserve"> with the CoreValve System were low and not statistically different than in SAVR patients; this finding is especially important because stroke is o</w:t>
      </w:r>
      <w:r w:rsidR="005463DF" w:rsidRPr="002931F5">
        <w:rPr>
          <w:rFonts w:ascii="Palatino Linotype" w:hAnsi="Palatino Linotype" w:cs="Arial"/>
          <w:color w:val="000000"/>
        </w:rPr>
        <w:t>ne of the complications most concerning to physicians and patients because it increases mortality and affects quality of life</w:t>
      </w:r>
      <w:r w:rsidRPr="002931F5">
        <w:rPr>
          <w:rFonts w:ascii="Palatino Linotype" w:hAnsi="Palatino Linotype" w:cs="Arial"/>
          <w:color w:val="000000"/>
        </w:rPr>
        <w:t xml:space="preserve">. </w:t>
      </w:r>
      <w:r w:rsidR="002931F5">
        <w:rPr>
          <w:rFonts w:ascii="Palatino Linotype" w:hAnsi="Palatino Linotype" w:cs="Arial"/>
          <w:color w:val="000000"/>
        </w:rPr>
        <w:t>As determined by detailed neurological assessments before and after each procedure, m</w:t>
      </w:r>
      <w:r w:rsidR="00557990" w:rsidRPr="002931F5">
        <w:rPr>
          <w:rFonts w:ascii="Palatino Linotype" w:hAnsi="Palatino Linotype" w:cs="Arial"/>
          <w:color w:val="000000"/>
        </w:rPr>
        <w:t xml:space="preserve">ajor stroke rates </w:t>
      </w:r>
      <w:r w:rsidRPr="002931F5">
        <w:rPr>
          <w:rFonts w:ascii="Palatino Linotype" w:hAnsi="Palatino Linotype" w:cs="Arial"/>
          <w:color w:val="000000"/>
        </w:rPr>
        <w:t xml:space="preserve">in patients who received the CoreValve </w:t>
      </w:r>
      <w:r w:rsidR="00121AB3" w:rsidRPr="002931F5">
        <w:rPr>
          <w:rFonts w:ascii="Palatino Linotype" w:hAnsi="Palatino Linotype" w:cs="Arial"/>
          <w:color w:val="000000"/>
        </w:rPr>
        <w:t xml:space="preserve">System </w:t>
      </w:r>
      <w:r w:rsidRPr="002931F5">
        <w:rPr>
          <w:rFonts w:ascii="Palatino Linotype" w:hAnsi="Palatino Linotype" w:cs="Arial"/>
          <w:color w:val="000000"/>
        </w:rPr>
        <w:t xml:space="preserve">were 3.9 percent </w:t>
      </w:r>
      <w:r w:rsidR="00557990" w:rsidRPr="002931F5">
        <w:rPr>
          <w:rFonts w:ascii="Palatino Linotype" w:hAnsi="Palatino Linotype" w:cs="Arial"/>
          <w:color w:val="000000"/>
        </w:rPr>
        <w:t xml:space="preserve">at 30 days and </w:t>
      </w:r>
      <w:r w:rsidRPr="002931F5">
        <w:rPr>
          <w:rFonts w:ascii="Palatino Linotype" w:hAnsi="Palatino Linotype" w:cs="Arial"/>
          <w:color w:val="000000"/>
        </w:rPr>
        <w:t xml:space="preserve">5.8 percent at </w:t>
      </w:r>
      <w:r w:rsidR="00557990" w:rsidRPr="002931F5">
        <w:rPr>
          <w:rFonts w:ascii="Palatino Linotype" w:hAnsi="Palatino Linotype" w:cs="Arial"/>
          <w:color w:val="000000"/>
        </w:rPr>
        <w:t>one year</w:t>
      </w:r>
      <w:r w:rsidRPr="002931F5">
        <w:rPr>
          <w:rFonts w:ascii="Palatino Linotype" w:hAnsi="Palatino Linotype" w:cs="Arial"/>
          <w:color w:val="000000"/>
        </w:rPr>
        <w:t>, while those same rates for patients with surgery were 3.1 percent (30 days) and 7.0 percent (one year).</w:t>
      </w:r>
      <w:r>
        <w:rPr>
          <w:rFonts w:ascii="Palatino Linotype" w:hAnsi="Palatino Linotype" w:cs="Arial"/>
          <w:color w:val="000000"/>
        </w:rPr>
        <w:t xml:space="preserve"> </w:t>
      </w:r>
      <w:r w:rsidR="00FD5AA5" w:rsidRPr="00107D11">
        <w:rPr>
          <w:rFonts w:ascii="Palatino Linotype" w:hAnsi="Palatino Linotype" w:cs="Arial"/>
          <w:color w:val="000000"/>
        </w:rPr>
        <w:t xml:space="preserve"> </w:t>
      </w:r>
    </w:p>
    <w:p w:rsidR="002931F5" w:rsidRPr="00BD18F2" w:rsidRDefault="002931F5" w:rsidP="00265FC2">
      <w:pPr>
        <w:spacing w:after="0" w:line="240" w:lineRule="auto"/>
        <w:rPr>
          <w:rFonts w:ascii="Palatino Linotype" w:hAnsi="Palatino Linotype" w:cs="Arial"/>
          <w:color w:val="000000"/>
        </w:rPr>
      </w:pPr>
    </w:p>
    <w:p w:rsidR="00770763" w:rsidRPr="00625791" w:rsidRDefault="00770763" w:rsidP="00770763">
      <w:pPr>
        <w:spacing w:after="0" w:line="360" w:lineRule="auto"/>
        <w:rPr>
          <w:rFonts w:ascii="Palatino Linotype" w:hAnsi="Palatino Linotype" w:cs="Arial"/>
        </w:rPr>
      </w:pPr>
      <w:r>
        <w:rPr>
          <w:rFonts w:ascii="Palatino Linotype" w:hAnsi="Palatino Linotype" w:cs="Arial"/>
        </w:rPr>
        <w:t>P</w:t>
      </w:r>
      <w:r w:rsidRPr="00BD18F2">
        <w:rPr>
          <w:rFonts w:ascii="Palatino Linotype" w:hAnsi="Palatino Linotype" w:cs="Arial"/>
        </w:rPr>
        <w:t>atients also saw significant improvements in their quality of life (QoL)</w:t>
      </w:r>
      <w:r>
        <w:rPr>
          <w:rFonts w:ascii="Palatino Linotype" w:hAnsi="Palatino Linotype" w:cs="Arial"/>
        </w:rPr>
        <w:t>. QoL scores improved 19.0 points for CoreValve patients and 3.7 points for surgical patients at 30 days (</w:t>
      </w:r>
      <w:r w:rsidRPr="002B25FD">
        <w:rPr>
          <w:rFonts w:ascii="Palatino Linotype" w:hAnsi="Palatino Linotype" w:cs="Arial"/>
          <w:i/>
        </w:rPr>
        <w:t>p</w:t>
      </w:r>
      <w:r>
        <w:rPr>
          <w:rFonts w:ascii="Palatino Linotype" w:hAnsi="Palatino Linotype" w:cs="Arial"/>
        </w:rPr>
        <w:t>=&lt;0.0001); at one year both patient groups improved significantly with CoreValve patients improving 23.2 points and surgical patients improving 21.9 points (</w:t>
      </w:r>
      <w:r w:rsidRPr="00BD18F2">
        <w:rPr>
          <w:rFonts w:ascii="Palatino Linotype" w:hAnsi="Palatino Linotype" w:cs="Arial"/>
        </w:rPr>
        <w:t xml:space="preserve">as measured </w:t>
      </w:r>
      <w:r>
        <w:rPr>
          <w:rFonts w:ascii="Palatino Linotype" w:hAnsi="Palatino Linotype" w:cs="Arial"/>
        </w:rPr>
        <w:t>by KCCQ 100-point scale, where five</w:t>
      </w:r>
      <w:r w:rsidRPr="00BD18F2">
        <w:rPr>
          <w:rFonts w:ascii="Palatino Linotype" w:hAnsi="Palatino Linotype" w:cs="Arial"/>
        </w:rPr>
        <w:t xml:space="preserve"> points is considered important, and </w:t>
      </w:r>
      <w:r w:rsidRPr="00625791">
        <w:rPr>
          <w:rFonts w:ascii="Palatino Linotype" w:hAnsi="Palatino Linotype" w:cs="Arial"/>
        </w:rPr>
        <w:t>20 points is considered a very large improvement).</w:t>
      </w:r>
    </w:p>
    <w:p w:rsidR="00BC4CB3" w:rsidRPr="00625791" w:rsidRDefault="00BC4CB3" w:rsidP="00BC4CB3">
      <w:pPr>
        <w:spacing w:after="0" w:line="360" w:lineRule="auto"/>
        <w:rPr>
          <w:rFonts w:ascii="Palatino Linotype" w:hAnsi="Palatino Linotype" w:cs="Arial"/>
        </w:rPr>
      </w:pPr>
    </w:p>
    <w:p w:rsidR="00E74D3E" w:rsidRPr="00625791" w:rsidRDefault="00FD5AA5" w:rsidP="00815166">
      <w:pPr>
        <w:spacing w:after="0" w:line="360" w:lineRule="auto"/>
        <w:rPr>
          <w:rFonts w:ascii="Palatino Linotype" w:hAnsi="Palatino Linotype" w:cs="Arial"/>
        </w:rPr>
      </w:pPr>
      <w:r w:rsidRPr="00625791">
        <w:rPr>
          <w:rFonts w:ascii="Palatino Linotype" w:hAnsi="Palatino Linotype" w:cs="Arial"/>
        </w:rPr>
        <w:t>“</w:t>
      </w:r>
      <w:r w:rsidR="00296A83" w:rsidRPr="00625791">
        <w:rPr>
          <w:rFonts w:ascii="Palatino Linotype" w:hAnsi="Palatino Linotype" w:cs="Arial"/>
        </w:rPr>
        <w:t xml:space="preserve">The results of the High Risk study confirm our findings in the Extreme Risk Study, namely that careful pre-procedural planning with CT-based determination of valve sizing and attention to </w:t>
      </w:r>
      <w:r w:rsidR="003115D1" w:rsidRPr="00625791">
        <w:rPr>
          <w:rFonts w:ascii="Palatino Linotype" w:hAnsi="Palatino Linotype" w:cs="Arial"/>
        </w:rPr>
        <w:t>‘best practice’</w:t>
      </w:r>
      <w:r w:rsidR="00296A83" w:rsidRPr="00625791">
        <w:rPr>
          <w:rFonts w:ascii="Palatino Linotype" w:hAnsi="Palatino Linotype" w:cs="Arial"/>
        </w:rPr>
        <w:t xml:space="preserve"> implantation techniques </w:t>
      </w:r>
      <w:r w:rsidR="00DC260F" w:rsidRPr="00625791">
        <w:rPr>
          <w:rFonts w:ascii="Palatino Linotype" w:hAnsi="Palatino Linotype" w:cs="Arial"/>
        </w:rPr>
        <w:t>result</w:t>
      </w:r>
      <w:r w:rsidR="00296A83" w:rsidRPr="00625791">
        <w:rPr>
          <w:rFonts w:ascii="Palatino Linotype" w:hAnsi="Palatino Linotype" w:cs="Arial"/>
        </w:rPr>
        <w:t xml:space="preserve"> in a strong hemodynamic performance of the self-expanding CoreValve with low rates of </w:t>
      </w:r>
      <w:r w:rsidR="002931F5" w:rsidRPr="00625791">
        <w:rPr>
          <w:rFonts w:ascii="Palatino Linotype" w:hAnsi="Palatino Linotype" w:cs="Arial"/>
        </w:rPr>
        <w:t xml:space="preserve">one </w:t>
      </w:r>
      <w:r w:rsidR="00296A83" w:rsidRPr="00625791">
        <w:rPr>
          <w:rFonts w:ascii="Palatino Linotype" w:hAnsi="Palatino Linotype" w:cs="Arial"/>
        </w:rPr>
        <w:t xml:space="preserve">year </w:t>
      </w:r>
      <w:r w:rsidR="002931F5" w:rsidRPr="00625791">
        <w:rPr>
          <w:rFonts w:ascii="Palatino Linotype" w:hAnsi="Palatino Linotype" w:cs="Arial"/>
        </w:rPr>
        <w:t>paravalvular</w:t>
      </w:r>
      <w:r w:rsidR="00296A83" w:rsidRPr="00625791">
        <w:rPr>
          <w:rFonts w:ascii="Palatino Linotype" w:hAnsi="Palatino Linotype" w:cs="Arial"/>
        </w:rPr>
        <w:t xml:space="preserve"> regurgitation and stroke</w:t>
      </w:r>
      <w:r w:rsidR="00557990" w:rsidRPr="00625791">
        <w:rPr>
          <w:rFonts w:ascii="Palatino Linotype" w:hAnsi="Palatino Linotype" w:cs="Arial"/>
        </w:rPr>
        <w:t xml:space="preserve">,” said Jeffrey J. Popma, M.D., director of Interventional Cardiology at the Beth Israel Deaconess Medical Center, Boston, and </w:t>
      </w:r>
      <w:r w:rsidR="005270BC" w:rsidRPr="00625791">
        <w:rPr>
          <w:rFonts w:ascii="Palatino Linotype" w:hAnsi="Palatino Linotype" w:cs="Arial"/>
        </w:rPr>
        <w:t xml:space="preserve">national </w:t>
      </w:r>
      <w:r w:rsidR="00557990" w:rsidRPr="00625791">
        <w:rPr>
          <w:rFonts w:ascii="Palatino Linotype" w:hAnsi="Palatino Linotype" w:cs="Arial"/>
        </w:rPr>
        <w:t xml:space="preserve">co-principal investigator of the </w:t>
      </w:r>
      <w:r w:rsidR="007943BB" w:rsidRPr="00625791">
        <w:rPr>
          <w:rFonts w:ascii="Palatino Linotype" w:hAnsi="Palatino Linotype" w:cstheme="minorHAnsi"/>
        </w:rPr>
        <w:t xml:space="preserve">CoreValve U.S. Pivotal </w:t>
      </w:r>
      <w:r w:rsidR="00557990" w:rsidRPr="00625791">
        <w:rPr>
          <w:rFonts w:ascii="Palatino Linotype" w:hAnsi="Palatino Linotype" w:cs="Arial"/>
        </w:rPr>
        <w:t>Trial</w:t>
      </w:r>
      <w:r w:rsidR="00A033AE" w:rsidRPr="00625791">
        <w:rPr>
          <w:rFonts w:ascii="Palatino Linotype" w:hAnsi="Palatino Linotype" w:cs="Arial"/>
        </w:rPr>
        <w:t>.</w:t>
      </w:r>
      <w:r w:rsidR="00C103BB" w:rsidRPr="00625791">
        <w:rPr>
          <w:rFonts w:ascii="Palatino Linotype" w:hAnsi="Palatino Linotype" w:cs="Arial"/>
        </w:rPr>
        <w:t xml:space="preserve"> </w:t>
      </w:r>
    </w:p>
    <w:p w:rsidR="00815166" w:rsidRPr="00625791" w:rsidRDefault="00815166" w:rsidP="00815166">
      <w:pPr>
        <w:spacing w:after="0" w:line="360" w:lineRule="auto"/>
        <w:rPr>
          <w:rFonts w:ascii="Palatino Linotype" w:hAnsi="Palatino Linotype" w:cs="Arial"/>
        </w:rPr>
      </w:pPr>
    </w:p>
    <w:p w:rsidR="006A0EE7" w:rsidRPr="00867FF9" w:rsidRDefault="00296A83" w:rsidP="006A0EE7">
      <w:pPr>
        <w:spacing w:after="0" w:line="360" w:lineRule="auto"/>
        <w:rPr>
          <w:rFonts w:ascii="Palatino Linotype" w:hAnsi="Palatino Linotype" w:cs="Arial"/>
          <w:b/>
          <w:color w:val="000000"/>
        </w:rPr>
      </w:pPr>
      <w:r w:rsidRPr="00625791">
        <w:rPr>
          <w:rFonts w:ascii="Palatino Linotype" w:hAnsi="Palatino Linotype" w:cs="Arial"/>
        </w:rPr>
        <w:t>While there was</w:t>
      </w:r>
      <w:r w:rsidR="006A0EE7" w:rsidRPr="00625791">
        <w:rPr>
          <w:rFonts w:ascii="Palatino Linotype" w:hAnsi="Palatino Linotype" w:cs="Arial"/>
        </w:rPr>
        <w:t xml:space="preserve"> no statistical difference between CoreValve System and surgery in MACCE (major adverse cardiovascular or cerebral events) rates at 30 days</w:t>
      </w:r>
      <w:r w:rsidRPr="00625791">
        <w:rPr>
          <w:rFonts w:ascii="Palatino Linotype" w:hAnsi="Palatino Linotype" w:cs="Arial"/>
        </w:rPr>
        <w:t xml:space="preserve"> (</w:t>
      </w:r>
      <w:r w:rsidR="002B25FD" w:rsidRPr="002B25FD">
        <w:rPr>
          <w:rFonts w:ascii="Palatino Linotype" w:hAnsi="Palatino Linotype" w:cs="Arial"/>
          <w:i/>
        </w:rPr>
        <w:t>p</w:t>
      </w:r>
      <w:r w:rsidRPr="00625791">
        <w:rPr>
          <w:rFonts w:ascii="Palatino Linotype" w:hAnsi="Palatino Linotype" w:cs="Arial"/>
        </w:rPr>
        <w:t>=0.1)</w:t>
      </w:r>
      <w:r w:rsidR="006A0EE7" w:rsidRPr="00625791">
        <w:rPr>
          <w:rFonts w:ascii="Palatino Linotype" w:hAnsi="Palatino Linotype" w:cs="Arial"/>
        </w:rPr>
        <w:t xml:space="preserve">, at one year the MACCE rate was significantly better for </w:t>
      </w:r>
      <w:proofErr w:type="spellStart"/>
      <w:r w:rsidR="006A0EE7" w:rsidRPr="00625791">
        <w:rPr>
          <w:rFonts w:ascii="Palatino Linotype" w:hAnsi="Palatino Linotype" w:cs="Arial"/>
        </w:rPr>
        <w:t>CoreValve</w:t>
      </w:r>
      <w:proofErr w:type="spellEnd"/>
      <w:r w:rsidR="006A0EE7" w:rsidRPr="00650D04">
        <w:rPr>
          <w:rFonts w:ascii="Palatino Linotype" w:hAnsi="Palatino Linotype" w:cs="Arial"/>
          <w:color w:val="000000"/>
        </w:rPr>
        <w:t xml:space="preserve"> patients</w:t>
      </w:r>
      <w:r w:rsidR="006A0EE7">
        <w:rPr>
          <w:rFonts w:ascii="Palatino Linotype" w:hAnsi="Palatino Linotype" w:cs="Arial"/>
          <w:color w:val="000000"/>
        </w:rPr>
        <w:t xml:space="preserve"> (</w:t>
      </w:r>
      <w:r w:rsidR="002B25FD" w:rsidRPr="002B25FD">
        <w:rPr>
          <w:rFonts w:ascii="Palatino Linotype" w:hAnsi="Palatino Linotype" w:cs="Arial"/>
          <w:i/>
          <w:color w:val="000000"/>
        </w:rPr>
        <w:t>p</w:t>
      </w:r>
      <w:r w:rsidR="006A0EE7">
        <w:rPr>
          <w:rFonts w:ascii="Palatino Linotype" w:hAnsi="Palatino Linotype" w:cs="Arial"/>
          <w:color w:val="000000"/>
        </w:rPr>
        <w:t>=0.03)</w:t>
      </w:r>
      <w:r w:rsidR="006A0EE7" w:rsidRPr="00BC4CB3">
        <w:rPr>
          <w:rFonts w:ascii="Palatino Linotype" w:hAnsi="Palatino Linotype" w:cs="Arial"/>
          <w:color w:val="000000"/>
        </w:rPr>
        <w:t xml:space="preserve">. </w:t>
      </w:r>
      <w:r w:rsidR="00DC260F">
        <w:rPr>
          <w:rFonts w:ascii="Palatino Linotype" w:hAnsi="Palatino Linotype" w:cs="Arial"/>
          <w:color w:val="000000"/>
        </w:rPr>
        <w:t>The frequen</w:t>
      </w:r>
      <w:r w:rsidR="0051271E">
        <w:rPr>
          <w:rFonts w:ascii="Palatino Linotype" w:hAnsi="Palatino Linotype" w:cs="Arial"/>
          <w:color w:val="000000"/>
        </w:rPr>
        <w:t>cy</w:t>
      </w:r>
      <w:r w:rsidR="00DC260F">
        <w:rPr>
          <w:rFonts w:ascii="Palatino Linotype" w:hAnsi="Palatino Linotype" w:cs="Arial"/>
          <w:color w:val="000000"/>
        </w:rPr>
        <w:t xml:space="preserve"> of death or major stroke at </w:t>
      </w:r>
      <w:r w:rsidR="002931F5">
        <w:rPr>
          <w:rFonts w:ascii="Palatino Linotype" w:hAnsi="Palatino Linotype" w:cs="Arial"/>
          <w:color w:val="000000"/>
        </w:rPr>
        <w:t xml:space="preserve">one </w:t>
      </w:r>
      <w:r w:rsidR="00DC260F">
        <w:rPr>
          <w:rFonts w:ascii="Palatino Linotype" w:hAnsi="Palatino Linotype" w:cs="Arial"/>
          <w:color w:val="000000"/>
        </w:rPr>
        <w:t xml:space="preserve">year was also lower with </w:t>
      </w:r>
      <w:proofErr w:type="spellStart"/>
      <w:r w:rsidR="00DC260F">
        <w:rPr>
          <w:rFonts w:ascii="Palatino Linotype" w:hAnsi="Palatino Linotype" w:cs="Arial"/>
          <w:color w:val="000000"/>
        </w:rPr>
        <w:t>CoreValve</w:t>
      </w:r>
      <w:proofErr w:type="spellEnd"/>
      <w:r w:rsidR="00DC260F">
        <w:rPr>
          <w:rFonts w:ascii="Palatino Linotype" w:hAnsi="Palatino Linotype" w:cs="Arial"/>
          <w:color w:val="000000"/>
        </w:rPr>
        <w:t xml:space="preserve"> (</w:t>
      </w:r>
      <w:r w:rsidR="002B25FD" w:rsidRPr="002B25FD">
        <w:rPr>
          <w:rFonts w:ascii="Palatino Linotype" w:hAnsi="Palatino Linotype" w:cs="Arial"/>
          <w:i/>
          <w:color w:val="000000"/>
        </w:rPr>
        <w:t>p</w:t>
      </w:r>
      <w:r w:rsidR="00DC260F">
        <w:rPr>
          <w:rFonts w:ascii="Palatino Linotype" w:hAnsi="Palatino Linotype" w:cs="Arial"/>
          <w:color w:val="000000"/>
        </w:rPr>
        <w:t xml:space="preserve">=0.03). </w:t>
      </w:r>
      <w:r w:rsidR="006A0EE7">
        <w:rPr>
          <w:rFonts w:ascii="Palatino Linotype" w:hAnsi="Palatino Linotype" w:cs="Arial"/>
        </w:rPr>
        <w:t>O</w:t>
      </w:r>
      <w:r w:rsidR="006A0EE7" w:rsidRPr="00BC4CB3">
        <w:rPr>
          <w:rFonts w:ascii="Palatino Linotype" w:hAnsi="Palatino Linotype" w:cs="Arial"/>
        </w:rPr>
        <w:t xml:space="preserve">verall hemodynamic (blood flow) performance in CoreValve patients </w:t>
      </w:r>
      <w:r w:rsidR="006A0EE7" w:rsidRPr="001F6E75">
        <w:rPr>
          <w:rFonts w:ascii="Palatino Linotype" w:hAnsi="Palatino Linotype" w:cs="Arial"/>
        </w:rPr>
        <w:t>was better than SAVR across all time points (</w:t>
      </w:r>
      <w:bookmarkStart w:id="2" w:name="_GoBack"/>
      <w:r w:rsidR="006A0EE7" w:rsidRPr="002B25FD">
        <w:rPr>
          <w:rFonts w:ascii="Palatino Linotype" w:hAnsi="Palatino Linotype" w:cs="Arial"/>
          <w:i/>
        </w:rPr>
        <w:t>p</w:t>
      </w:r>
      <w:r w:rsidR="006A0EE7" w:rsidRPr="001F6E75">
        <w:rPr>
          <w:rFonts w:ascii="Palatino Linotype" w:hAnsi="Palatino Linotype" w:cs="Arial"/>
        </w:rPr>
        <w:t>=</w:t>
      </w:r>
      <w:bookmarkEnd w:id="2"/>
      <w:r w:rsidR="006A0EE7" w:rsidRPr="001F6E75">
        <w:rPr>
          <w:rFonts w:ascii="Palatino Linotype" w:hAnsi="Palatino Linotype" w:cs="Arial"/>
        </w:rPr>
        <w:t xml:space="preserve">&lt;0.02 at discharge, 30 days and one year). In addition, rates of moderate or severe paravalvular leak (PVL) for TAVR were </w:t>
      </w:r>
      <w:r w:rsidRPr="001F6E75">
        <w:rPr>
          <w:rFonts w:ascii="Palatino Linotype" w:hAnsi="Palatino Linotype" w:cs="Arial"/>
        </w:rPr>
        <w:t xml:space="preserve">acceptably </w:t>
      </w:r>
      <w:r w:rsidR="006A0EE7" w:rsidRPr="001F6E75">
        <w:rPr>
          <w:rFonts w:ascii="Palatino Linotype" w:hAnsi="Palatino Linotype" w:cs="Arial"/>
        </w:rPr>
        <w:t xml:space="preserve">low with </w:t>
      </w:r>
      <w:r w:rsidR="001F6E75" w:rsidRPr="001F6E75">
        <w:rPr>
          <w:rFonts w:ascii="Palatino Linotype" w:hAnsi="Palatino Linotype"/>
        </w:rPr>
        <w:t xml:space="preserve">7.8 percent at discharge </w:t>
      </w:r>
      <w:r w:rsidR="006A0EE7" w:rsidRPr="001F6E75">
        <w:rPr>
          <w:rFonts w:ascii="Palatino Linotype" w:hAnsi="Palatino Linotype" w:cs="Arial"/>
        </w:rPr>
        <w:t>and 6.1 percent at one year</w:t>
      </w:r>
      <w:r w:rsidR="00DC260F" w:rsidRPr="001F6E75">
        <w:rPr>
          <w:rFonts w:ascii="Palatino Linotype" w:hAnsi="Palatino Linotype" w:cs="Arial"/>
        </w:rPr>
        <w:t>. C</w:t>
      </w:r>
      <w:r w:rsidR="006A0EE7" w:rsidRPr="001F6E75">
        <w:rPr>
          <w:rFonts w:ascii="Palatino Linotype" w:hAnsi="Palatino Linotype" w:cs="Arial"/>
        </w:rPr>
        <w:t xml:space="preserve">onsistent with the Extreme Risk Study, PVL in most patients improved </w:t>
      </w:r>
      <w:r w:rsidR="006A0EE7" w:rsidRPr="00867FF9">
        <w:rPr>
          <w:rFonts w:ascii="Palatino Linotype" w:hAnsi="Palatino Linotype" w:cs="Arial"/>
        </w:rPr>
        <w:t>over time. As with previous studies on self-expanding technology, the permanent pacemaker rate was 19.8 percent at one month and, importantly, for these patients a difference in mortality was not observed.</w:t>
      </w:r>
    </w:p>
    <w:p w:rsidR="00D6352C" w:rsidRPr="00867FF9" w:rsidRDefault="00D6352C" w:rsidP="00D6352C">
      <w:pPr>
        <w:spacing w:after="0" w:line="240" w:lineRule="auto"/>
        <w:rPr>
          <w:rFonts w:ascii="Palatino Linotype" w:hAnsi="Palatino Linotype" w:cs="Arial"/>
          <w:color w:val="000000"/>
        </w:rPr>
      </w:pPr>
    </w:p>
    <w:p w:rsidR="002E0E34" w:rsidRPr="00302963" w:rsidRDefault="00D6352C" w:rsidP="00302963">
      <w:pPr>
        <w:spacing w:after="0" w:line="360" w:lineRule="auto"/>
        <w:rPr>
          <w:rFonts w:ascii="Palatino Linotype" w:hAnsi="Palatino Linotype" w:cs="Arial"/>
        </w:rPr>
      </w:pPr>
      <w:r w:rsidRPr="00867FF9">
        <w:rPr>
          <w:rFonts w:ascii="Palatino Linotype" w:hAnsi="Palatino Linotype" w:cs="Arial"/>
        </w:rPr>
        <w:t>“</w:t>
      </w:r>
      <w:r w:rsidR="00C22B7C" w:rsidRPr="00867FF9">
        <w:rPr>
          <w:rFonts w:ascii="Palatino Linotype" w:hAnsi="Palatino Linotype" w:cs="Arial"/>
        </w:rPr>
        <w:t xml:space="preserve">The results of the </w:t>
      </w:r>
      <w:r w:rsidR="004F0478" w:rsidRPr="00867FF9">
        <w:rPr>
          <w:rFonts w:ascii="Palatino Linotype" w:hAnsi="Palatino Linotype" w:cs="Arial"/>
        </w:rPr>
        <w:t xml:space="preserve">CoreValve </w:t>
      </w:r>
      <w:r w:rsidR="00C22B7C" w:rsidRPr="00867FF9">
        <w:rPr>
          <w:rFonts w:ascii="Palatino Linotype" w:hAnsi="Palatino Linotype" w:cs="Arial"/>
        </w:rPr>
        <w:t>High Risk Study effectively</w:t>
      </w:r>
      <w:r w:rsidR="00C22B7C" w:rsidRPr="004F0478">
        <w:rPr>
          <w:rFonts w:ascii="Palatino Linotype" w:hAnsi="Palatino Linotype" w:cs="Arial"/>
        </w:rPr>
        <w:t xml:space="preserve"> demonstrate the value of the heart team approach, with an equal number of cardiac surgeons and interventionalists generating the compelling clinical outc</w:t>
      </w:r>
      <w:r w:rsidR="00D84AAE" w:rsidRPr="004F0478">
        <w:rPr>
          <w:rFonts w:ascii="Palatino Linotype" w:hAnsi="Palatino Linotype" w:cs="Arial"/>
        </w:rPr>
        <w:t>omes</w:t>
      </w:r>
      <w:r w:rsidR="002E0E34" w:rsidRPr="004F0478">
        <w:rPr>
          <w:rFonts w:ascii="Palatino Linotype" w:hAnsi="Palatino Linotype" w:cs="Arial"/>
          <w:color w:val="000000"/>
        </w:rPr>
        <w:t>,” said John Liddicoat, M.D., senior vice president, Medtronic, and president of the Medtro</w:t>
      </w:r>
      <w:r w:rsidR="00E71C25" w:rsidRPr="00BD18F2">
        <w:rPr>
          <w:rFonts w:ascii="Palatino Linotype" w:hAnsi="Palatino Linotype" w:cs="Arial"/>
          <w:color w:val="000000"/>
        </w:rPr>
        <w:t xml:space="preserve">nic Structural Heart Business. </w:t>
      </w:r>
      <w:r w:rsidR="002E0E34" w:rsidRPr="00BD18F2">
        <w:rPr>
          <w:rFonts w:ascii="Palatino Linotype" w:hAnsi="Palatino Linotype" w:cs="Arial"/>
          <w:color w:val="000000"/>
        </w:rPr>
        <w:t>“</w:t>
      </w:r>
      <w:r w:rsidR="002030F1" w:rsidRPr="00BD18F2">
        <w:rPr>
          <w:rFonts w:ascii="Palatino Linotype" w:hAnsi="Palatino Linotype" w:cs="Arial"/>
        </w:rPr>
        <w:t xml:space="preserve">We applaud the investigators for their commitment to this </w:t>
      </w:r>
      <w:r w:rsidR="00F205FC" w:rsidRPr="00BD18F2">
        <w:rPr>
          <w:rFonts w:ascii="Palatino Linotype" w:hAnsi="Palatino Linotype" w:cs="Arial"/>
        </w:rPr>
        <w:t>rigorously designed study and for its</w:t>
      </w:r>
      <w:r w:rsidR="002030F1" w:rsidRPr="00BD18F2">
        <w:rPr>
          <w:rFonts w:ascii="Palatino Linotype" w:hAnsi="Palatino Linotype" w:cs="Arial"/>
        </w:rPr>
        <w:t xml:space="preserve"> </w:t>
      </w:r>
      <w:r w:rsidR="00F205FC" w:rsidRPr="00BD18F2">
        <w:rPr>
          <w:rFonts w:ascii="Palatino Linotype" w:hAnsi="Palatino Linotype" w:cs="Arial"/>
        </w:rPr>
        <w:t>meticulous execution</w:t>
      </w:r>
      <w:r w:rsidR="002030F1" w:rsidRPr="00BD18F2">
        <w:rPr>
          <w:rFonts w:ascii="Palatino Linotype" w:hAnsi="Palatino Linotype" w:cs="Arial"/>
        </w:rPr>
        <w:t xml:space="preserve">. </w:t>
      </w:r>
      <w:r w:rsidR="00F205FC" w:rsidRPr="00BD18F2">
        <w:rPr>
          <w:rFonts w:ascii="Palatino Linotype" w:hAnsi="Palatino Linotype" w:cs="Arial"/>
          <w:color w:val="000000"/>
        </w:rPr>
        <w:t>W</w:t>
      </w:r>
      <w:r w:rsidR="002E0E34" w:rsidRPr="00BD18F2">
        <w:rPr>
          <w:rFonts w:ascii="Palatino Linotype" w:hAnsi="Palatino Linotype" w:cs="Arial"/>
          <w:color w:val="000000"/>
        </w:rPr>
        <w:t xml:space="preserve">e </w:t>
      </w:r>
      <w:r w:rsidR="00DF1617" w:rsidRPr="00BD18F2">
        <w:rPr>
          <w:rFonts w:ascii="Palatino Linotype" w:hAnsi="Palatino Linotype" w:cs="Arial"/>
          <w:color w:val="000000"/>
        </w:rPr>
        <w:t xml:space="preserve">also </w:t>
      </w:r>
      <w:r w:rsidR="00D84AAE" w:rsidRPr="00BD18F2">
        <w:rPr>
          <w:rFonts w:ascii="Palatino Linotype" w:hAnsi="Palatino Linotype" w:cs="Arial"/>
        </w:rPr>
        <w:t xml:space="preserve">look forward to the potential impact </w:t>
      </w:r>
      <w:r w:rsidR="004F0478">
        <w:rPr>
          <w:rFonts w:ascii="Palatino Linotype" w:hAnsi="Palatino Linotype" w:cs="Arial"/>
        </w:rPr>
        <w:t>these</w:t>
      </w:r>
      <w:r w:rsidR="004F0478" w:rsidRPr="004F0478">
        <w:rPr>
          <w:rFonts w:ascii="Palatino Linotype" w:hAnsi="Palatino Linotype" w:cs="Arial"/>
        </w:rPr>
        <w:t xml:space="preserve"> </w:t>
      </w:r>
      <w:r w:rsidR="00D84AAE" w:rsidRPr="00302963">
        <w:rPr>
          <w:rFonts w:ascii="Palatino Linotype" w:hAnsi="Palatino Linotype" w:cs="Arial"/>
        </w:rPr>
        <w:t>data will have on imp</w:t>
      </w:r>
      <w:r w:rsidR="00CD2CBD">
        <w:rPr>
          <w:rFonts w:ascii="Palatino Linotype" w:hAnsi="Palatino Linotype" w:cs="Arial"/>
        </w:rPr>
        <w:t>roving patient outcomes in real-</w:t>
      </w:r>
      <w:r w:rsidR="00D84AAE" w:rsidRPr="00302963">
        <w:rPr>
          <w:rFonts w:ascii="Palatino Linotype" w:hAnsi="Palatino Linotype" w:cs="Arial"/>
        </w:rPr>
        <w:t>world clinical practice once the CoreValve System receives FDA approval for patients</w:t>
      </w:r>
      <w:r w:rsidR="00302963" w:rsidRPr="00302963">
        <w:rPr>
          <w:rFonts w:ascii="Palatino Linotype" w:hAnsi="Palatino Linotype" w:cs="Arial"/>
        </w:rPr>
        <w:t xml:space="preserve"> at increased risk</w:t>
      </w:r>
      <w:r w:rsidR="00BA7F00" w:rsidRPr="00302963">
        <w:rPr>
          <w:rFonts w:ascii="Palatino Linotype" w:hAnsi="Palatino Linotype" w:cs="Arial"/>
        </w:rPr>
        <w:t>.”</w:t>
      </w:r>
    </w:p>
    <w:p w:rsidR="00296A83" w:rsidRDefault="00296A83" w:rsidP="00296A83">
      <w:pPr>
        <w:spacing w:after="0" w:line="360" w:lineRule="auto"/>
        <w:rPr>
          <w:rFonts w:ascii="Palatino Linotype" w:hAnsi="Palatino Linotype"/>
        </w:rPr>
      </w:pPr>
    </w:p>
    <w:p w:rsidR="00315567" w:rsidRPr="004441A5" w:rsidRDefault="00296A83" w:rsidP="00302963">
      <w:pPr>
        <w:spacing w:after="0" w:line="360" w:lineRule="auto"/>
        <w:rPr>
          <w:rFonts w:ascii="Palatino Linotype" w:hAnsi="Palatino Linotype"/>
        </w:rPr>
      </w:pPr>
      <w:r w:rsidRPr="00515C11">
        <w:rPr>
          <w:rFonts w:ascii="Palatino Linotype" w:hAnsi="Palatino Linotype"/>
        </w:rPr>
        <w:t>To participate in the High Risk study,</w:t>
      </w:r>
      <w:r>
        <w:rPr>
          <w:rFonts w:ascii="Palatino Linotype" w:hAnsi="Palatino Linotype"/>
        </w:rPr>
        <w:t xml:space="preserve"> the 747</w:t>
      </w:r>
      <w:r w:rsidRPr="00515C11">
        <w:rPr>
          <w:rFonts w:ascii="Palatino Linotype" w:hAnsi="Palatino Linotype"/>
        </w:rPr>
        <w:t xml:space="preserve"> patients </w:t>
      </w:r>
      <w:r>
        <w:rPr>
          <w:rFonts w:ascii="Palatino Linotype" w:hAnsi="Palatino Linotype"/>
        </w:rPr>
        <w:t>were estimated</w:t>
      </w:r>
      <w:r w:rsidRPr="00515C11">
        <w:rPr>
          <w:rFonts w:ascii="Palatino Linotype" w:hAnsi="Palatino Linotype"/>
        </w:rPr>
        <w:t xml:space="preserve"> to have a predicted risk of operative mortality of 15 percent</w:t>
      </w:r>
      <w:r>
        <w:rPr>
          <w:rFonts w:ascii="Palatino Linotype" w:hAnsi="Palatino Linotype"/>
        </w:rPr>
        <w:t xml:space="preserve"> or higher</w:t>
      </w:r>
      <w:r w:rsidRPr="005E0501">
        <w:rPr>
          <w:rFonts w:ascii="Palatino Linotype" w:hAnsi="Palatino Linotype"/>
        </w:rPr>
        <w:t xml:space="preserve"> at 30 days</w:t>
      </w:r>
      <w:r>
        <w:rPr>
          <w:rFonts w:ascii="Palatino Linotype" w:hAnsi="Palatino Linotype"/>
        </w:rPr>
        <w:t xml:space="preserve">, assessed by two clinical site surgeons and confirmed </w:t>
      </w:r>
      <w:r w:rsidR="00D6102F">
        <w:rPr>
          <w:rFonts w:ascii="Palatino Linotype" w:hAnsi="Palatino Linotype"/>
        </w:rPr>
        <w:t xml:space="preserve">by </w:t>
      </w:r>
      <w:r>
        <w:rPr>
          <w:rFonts w:ascii="Palatino Linotype" w:hAnsi="Palatino Linotype"/>
        </w:rPr>
        <w:t>at least two surgeons on a National Screening Committee</w:t>
      </w:r>
      <w:r w:rsidRPr="005E0501">
        <w:rPr>
          <w:rFonts w:ascii="Palatino Linotype" w:hAnsi="Palatino Linotype"/>
        </w:rPr>
        <w:t xml:space="preserve">. </w:t>
      </w:r>
      <w:r w:rsidRPr="00302963">
        <w:rPr>
          <w:rFonts w:ascii="Palatino Linotype" w:hAnsi="Palatino Linotype"/>
        </w:rPr>
        <w:t>The average age of patients in the study was 83.2 years old,</w:t>
      </w:r>
      <w:r w:rsidRPr="004441A5">
        <w:rPr>
          <w:rFonts w:ascii="Palatino Linotype" w:hAnsi="Palatino Linotype"/>
        </w:rPr>
        <w:t xml:space="preserve"> and the </w:t>
      </w:r>
      <w:r w:rsidRPr="005E0501">
        <w:rPr>
          <w:rFonts w:ascii="Palatino Linotype" w:hAnsi="Palatino Linotype"/>
        </w:rPr>
        <w:t xml:space="preserve">study enrolled a nearly equal number of </w:t>
      </w:r>
      <w:r w:rsidRPr="00433B11">
        <w:rPr>
          <w:rFonts w:ascii="Palatino Linotype" w:hAnsi="Palatino Linotype"/>
        </w:rPr>
        <w:t>men and women</w:t>
      </w:r>
      <w:r>
        <w:rPr>
          <w:rFonts w:ascii="Palatino Linotype" w:hAnsi="Palatino Linotype"/>
        </w:rPr>
        <w:t xml:space="preserve">. In addition to the </w:t>
      </w:r>
      <w:r w:rsidRPr="005E0501">
        <w:rPr>
          <w:rFonts w:ascii="Palatino Linotype" w:hAnsi="Palatino Linotype"/>
        </w:rPr>
        <w:t xml:space="preserve">STS </w:t>
      </w:r>
      <w:r>
        <w:rPr>
          <w:rFonts w:ascii="Palatino Linotype" w:hAnsi="Palatino Linotype"/>
        </w:rPr>
        <w:t xml:space="preserve">Predicted Risk of Mortality estimate of 7.4, these patients had documented </w:t>
      </w:r>
      <w:r w:rsidR="00990FEA" w:rsidRPr="00302963">
        <w:rPr>
          <w:rFonts w:ascii="Palatino Linotype" w:hAnsi="Palatino Linotype"/>
        </w:rPr>
        <w:t>co-morbidities, frailty and disability</w:t>
      </w:r>
      <w:r>
        <w:rPr>
          <w:rFonts w:ascii="Palatino Linotype" w:hAnsi="Palatino Linotype"/>
        </w:rPr>
        <w:t xml:space="preserve"> that placed them at increased risk for surgery</w:t>
      </w:r>
      <w:r w:rsidR="004441A5">
        <w:rPr>
          <w:rFonts w:ascii="Palatino Linotype" w:hAnsi="Palatino Linotype"/>
        </w:rPr>
        <w:t xml:space="preserve">. </w:t>
      </w:r>
      <w:r w:rsidR="00990FEA" w:rsidRPr="00302963">
        <w:rPr>
          <w:rFonts w:ascii="Palatino Linotype" w:hAnsi="Palatino Linotype"/>
        </w:rPr>
        <w:t>The majority of patients (56</w:t>
      </w:r>
      <w:r w:rsidR="00CA4027" w:rsidRPr="00302963">
        <w:rPr>
          <w:rFonts w:ascii="Palatino Linotype" w:hAnsi="Palatino Linotype"/>
        </w:rPr>
        <w:t xml:space="preserve"> percent</w:t>
      </w:r>
      <w:r w:rsidR="00990FEA" w:rsidRPr="00302963">
        <w:rPr>
          <w:rFonts w:ascii="Palatino Linotype" w:hAnsi="Palatino Linotype"/>
        </w:rPr>
        <w:t>) had a Charlson co-morbidity score of</w:t>
      </w:r>
      <w:r w:rsidR="00322FF8" w:rsidRPr="00302963">
        <w:rPr>
          <w:rFonts w:ascii="Palatino Linotype" w:hAnsi="Palatino Linotype"/>
        </w:rPr>
        <w:t xml:space="preserve"> 5 or greater (on a scale of 6</w:t>
      </w:r>
      <w:r w:rsidR="004F0478" w:rsidRPr="00302963">
        <w:rPr>
          <w:rFonts w:ascii="Palatino Linotype" w:hAnsi="Palatino Linotype"/>
        </w:rPr>
        <w:t xml:space="preserve">, where </w:t>
      </w:r>
      <w:r>
        <w:rPr>
          <w:rFonts w:ascii="Palatino Linotype" w:hAnsi="Palatino Linotype"/>
        </w:rPr>
        <w:t>5 or greater represents severe co-morbidity</w:t>
      </w:r>
      <w:r w:rsidR="00322FF8" w:rsidRPr="00302963">
        <w:rPr>
          <w:rFonts w:ascii="Palatino Linotype" w:hAnsi="Palatino Linotype"/>
        </w:rPr>
        <w:t>)</w:t>
      </w:r>
      <w:r w:rsidR="0036656E" w:rsidRPr="00302963">
        <w:rPr>
          <w:rFonts w:ascii="Palatino Linotype" w:hAnsi="Palatino Linotype"/>
        </w:rPr>
        <w:t>. Ten</w:t>
      </w:r>
      <w:r w:rsidR="00322FF8" w:rsidRPr="00302963">
        <w:rPr>
          <w:rFonts w:ascii="Palatino Linotype" w:hAnsi="Palatino Linotype"/>
        </w:rPr>
        <w:t xml:space="preserve"> percent</w:t>
      </w:r>
      <w:r w:rsidR="00990FEA" w:rsidRPr="00302963">
        <w:rPr>
          <w:rFonts w:ascii="Palatino Linotype" w:hAnsi="Palatino Linotype"/>
        </w:rPr>
        <w:t xml:space="preserve"> of patients did not live independently.</w:t>
      </w:r>
    </w:p>
    <w:p w:rsidR="00315567" w:rsidRPr="004441A5" w:rsidRDefault="00315567" w:rsidP="004441A5">
      <w:pPr>
        <w:spacing w:after="0" w:line="360" w:lineRule="auto"/>
        <w:rPr>
          <w:rFonts w:ascii="Palatino Linotype" w:hAnsi="Palatino Linotype" w:cs="Arial"/>
        </w:rPr>
      </w:pPr>
    </w:p>
    <w:p w:rsidR="003D0C3C" w:rsidRDefault="00BD18F2" w:rsidP="00625791">
      <w:pPr>
        <w:spacing w:after="0" w:line="360" w:lineRule="auto"/>
        <w:rPr>
          <w:rFonts w:ascii="Palatino Linotype" w:hAnsi="Palatino Linotype"/>
          <w:bCs/>
        </w:rPr>
      </w:pPr>
      <w:r w:rsidRPr="00433B11">
        <w:rPr>
          <w:rFonts w:ascii="Palatino Linotype" w:hAnsi="Palatino Linotype"/>
          <w:color w:val="000000"/>
        </w:rPr>
        <w:t>The</w:t>
      </w:r>
      <w:r w:rsidRPr="00515C11">
        <w:rPr>
          <w:rFonts w:ascii="Palatino Linotype" w:hAnsi="Palatino Linotype"/>
          <w:bCs/>
        </w:rPr>
        <w:t xml:space="preserve"> CoreValve</w:t>
      </w:r>
      <w:r w:rsidRPr="00BD18F2">
        <w:rPr>
          <w:rFonts w:ascii="Palatino Linotype" w:hAnsi="Palatino Linotype"/>
          <w:bCs/>
        </w:rPr>
        <w:t xml:space="preserve"> System was approved by the U.S. Food and Drug Administration (FDA) in January 2014 for patients </w:t>
      </w:r>
      <w:r>
        <w:rPr>
          <w:rFonts w:ascii="Palatino Linotype" w:hAnsi="Palatino Linotype"/>
          <w:bCs/>
        </w:rPr>
        <w:t>considered extreme risk for surgery</w:t>
      </w:r>
      <w:r w:rsidRPr="004F0478">
        <w:rPr>
          <w:rFonts w:ascii="Palatino Linotype" w:hAnsi="Palatino Linotype"/>
          <w:bCs/>
        </w:rPr>
        <w:t xml:space="preserve">. </w:t>
      </w:r>
      <w:r w:rsidR="00525FFD" w:rsidRPr="004F0478">
        <w:rPr>
          <w:rFonts w:ascii="Palatino Linotype" w:hAnsi="Palatino Linotype"/>
          <w:bCs/>
        </w:rPr>
        <w:t xml:space="preserve">Since receiving CE (Conformité Européenne) Mark in 2007, the CoreValve System has been implanted in more than </w:t>
      </w:r>
      <w:r w:rsidR="00A35949" w:rsidRPr="004F0478">
        <w:rPr>
          <w:rFonts w:ascii="Palatino Linotype" w:hAnsi="Palatino Linotype"/>
          <w:bCs/>
        </w:rPr>
        <w:t>50</w:t>
      </w:r>
      <w:r w:rsidR="00525FFD" w:rsidRPr="004F0478">
        <w:rPr>
          <w:rFonts w:ascii="Palatino Linotype" w:hAnsi="Palatino Linotype"/>
          <w:bCs/>
        </w:rPr>
        <w:t xml:space="preserve">,000 patients in more than 60 countries. </w:t>
      </w:r>
    </w:p>
    <w:p w:rsidR="00625791" w:rsidRPr="00625791" w:rsidRDefault="00625791" w:rsidP="00625791">
      <w:pPr>
        <w:spacing w:after="0" w:line="360" w:lineRule="auto"/>
        <w:rPr>
          <w:rFonts w:ascii="Palatino Linotype" w:hAnsi="Palatino Linotype"/>
          <w:b/>
          <w:bCs/>
          <w:color w:val="0070C0"/>
          <w:u w:val="single"/>
        </w:rPr>
      </w:pPr>
    </w:p>
    <w:p w:rsidR="00625791" w:rsidRPr="00D772FF" w:rsidRDefault="00625791" w:rsidP="00625791">
      <w:pPr>
        <w:spacing w:after="0" w:line="360" w:lineRule="auto"/>
        <w:rPr>
          <w:rFonts w:ascii="Palatino Linotype" w:hAnsi="Palatino Linotype"/>
          <w:b/>
          <w:bCs/>
          <w:u w:val="single"/>
        </w:rPr>
      </w:pPr>
      <w:r w:rsidRPr="00D772FF">
        <w:rPr>
          <w:rFonts w:ascii="Palatino Linotype" w:hAnsi="Palatino Linotype"/>
          <w:b/>
          <w:bCs/>
          <w:u w:val="single"/>
        </w:rPr>
        <w:t>Update on FDA Review of CoreValve High Risk Study</w:t>
      </w:r>
    </w:p>
    <w:p w:rsidR="00625791" w:rsidRPr="00D772FF" w:rsidRDefault="00625791" w:rsidP="00625791">
      <w:pPr>
        <w:spacing w:after="0" w:line="360" w:lineRule="auto"/>
        <w:rPr>
          <w:rFonts w:ascii="Palatino Linotype" w:hAnsi="Palatino Linotype"/>
        </w:rPr>
      </w:pPr>
      <w:r w:rsidRPr="00D772FF">
        <w:rPr>
          <w:rFonts w:ascii="Palatino Linotype" w:hAnsi="Palatino Linotype"/>
        </w:rPr>
        <w:t xml:space="preserve">Upon reviewing the CoreValve Trial’s results for high risk patients, the FDA has determined it has sufficient information to evaluate the safety and efficacy of the Medtronic CoreValve System for this patient group without the need for an external expert panel. </w:t>
      </w:r>
    </w:p>
    <w:p w:rsidR="003D0B07" w:rsidRPr="00625791" w:rsidRDefault="003D0B07" w:rsidP="00625791">
      <w:pPr>
        <w:spacing w:after="0" w:line="360" w:lineRule="auto"/>
        <w:rPr>
          <w:rFonts w:ascii="Palatino Linotype" w:hAnsi="Palatino Linotype" w:cs="Arial"/>
          <w:color w:val="0070C0"/>
        </w:rPr>
      </w:pPr>
    </w:p>
    <w:p w:rsidR="005E73CD" w:rsidRPr="00433B11" w:rsidRDefault="005E73CD" w:rsidP="00625791">
      <w:pPr>
        <w:spacing w:after="0" w:line="360" w:lineRule="auto"/>
        <w:rPr>
          <w:rFonts w:ascii="Palatino Linotype" w:hAnsi="Palatino Linotype" w:cs="Arial"/>
        </w:rPr>
      </w:pPr>
      <w:r w:rsidRPr="00315567">
        <w:rPr>
          <w:rFonts w:ascii="Palatino Linotype" w:hAnsi="Palatino Linotype" w:cs="Arial"/>
        </w:rPr>
        <w:t xml:space="preserve">The CoreValve System was designed specifically to overcome the challenges of a broad range of TAVR patients. The device has a small 18Fr profile for all valve sizes, which minimizes trauma at implant, and allows physicians to treat patients with small or calcified vasculature. Its Nitinol frame </w:t>
      </w:r>
      <w:r w:rsidR="00C151C8">
        <w:rPr>
          <w:rFonts w:ascii="Palatino Linotype" w:hAnsi="Palatino Linotype" w:cs="Arial"/>
        </w:rPr>
        <w:t>is designed to prevent unwanted leakage and optimize</w:t>
      </w:r>
      <w:r w:rsidRPr="00315567">
        <w:rPr>
          <w:rFonts w:ascii="Palatino Linotype" w:hAnsi="Palatino Linotype" w:cs="Arial"/>
        </w:rPr>
        <w:t xml:space="preserve"> blood flow. In addition, the </w:t>
      </w:r>
      <w:r w:rsidRPr="00433B11">
        <w:rPr>
          <w:rFonts w:ascii="Palatino Linotype" w:hAnsi="Palatino Linotype" w:cs="Arial"/>
        </w:rPr>
        <w:t xml:space="preserve">CoreValve System is available in the broadest range of sizes available, so patients who have smaller, larger or in-between sizes can be accommodated. </w:t>
      </w:r>
    </w:p>
    <w:p w:rsidR="005E73CD" w:rsidRPr="00433B11" w:rsidRDefault="005E73CD" w:rsidP="00433B11">
      <w:pPr>
        <w:spacing w:after="0" w:line="360" w:lineRule="auto"/>
        <w:rPr>
          <w:rFonts w:ascii="Palatino Linotype" w:hAnsi="Palatino Linotype" w:cs="Arial"/>
        </w:rPr>
      </w:pPr>
    </w:p>
    <w:p w:rsidR="00433B11" w:rsidRPr="00433B11" w:rsidRDefault="00E440F5" w:rsidP="00433B11">
      <w:pPr>
        <w:autoSpaceDE w:val="0"/>
        <w:autoSpaceDN w:val="0"/>
        <w:spacing w:after="0" w:line="360" w:lineRule="auto"/>
        <w:rPr>
          <w:rFonts w:ascii="Palatino Linotype" w:hAnsi="Palatino Linotype"/>
        </w:rPr>
      </w:pPr>
      <w:r w:rsidRPr="00433B11">
        <w:rPr>
          <w:rFonts w:ascii="Palatino Linotype" w:hAnsi="Palatino Linotype"/>
          <w:iCs/>
        </w:rPr>
        <w:t xml:space="preserve">The Company </w:t>
      </w:r>
      <w:proofErr w:type="gramStart"/>
      <w:r w:rsidRPr="00433B11">
        <w:rPr>
          <w:rFonts w:ascii="Palatino Linotype" w:hAnsi="Palatino Linotype"/>
          <w:iCs/>
        </w:rPr>
        <w:t>will</w:t>
      </w:r>
      <w:proofErr w:type="gramEnd"/>
      <w:r w:rsidRPr="00433B11">
        <w:rPr>
          <w:rFonts w:ascii="Palatino Linotype" w:hAnsi="Palatino Linotype"/>
          <w:iCs/>
        </w:rPr>
        <w:t xml:space="preserve"> webcast an Investor Briefing later today, where Medtronic management will review these clinical results. The live audio webcast of the presentatio</w:t>
      </w:r>
      <w:r w:rsidR="00AB1843" w:rsidRPr="00433B11">
        <w:rPr>
          <w:rFonts w:ascii="Palatino Linotype" w:hAnsi="Palatino Linotype"/>
          <w:iCs/>
        </w:rPr>
        <w:t xml:space="preserve">n can be accessed beginning at </w:t>
      </w:r>
      <w:r w:rsidR="004F0478" w:rsidRPr="00433B11">
        <w:rPr>
          <w:rFonts w:ascii="Palatino Linotype" w:hAnsi="Palatino Linotype"/>
          <w:iCs/>
        </w:rPr>
        <w:t>11</w:t>
      </w:r>
      <w:r w:rsidRPr="00433B11">
        <w:rPr>
          <w:rFonts w:ascii="Palatino Linotype" w:hAnsi="Palatino Linotype"/>
          <w:iCs/>
        </w:rPr>
        <w:t xml:space="preserve">:00 </w:t>
      </w:r>
      <w:r w:rsidR="004F0478" w:rsidRPr="00433B11">
        <w:rPr>
          <w:rFonts w:ascii="Palatino Linotype" w:hAnsi="Palatino Linotype"/>
          <w:iCs/>
        </w:rPr>
        <w:t>a</w:t>
      </w:r>
      <w:r w:rsidR="00AB1843" w:rsidRPr="00433B11">
        <w:rPr>
          <w:rFonts w:ascii="Palatino Linotype" w:hAnsi="Palatino Linotype"/>
          <w:iCs/>
        </w:rPr>
        <w:t>.m. E</w:t>
      </w:r>
      <w:r w:rsidR="005E0501" w:rsidRPr="00433B11">
        <w:rPr>
          <w:rFonts w:ascii="Palatino Linotype" w:hAnsi="Palatino Linotype"/>
          <w:iCs/>
        </w:rPr>
        <w:t>D</w:t>
      </w:r>
      <w:r w:rsidRPr="00433B11">
        <w:rPr>
          <w:rFonts w:ascii="Palatino Linotype" w:hAnsi="Palatino Linotype"/>
          <w:iCs/>
        </w:rPr>
        <w:t xml:space="preserve">T by clicking on the Investors link on the Medtronic home page at </w:t>
      </w:r>
      <w:hyperlink r:id="rId10" w:history="1">
        <w:r w:rsidRPr="00433B11">
          <w:rPr>
            <w:rStyle w:val="Hyperlink"/>
            <w:rFonts w:ascii="Palatino Linotype" w:hAnsi="Palatino Linotype"/>
            <w:iCs/>
          </w:rPr>
          <w:t>http://www.medtronic.com</w:t>
        </w:r>
      </w:hyperlink>
      <w:r w:rsidRPr="00433B11">
        <w:rPr>
          <w:rFonts w:ascii="Palatino Linotype" w:hAnsi="Palatino Linotype"/>
          <w:iCs/>
        </w:rPr>
        <w:t xml:space="preserve">. Within 24 hours of the webcast, a replay will be available under the Events and Presentations page in the Investors section of the Medtronic website. </w:t>
      </w:r>
      <w:r w:rsidR="00433B11" w:rsidRPr="00433B11">
        <w:rPr>
          <w:rFonts w:ascii="Palatino Linotype" w:hAnsi="Palatino Linotype"/>
        </w:rPr>
        <w:t>This event is not part of ACC.14, as planned by its Program Committee, and does not qualify for continuing medical education (CME), continuing nursing education (CNE) or continuing education (CE) credit.</w:t>
      </w:r>
    </w:p>
    <w:p w:rsidR="00E440F5" w:rsidRPr="001557D9" w:rsidRDefault="00E440F5" w:rsidP="00AB1843">
      <w:pPr>
        <w:shd w:val="clear" w:color="auto" w:fill="FFFFFF"/>
        <w:spacing w:after="0" w:line="240" w:lineRule="auto"/>
        <w:rPr>
          <w:rFonts w:ascii="Palatino Linotype" w:hAnsi="Palatino Linotype"/>
          <w:color w:val="000000"/>
        </w:rPr>
      </w:pPr>
    </w:p>
    <w:p w:rsidR="002E6414" w:rsidRPr="004F0478" w:rsidRDefault="002E6414" w:rsidP="00AB1843">
      <w:pPr>
        <w:spacing w:after="0" w:line="360" w:lineRule="auto"/>
        <w:rPr>
          <w:rFonts w:ascii="Palatino Linotype" w:eastAsia="Times New Roman" w:hAnsi="Palatino Linotype"/>
          <w:bCs/>
        </w:rPr>
      </w:pPr>
      <w:r w:rsidRPr="008A6352">
        <w:rPr>
          <w:rFonts w:ascii="Palatino Linotype" w:eastAsia="Times New Roman" w:hAnsi="Palatino Linotype"/>
          <w:bCs/>
        </w:rPr>
        <w:t>In collaboration with leading clinicians, researchers and scientists worldwide, Medtronic offers the broadest range of innovative medical technology for the interventional and surgical treatment of cardiovascular disease and cardiac arrhythmias.</w:t>
      </w:r>
      <w:r w:rsidRPr="004F0478">
        <w:rPr>
          <w:rFonts w:ascii="Palatino Linotype" w:eastAsia="Times New Roman" w:hAnsi="Palatino Linotype"/>
          <w:bCs/>
        </w:rPr>
        <w:t xml:space="preserve"> The company strives to offer products and services that deliver clinical and economic value to healthcare consumers and providers around the world.</w:t>
      </w:r>
    </w:p>
    <w:p w:rsidR="00113A88" w:rsidRPr="004F0478" w:rsidRDefault="00113A88" w:rsidP="00AB1843">
      <w:pPr>
        <w:spacing w:after="0" w:line="240" w:lineRule="auto"/>
        <w:rPr>
          <w:rFonts w:ascii="Palatino Linotype" w:eastAsia="Times New Roman" w:hAnsi="Palatino Linotype"/>
          <w:b/>
          <w:bCs/>
        </w:rPr>
      </w:pPr>
    </w:p>
    <w:p w:rsidR="002E6414" w:rsidRPr="004F0478" w:rsidRDefault="002E6414" w:rsidP="00AB1843">
      <w:pPr>
        <w:spacing w:after="0" w:line="360" w:lineRule="auto"/>
        <w:rPr>
          <w:rFonts w:ascii="Palatino Linotype" w:eastAsia="Times New Roman" w:hAnsi="Palatino Linotype"/>
          <w:b/>
          <w:bCs/>
        </w:rPr>
      </w:pPr>
      <w:r w:rsidRPr="004F0478">
        <w:rPr>
          <w:rFonts w:ascii="Palatino Linotype" w:eastAsia="Times New Roman" w:hAnsi="Palatino Linotype"/>
          <w:b/>
          <w:bCs/>
        </w:rPr>
        <w:t>ABOUT MEDTRONIC</w:t>
      </w:r>
    </w:p>
    <w:p w:rsidR="002E6414" w:rsidRPr="004F0478" w:rsidRDefault="002E6414" w:rsidP="00AB1843">
      <w:pPr>
        <w:spacing w:after="0" w:line="360" w:lineRule="auto"/>
        <w:rPr>
          <w:rFonts w:ascii="Palatino Linotype" w:eastAsia="Times New Roman" w:hAnsi="Palatino Linotype"/>
          <w:bCs/>
        </w:rPr>
      </w:pPr>
      <w:r w:rsidRPr="004F0478">
        <w:rPr>
          <w:rFonts w:ascii="Palatino Linotype" w:eastAsia="Times New Roman" w:hAnsi="Palatino Linotype"/>
          <w:bCs/>
        </w:rPr>
        <w:t xml:space="preserve">Medtronic, Inc. (www.medtronic.com), headquartered in Minneapolis, is the global leader in medical technology – alleviating pain, restoring health and extending life for millions of people around the world. </w:t>
      </w:r>
    </w:p>
    <w:p w:rsidR="005F51EA" w:rsidRPr="004F0478" w:rsidRDefault="005F51EA" w:rsidP="00AB1843">
      <w:pPr>
        <w:spacing w:after="0" w:line="240" w:lineRule="auto"/>
        <w:rPr>
          <w:rFonts w:ascii="Palatino Linotype" w:eastAsia="Times New Roman" w:hAnsi="Palatino Linotype"/>
          <w:bCs/>
        </w:rPr>
      </w:pPr>
    </w:p>
    <w:p w:rsidR="002E6414" w:rsidRPr="004F0478" w:rsidRDefault="002E6414" w:rsidP="00AB1843">
      <w:pPr>
        <w:spacing w:line="240" w:lineRule="auto"/>
        <w:rPr>
          <w:rFonts w:ascii="Palatino Linotype" w:eastAsia="Times New Roman" w:hAnsi="Palatino Linotype"/>
          <w:b/>
          <w:bCs/>
        </w:rPr>
      </w:pPr>
      <w:r w:rsidRPr="004F0478">
        <w:rPr>
          <w:rFonts w:ascii="Palatino Linotype" w:eastAsia="Times New Roman" w:hAnsi="Palatino Linotype"/>
          <w:b/>
          <w:bCs/>
        </w:rPr>
        <w:t xml:space="preserve">Any forward-looking statements are subject to risks and uncertainties such as those described in Medtronic’s periodic reports on file with the Securities and Exchange Commission. Actual results may differ materially from anticipated results. </w:t>
      </w:r>
    </w:p>
    <w:p w:rsidR="003D0B07" w:rsidRPr="005F51EA" w:rsidRDefault="002E6414" w:rsidP="005F51EA">
      <w:pPr>
        <w:spacing w:after="0" w:line="360" w:lineRule="auto"/>
        <w:jc w:val="center"/>
        <w:rPr>
          <w:rFonts w:ascii="Arial" w:eastAsia="Times New Roman" w:hAnsi="Arial" w:cs="Arial"/>
          <w:b/>
          <w:bCs/>
          <w:sz w:val="20"/>
          <w:szCs w:val="20"/>
          <w:highlight w:val="yellow"/>
        </w:rPr>
      </w:pPr>
      <w:r w:rsidRPr="004F0478">
        <w:rPr>
          <w:rFonts w:ascii="Palatino Linotype" w:eastAsia="Times New Roman" w:hAnsi="Palatino Linotype"/>
          <w:b/>
          <w:bCs/>
        </w:rPr>
        <w:t>– end –</w:t>
      </w:r>
    </w:p>
    <w:sectPr w:rsidR="003D0B07" w:rsidRPr="005F51EA" w:rsidSect="00541157">
      <w:pgSz w:w="12240" w:h="15840"/>
      <w:pgMar w:top="1152" w:right="1152" w:bottom="115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6F142" w15:done="0"/>
  <w15:commentEx w15:paraId="48A2C6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AE" w:rsidRDefault="00160EAE" w:rsidP="00076916">
      <w:pPr>
        <w:spacing w:after="0" w:line="240" w:lineRule="auto"/>
      </w:pPr>
      <w:r>
        <w:separator/>
      </w:r>
    </w:p>
  </w:endnote>
  <w:endnote w:type="continuationSeparator" w:id="0">
    <w:p w:rsidR="00160EAE" w:rsidRDefault="00160EAE" w:rsidP="00076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AE" w:rsidRDefault="00160EAE" w:rsidP="00076916">
      <w:pPr>
        <w:spacing w:after="0" w:line="240" w:lineRule="auto"/>
      </w:pPr>
      <w:r>
        <w:separator/>
      </w:r>
    </w:p>
  </w:footnote>
  <w:footnote w:type="continuationSeparator" w:id="0">
    <w:p w:rsidR="00160EAE" w:rsidRDefault="00160EAE" w:rsidP="00076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615"/>
    <w:multiLevelType w:val="hybridMultilevel"/>
    <w:tmpl w:val="C40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C4F29"/>
    <w:multiLevelType w:val="hybridMultilevel"/>
    <w:tmpl w:val="4398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40244"/>
    <w:multiLevelType w:val="hybridMultilevel"/>
    <w:tmpl w:val="281AE2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F7B45F2"/>
    <w:multiLevelType w:val="hybridMultilevel"/>
    <w:tmpl w:val="400A35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794578"/>
    <w:multiLevelType w:val="hybridMultilevel"/>
    <w:tmpl w:val="BE6229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146635"/>
    <w:multiLevelType w:val="hybridMultilevel"/>
    <w:tmpl w:val="455A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1D34A2"/>
    <w:multiLevelType w:val="hybridMultilevel"/>
    <w:tmpl w:val="D96EC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778D5"/>
    <w:multiLevelType w:val="hybridMultilevel"/>
    <w:tmpl w:val="A3441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DE6519"/>
    <w:multiLevelType w:val="multilevel"/>
    <w:tmpl w:val="8B70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A1555"/>
    <w:multiLevelType w:val="hybridMultilevel"/>
    <w:tmpl w:val="3F36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1"/>
  </w:num>
  <w:num w:numId="6">
    <w:abstractNumId w:val="9"/>
  </w:num>
  <w:num w:numId="7">
    <w:abstractNumId w:val="4"/>
  </w:num>
  <w:num w:numId="8">
    <w:abstractNumId w:val="7"/>
  </w:num>
  <w:num w:numId="9">
    <w:abstractNumId w:val="0"/>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Shadiow">
    <w15:presenceInfo w15:providerId="AD" w15:userId="S-1-5-21-2793667632-1907437359-2277839844-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414"/>
    <w:rsid w:val="00000D05"/>
    <w:rsid w:val="0000253A"/>
    <w:rsid w:val="00003EB5"/>
    <w:rsid w:val="00005152"/>
    <w:rsid w:val="000079C4"/>
    <w:rsid w:val="000254E0"/>
    <w:rsid w:val="00027410"/>
    <w:rsid w:val="00027A11"/>
    <w:rsid w:val="0003692C"/>
    <w:rsid w:val="0004277F"/>
    <w:rsid w:val="000446A3"/>
    <w:rsid w:val="0004680B"/>
    <w:rsid w:val="000537A7"/>
    <w:rsid w:val="000555AD"/>
    <w:rsid w:val="00055E6C"/>
    <w:rsid w:val="00070811"/>
    <w:rsid w:val="00076916"/>
    <w:rsid w:val="000937CE"/>
    <w:rsid w:val="000949F2"/>
    <w:rsid w:val="00097F13"/>
    <w:rsid w:val="000A4650"/>
    <w:rsid w:val="000A7372"/>
    <w:rsid w:val="000C53A6"/>
    <w:rsid w:val="000C7461"/>
    <w:rsid w:val="000D6645"/>
    <w:rsid w:val="000E64A1"/>
    <w:rsid w:val="000F414B"/>
    <w:rsid w:val="00105E34"/>
    <w:rsid w:val="00107D11"/>
    <w:rsid w:val="00112168"/>
    <w:rsid w:val="00113A88"/>
    <w:rsid w:val="0011571D"/>
    <w:rsid w:val="00121AB3"/>
    <w:rsid w:val="00122D85"/>
    <w:rsid w:val="00123D60"/>
    <w:rsid w:val="0012700F"/>
    <w:rsid w:val="00127BE8"/>
    <w:rsid w:val="00127F70"/>
    <w:rsid w:val="00132F60"/>
    <w:rsid w:val="0013613B"/>
    <w:rsid w:val="0013670D"/>
    <w:rsid w:val="00137FEC"/>
    <w:rsid w:val="00140028"/>
    <w:rsid w:val="00152731"/>
    <w:rsid w:val="001557D9"/>
    <w:rsid w:val="00160EAE"/>
    <w:rsid w:val="00174C2B"/>
    <w:rsid w:val="001807F9"/>
    <w:rsid w:val="00183D1C"/>
    <w:rsid w:val="00186535"/>
    <w:rsid w:val="00186B2C"/>
    <w:rsid w:val="00187113"/>
    <w:rsid w:val="00190CBC"/>
    <w:rsid w:val="0019105C"/>
    <w:rsid w:val="00192D1E"/>
    <w:rsid w:val="00192F9B"/>
    <w:rsid w:val="001A64A9"/>
    <w:rsid w:val="001D3312"/>
    <w:rsid w:val="001D687C"/>
    <w:rsid w:val="001E1997"/>
    <w:rsid w:val="001E1F0F"/>
    <w:rsid w:val="001E6302"/>
    <w:rsid w:val="001E6BD0"/>
    <w:rsid w:val="001E7E74"/>
    <w:rsid w:val="001F4161"/>
    <w:rsid w:val="001F6E75"/>
    <w:rsid w:val="00201558"/>
    <w:rsid w:val="002030F1"/>
    <w:rsid w:val="00203CD4"/>
    <w:rsid w:val="00210596"/>
    <w:rsid w:val="00210CE3"/>
    <w:rsid w:val="0021206B"/>
    <w:rsid w:val="00212795"/>
    <w:rsid w:val="002130B6"/>
    <w:rsid w:val="002141E0"/>
    <w:rsid w:val="00216421"/>
    <w:rsid w:val="0022337B"/>
    <w:rsid w:val="002253D6"/>
    <w:rsid w:val="002261CC"/>
    <w:rsid w:val="00226231"/>
    <w:rsid w:val="00230491"/>
    <w:rsid w:val="00232AAC"/>
    <w:rsid w:val="002409E3"/>
    <w:rsid w:val="00241DFB"/>
    <w:rsid w:val="00246A89"/>
    <w:rsid w:val="00253C9C"/>
    <w:rsid w:val="002630EB"/>
    <w:rsid w:val="00265FC2"/>
    <w:rsid w:val="00266980"/>
    <w:rsid w:val="00266E5A"/>
    <w:rsid w:val="00270FCA"/>
    <w:rsid w:val="00285D4E"/>
    <w:rsid w:val="002931F5"/>
    <w:rsid w:val="002946E3"/>
    <w:rsid w:val="00296A83"/>
    <w:rsid w:val="002A2E1F"/>
    <w:rsid w:val="002A4A9A"/>
    <w:rsid w:val="002B25FD"/>
    <w:rsid w:val="002B32D2"/>
    <w:rsid w:val="002C2D70"/>
    <w:rsid w:val="002D270B"/>
    <w:rsid w:val="002D5F69"/>
    <w:rsid w:val="002E0E34"/>
    <w:rsid w:val="002E1D95"/>
    <w:rsid w:val="002E6414"/>
    <w:rsid w:val="002F1B05"/>
    <w:rsid w:val="002F3789"/>
    <w:rsid w:val="00302963"/>
    <w:rsid w:val="00306F62"/>
    <w:rsid w:val="003115D1"/>
    <w:rsid w:val="00311C82"/>
    <w:rsid w:val="00315567"/>
    <w:rsid w:val="003156F2"/>
    <w:rsid w:val="00317E42"/>
    <w:rsid w:val="00322FF8"/>
    <w:rsid w:val="0032328E"/>
    <w:rsid w:val="00323CEF"/>
    <w:rsid w:val="00333670"/>
    <w:rsid w:val="00337087"/>
    <w:rsid w:val="00346EDD"/>
    <w:rsid w:val="00354F15"/>
    <w:rsid w:val="00363078"/>
    <w:rsid w:val="0036656E"/>
    <w:rsid w:val="0037561E"/>
    <w:rsid w:val="00387CFC"/>
    <w:rsid w:val="003A23A5"/>
    <w:rsid w:val="003A3C90"/>
    <w:rsid w:val="003C0F6D"/>
    <w:rsid w:val="003C24CB"/>
    <w:rsid w:val="003C41D6"/>
    <w:rsid w:val="003C613D"/>
    <w:rsid w:val="003D0B07"/>
    <w:rsid w:val="003D0C3C"/>
    <w:rsid w:val="003D43D8"/>
    <w:rsid w:val="003D56B7"/>
    <w:rsid w:val="003E0031"/>
    <w:rsid w:val="003E1C98"/>
    <w:rsid w:val="003E67D1"/>
    <w:rsid w:val="003E714E"/>
    <w:rsid w:val="003E78E3"/>
    <w:rsid w:val="003F3B91"/>
    <w:rsid w:val="003F53BF"/>
    <w:rsid w:val="003F6516"/>
    <w:rsid w:val="00403983"/>
    <w:rsid w:val="004135C8"/>
    <w:rsid w:val="00420D65"/>
    <w:rsid w:val="00433639"/>
    <w:rsid w:val="00433B11"/>
    <w:rsid w:val="00437136"/>
    <w:rsid w:val="004441A5"/>
    <w:rsid w:val="004465DC"/>
    <w:rsid w:val="00462A33"/>
    <w:rsid w:val="00463216"/>
    <w:rsid w:val="004644F6"/>
    <w:rsid w:val="00466A5E"/>
    <w:rsid w:val="00470C07"/>
    <w:rsid w:val="0047362E"/>
    <w:rsid w:val="0047590F"/>
    <w:rsid w:val="00480808"/>
    <w:rsid w:val="00487594"/>
    <w:rsid w:val="0049252C"/>
    <w:rsid w:val="004A3568"/>
    <w:rsid w:val="004B026A"/>
    <w:rsid w:val="004B4AD7"/>
    <w:rsid w:val="004B6C39"/>
    <w:rsid w:val="004C0E85"/>
    <w:rsid w:val="004C5BF1"/>
    <w:rsid w:val="004C6900"/>
    <w:rsid w:val="004C747F"/>
    <w:rsid w:val="004D27B8"/>
    <w:rsid w:val="004E3C8B"/>
    <w:rsid w:val="004F0478"/>
    <w:rsid w:val="004F4FFF"/>
    <w:rsid w:val="005041FE"/>
    <w:rsid w:val="00504476"/>
    <w:rsid w:val="00504556"/>
    <w:rsid w:val="00505DC3"/>
    <w:rsid w:val="0051271E"/>
    <w:rsid w:val="00514996"/>
    <w:rsid w:val="00515C11"/>
    <w:rsid w:val="005164E0"/>
    <w:rsid w:val="00525FFD"/>
    <w:rsid w:val="005270BC"/>
    <w:rsid w:val="005271B8"/>
    <w:rsid w:val="00535C98"/>
    <w:rsid w:val="00541157"/>
    <w:rsid w:val="005449ED"/>
    <w:rsid w:val="00545B7E"/>
    <w:rsid w:val="005463DF"/>
    <w:rsid w:val="00557990"/>
    <w:rsid w:val="005615B7"/>
    <w:rsid w:val="00563533"/>
    <w:rsid w:val="005708CC"/>
    <w:rsid w:val="00573C7E"/>
    <w:rsid w:val="005768DE"/>
    <w:rsid w:val="0059209C"/>
    <w:rsid w:val="00595AFA"/>
    <w:rsid w:val="005A4E58"/>
    <w:rsid w:val="005B1DA3"/>
    <w:rsid w:val="005C32A6"/>
    <w:rsid w:val="005D1310"/>
    <w:rsid w:val="005D1CB3"/>
    <w:rsid w:val="005D4625"/>
    <w:rsid w:val="005D4788"/>
    <w:rsid w:val="005D5B89"/>
    <w:rsid w:val="005E0501"/>
    <w:rsid w:val="005E649B"/>
    <w:rsid w:val="005E73CD"/>
    <w:rsid w:val="005F02EF"/>
    <w:rsid w:val="005F2A65"/>
    <w:rsid w:val="005F3F33"/>
    <w:rsid w:val="005F51EA"/>
    <w:rsid w:val="006002CC"/>
    <w:rsid w:val="006049EF"/>
    <w:rsid w:val="006128F3"/>
    <w:rsid w:val="00613115"/>
    <w:rsid w:val="00621F3B"/>
    <w:rsid w:val="0062305F"/>
    <w:rsid w:val="00625791"/>
    <w:rsid w:val="00625BF1"/>
    <w:rsid w:val="0064311F"/>
    <w:rsid w:val="006452C6"/>
    <w:rsid w:val="00650D04"/>
    <w:rsid w:val="0065466B"/>
    <w:rsid w:val="00655475"/>
    <w:rsid w:val="0065599B"/>
    <w:rsid w:val="00660398"/>
    <w:rsid w:val="006612D8"/>
    <w:rsid w:val="00663770"/>
    <w:rsid w:val="00671773"/>
    <w:rsid w:val="0067746D"/>
    <w:rsid w:val="0068008A"/>
    <w:rsid w:val="006842ED"/>
    <w:rsid w:val="006914B3"/>
    <w:rsid w:val="006A0108"/>
    <w:rsid w:val="006A0EE7"/>
    <w:rsid w:val="006B0766"/>
    <w:rsid w:val="006C021C"/>
    <w:rsid w:val="006C0D63"/>
    <w:rsid w:val="006C42DD"/>
    <w:rsid w:val="006C44B6"/>
    <w:rsid w:val="006D5F9D"/>
    <w:rsid w:val="006D7A57"/>
    <w:rsid w:val="006E7032"/>
    <w:rsid w:val="006F5B97"/>
    <w:rsid w:val="00704997"/>
    <w:rsid w:val="00705490"/>
    <w:rsid w:val="00706A4E"/>
    <w:rsid w:val="0071056B"/>
    <w:rsid w:val="00713622"/>
    <w:rsid w:val="00720971"/>
    <w:rsid w:val="00722C27"/>
    <w:rsid w:val="00725937"/>
    <w:rsid w:val="00727A5E"/>
    <w:rsid w:val="007415BB"/>
    <w:rsid w:val="00741D4F"/>
    <w:rsid w:val="00742666"/>
    <w:rsid w:val="007463F6"/>
    <w:rsid w:val="007517F5"/>
    <w:rsid w:val="007551FD"/>
    <w:rsid w:val="00764B3D"/>
    <w:rsid w:val="00766434"/>
    <w:rsid w:val="00770763"/>
    <w:rsid w:val="00772A05"/>
    <w:rsid w:val="007767CF"/>
    <w:rsid w:val="0078192E"/>
    <w:rsid w:val="007819D8"/>
    <w:rsid w:val="0079000F"/>
    <w:rsid w:val="007943BB"/>
    <w:rsid w:val="007A2B6B"/>
    <w:rsid w:val="007A3516"/>
    <w:rsid w:val="007A40EB"/>
    <w:rsid w:val="007A465A"/>
    <w:rsid w:val="007A4ECD"/>
    <w:rsid w:val="007B7121"/>
    <w:rsid w:val="007C2D48"/>
    <w:rsid w:val="007C4227"/>
    <w:rsid w:val="007C55BF"/>
    <w:rsid w:val="007D2CFC"/>
    <w:rsid w:val="007E1DB2"/>
    <w:rsid w:val="007E307B"/>
    <w:rsid w:val="007F3FA4"/>
    <w:rsid w:val="00805F37"/>
    <w:rsid w:val="00807C11"/>
    <w:rsid w:val="0081500A"/>
    <w:rsid w:val="00815166"/>
    <w:rsid w:val="008179FC"/>
    <w:rsid w:val="0082497B"/>
    <w:rsid w:val="00826FED"/>
    <w:rsid w:val="00827E49"/>
    <w:rsid w:val="00833517"/>
    <w:rsid w:val="00834DBE"/>
    <w:rsid w:val="00837428"/>
    <w:rsid w:val="008473DF"/>
    <w:rsid w:val="0085182A"/>
    <w:rsid w:val="00854175"/>
    <w:rsid w:val="00861F61"/>
    <w:rsid w:val="00865879"/>
    <w:rsid w:val="008673CE"/>
    <w:rsid w:val="00867FF9"/>
    <w:rsid w:val="00871CEB"/>
    <w:rsid w:val="00880E2D"/>
    <w:rsid w:val="008A3208"/>
    <w:rsid w:val="008A6352"/>
    <w:rsid w:val="008B1C07"/>
    <w:rsid w:val="008B2026"/>
    <w:rsid w:val="008B24E2"/>
    <w:rsid w:val="008B27A7"/>
    <w:rsid w:val="008C6339"/>
    <w:rsid w:val="008D07E5"/>
    <w:rsid w:val="008E3B56"/>
    <w:rsid w:val="008E63DE"/>
    <w:rsid w:val="008F0C85"/>
    <w:rsid w:val="00901DBB"/>
    <w:rsid w:val="00913040"/>
    <w:rsid w:val="00914D06"/>
    <w:rsid w:val="00923325"/>
    <w:rsid w:val="00923B5F"/>
    <w:rsid w:val="0093377B"/>
    <w:rsid w:val="00940575"/>
    <w:rsid w:val="009438E1"/>
    <w:rsid w:val="009464E3"/>
    <w:rsid w:val="0095043B"/>
    <w:rsid w:val="00952061"/>
    <w:rsid w:val="00954E77"/>
    <w:rsid w:val="0095565C"/>
    <w:rsid w:val="009703C5"/>
    <w:rsid w:val="00972980"/>
    <w:rsid w:val="00990FEA"/>
    <w:rsid w:val="00992129"/>
    <w:rsid w:val="0099332A"/>
    <w:rsid w:val="009B469E"/>
    <w:rsid w:val="009D1F18"/>
    <w:rsid w:val="009D758C"/>
    <w:rsid w:val="009D77BC"/>
    <w:rsid w:val="009E15CB"/>
    <w:rsid w:val="009E1F06"/>
    <w:rsid w:val="009F44AB"/>
    <w:rsid w:val="00A033AE"/>
    <w:rsid w:val="00A13D25"/>
    <w:rsid w:val="00A17A33"/>
    <w:rsid w:val="00A2042C"/>
    <w:rsid w:val="00A2494A"/>
    <w:rsid w:val="00A25424"/>
    <w:rsid w:val="00A27B99"/>
    <w:rsid w:val="00A353B0"/>
    <w:rsid w:val="00A35949"/>
    <w:rsid w:val="00A37385"/>
    <w:rsid w:val="00A513A4"/>
    <w:rsid w:val="00A5544D"/>
    <w:rsid w:val="00A63DFE"/>
    <w:rsid w:val="00A64A47"/>
    <w:rsid w:val="00A72D75"/>
    <w:rsid w:val="00A72E22"/>
    <w:rsid w:val="00A8045B"/>
    <w:rsid w:val="00A80F08"/>
    <w:rsid w:val="00A82556"/>
    <w:rsid w:val="00A8328D"/>
    <w:rsid w:val="00A91741"/>
    <w:rsid w:val="00AA04C3"/>
    <w:rsid w:val="00AA24D9"/>
    <w:rsid w:val="00AA3854"/>
    <w:rsid w:val="00AA7142"/>
    <w:rsid w:val="00AB1843"/>
    <w:rsid w:val="00AB5AB0"/>
    <w:rsid w:val="00AB66E3"/>
    <w:rsid w:val="00AB78A4"/>
    <w:rsid w:val="00AC1035"/>
    <w:rsid w:val="00AC3D55"/>
    <w:rsid w:val="00AD2250"/>
    <w:rsid w:val="00AD3F13"/>
    <w:rsid w:val="00AE4D24"/>
    <w:rsid w:val="00B0284F"/>
    <w:rsid w:val="00B03595"/>
    <w:rsid w:val="00B140A7"/>
    <w:rsid w:val="00B20D78"/>
    <w:rsid w:val="00B26698"/>
    <w:rsid w:val="00B26B91"/>
    <w:rsid w:val="00B26F96"/>
    <w:rsid w:val="00B27B08"/>
    <w:rsid w:val="00B30A32"/>
    <w:rsid w:val="00B32CE3"/>
    <w:rsid w:val="00B369C0"/>
    <w:rsid w:val="00B406A7"/>
    <w:rsid w:val="00B517BB"/>
    <w:rsid w:val="00B541D6"/>
    <w:rsid w:val="00B66951"/>
    <w:rsid w:val="00B67DA9"/>
    <w:rsid w:val="00B70572"/>
    <w:rsid w:val="00B715D8"/>
    <w:rsid w:val="00B72F22"/>
    <w:rsid w:val="00B82077"/>
    <w:rsid w:val="00B82FC3"/>
    <w:rsid w:val="00B90B66"/>
    <w:rsid w:val="00BA28C3"/>
    <w:rsid w:val="00BA5BE3"/>
    <w:rsid w:val="00BA7F00"/>
    <w:rsid w:val="00BB4DFD"/>
    <w:rsid w:val="00BC48F8"/>
    <w:rsid w:val="00BC4CB3"/>
    <w:rsid w:val="00BC5BA0"/>
    <w:rsid w:val="00BC6226"/>
    <w:rsid w:val="00BC706E"/>
    <w:rsid w:val="00BD18F2"/>
    <w:rsid w:val="00BD1F70"/>
    <w:rsid w:val="00BD39B3"/>
    <w:rsid w:val="00BD7F30"/>
    <w:rsid w:val="00BE31F9"/>
    <w:rsid w:val="00BF55DE"/>
    <w:rsid w:val="00C03C19"/>
    <w:rsid w:val="00C045BF"/>
    <w:rsid w:val="00C103BB"/>
    <w:rsid w:val="00C135FB"/>
    <w:rsid w:val="00C151C8"/>
    <w:rsid w:val="00C20516"/>
    <w:rsid w:val="00C216A7"/>
    <w:rsid w:val="00C22B7C"/>
    <w:rsid w:val="00C3372F"/>
    <w:rsid w:val="00C407F5"/>
    <w:rsid w:val="00C435C3"/>
    <w:rsid w:val="00C43C13"/>
    <w:rsid w:val="00C62259"/>
    <w:rsid w:val="00C906B4"/>
    <w:rsid w:val="00C92A0B"/>
    <w:rsid w:val="00C942A0"/>
    <w:rsid w:val="00C9658A"/>
    <w:rsid w:val="00CA118B"/>
    <w:rsid w:val="00CA23B9"/>
    <w:rsid w:val="00CA3BB4"/>
    <w:rsid w:val="00CA3BFF"/>
    <w:rsid w:val="00CA4027"/>
    <w:rsid w:val="00CC0A06"/>
    <w:rsid w:val="00CC1744"/>
    <w:rsid w:val="00CC2B99"/>
    <w:rsid w:val="00CC73A6"/>
    <w:rsid w:val="00CD2CBD"/>
    <w:rsid w:val="00CD6AF1"/>
    <w:rsid w:val="00CE0ACE"/>
    <w:rsid w:val="00CF0B26"/>
    <w:rsid w:val="00CF10AA"/>
    <w:rsid w:val="00D0729F"/>
    <w:rsid w:val="00D12259"/>
    <w:rsid w:val="00D25D92"/>
    <w:rsid w:val="00D2765D"/>
    <w:rsid w:val="00D32B6F"/>
    <w:rsid w:val="00D3446B"/>
    <w:rsid w:val="00D348AB"/>
    <w:rsid w:val="00D41E96"/>
    <w:rsid w:val="00D45F3C"/>
    <w:rsid w:val="00D53041"/>
    <w:rsid w:val="00D6102F"/>
    <w:rsid w:val="00D6352C"/>
    <w:rsid w:val="00D65CDF"/>
    <w:rsid w:val="00D75469"/>
    <w:rsid w:val="00D772FF"/>
    <w:rsid w:val="00D8382A"/>
    <w:rsid w:val="00D84AAE"/>
    <w:rsid w:val="00D86165"/>
    <w:rsid w:val="00D97056"/>
    <w:rsid w:val="00D97519"/>
    <w:rsid w:val="00D975EF"/>
    <w:rsid w:val="00DA0444"/>
    <w:rsid w:val="00DB23FF"/>
    <w:rsid w:val="00DB4576"/>
    <w:rsid w:val="00DC1C3F"/>
    <w:rsid w:val="00DC260F"/>
    <w:rsid w:val="00DC3B7C"/>
    <w:rsid w:val="00DC643D"/>
    <w:rsid w:val="00DC786B"/>
    <w:rsid w:val="00DC7CF0"/>
    <w:rsid w:val="00DF1617"/>
    <w:rsid w:val="00E012E8"/>
    <w:rsid w:val="00E01498"/>
    <w:rsid w:val="00E20796"/>
    <w:rsid w:val="00E246A4"/>
    <w:rsid w:val="00E2490D"/>
    <w:rsid w:val="00E24B98"/>
    <w:rsid w:val="00E2559E"/>
    <w:rsid w:val="00E440F5"/>
    <w:rsid w:val="00E56DE7"/>
    <w:rsid w:val="00E57A43"/>
    <w:rsid w:val="00E61179"/>
    <w:rsid w:val="00E61591"/>
    <w:rsid w:val="00E63599"/>
    <w:rsid w:val="00E718F8"/>
    <w:rsid w:val="00E71C25"/>
    <w:rsid w:val="00E73842"/>
    <w:rsid w:val="00E74D3E"/>
    <w:rsid w:val="00E857EA"/>
    <w:rsid w:val="00E9064D"/>
    <w:rsid w:val="00EA6802"/>
    <w:rsid w:val="00EB004D"/>
    <w:rsid w:val="00EB1E07"/>
    <w:rsid w:val="00EB1FC1"/>
    <w:rsid w:val="00EB40A0"/>
    <w:rsid w:val="00EC79A3"/>
    <w:rsid w:val="00ED4A45"/>
    <w:rsid w:val="00EE5CBE"/>
    <w:rsid w:val="00EF4C15"/>
    <w:rsid w:val="00EF6274"/>
    <w:rsid w:val="00F0317A"/>
    <w:rsid w:val="00F0385D"/>
    <w:rsid w:val="00F1086A"/>
    <w:rsid w:val="00F11FA1"/>
    <w:rsid w:val="00F173EB"/>
    <w:rsid w:val="00F17A73"/>
    <w:rsid w:val="00F2043F"/>
    <w:rsid w:val="00F205FC"/>
    <w:rsid w:val="00F3581D"/>
    <w:rsid w:val="00F36147"/>
    <w:rsid w:val="00F36E7F"/>
    <w:rsid w:val="00F411BC"/>
    <w:rsid w:val="00F416F2"/>
    <w:rsid w:val="00F47E98"/>
    <w:rsid w:val="00F52A00"/>
    <w:rsid w:val="00F556A7"/>
    <w:rsid w:val="00F575A1"/>
    <w:rsid w:val="00F579E9"/>
    <w:rsid w:val="00F62064"/>
    <w:rsid w:val="00F62A4E"/>
    <w:rsid w:val="00F70AD6"/>
    <w:rsid w:val="00F82342"/>
    <w:rsid w:val="00F92616"/>
    <w:rsid w:val="00F960B5"/>
    <w:rsid w:val="00F97189"/>
    <w:rsid w:val="00FA0262"/>
    <w:rsid w:val="00FA3076"/>
    <w:rsid w:val="00FA6A54"/>
    <w:rsid w:val="00FB10ED"/>
    <w:rsid w:val="00FB7CC1"/>
    <w:rsid w:val="00FC5492"/>
    <w:rsid w:val="00FD5AA5"/>
    <w:rsid w:val="00FE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1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414"/>
    <w:rPr>
      <w:sz w:val="16"/>
      <w:szCs w:val="16"/>
    </w:rPr>
  </w:style>
  <w:style w:type="paragraph" w:styleId="CommentText">
    <w:name w:val="annotation text"/>
    <w:basedOn w:val="Normal"/>
    <w:link w:val="CommentTextChar"/>
    <w:semiHidden/>
    <w:unhideWhenUsed/>
    <w:rsid w:val="002E6414"/>
    <w:pPr>
      <w:spacing w:line="240" w:lineRule="auto"/>
    </w:pPr>
    <w:rPr>
      <w:sz w:val="20"/>
      <w:szCs w:val="20"/>
    </w:rPr>
  </w:style>
  <w:style w:type="character" w:customStyle="1" w:styleId="CommentTextChar">
    <w:name w:val="Comment Text Char"/>
    <w:basedOn w:val="DefaultParagraphFont"/>
    <w:link w:val="CommentText"/>
    <w:semiHidden/>
    <w:rsid w:val="002E6414"/>
    <w:rPr>
      <w:sz w:val="20"/>
      <w:szCs w:val="20"/>
    </w:rPr>
  </w:style>
  <w:style w:type="table" w:styleId="TableGrid">
    <w:name w:val="Table Grid"/>
    <w:basedOn w:val="TableNormal"/>
    <w:uiPriority w:val="59"/>
    <w:rsid w:val="002E641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E6414"/>
  </w:style>
  <w:style w:type="paragraph" w:styleId="BalloonText">
    <w:name w:val="Balloon Text"/>
    <w:basedOn w:val="Normal"/>
    <w:link w:val="BalloonTextChar"/>
    <w:uiPriority w:val="99"/>
    <w:semiHidden/>
    <w:unhideWhenUsed/>
    <w:rsid w:val="002E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ECD"/>
    <w:rPr>
      <w:b/>
      <w:bCs/>
    </w:rPr>
  </w:style>
  <w:style w:type="character" w:customStyle="1" w:styleId="CommentSubjectChar">
    <w:name w:val="Comment Subject Char"/>
    <w:basedOn w:val="CommentTextChar"/>
    <w:link w:val="CommentSubject"/>
    <w:uiPriority w:val="99"/>
    <w:semiHidden/>
    <w:rsid w:val="007A4ECD"/>
    <w:rPr>
      <w:b/>
      <w:bCs/>
      <w:sz w:val="20"/>
      <w:szCs w:val="20"/>
    </w:rPr>
  </w:style>
  <w:style w:type="character" w:customStyle="1" w:styleId="li-content">
    <w:name w:val="li-content"/>
    <w:basedOn w:val="DefaultParagraphFont"/>
    <w:rsid w:val="008B1C07"/>
  </w:style>
  <w:style w:type="character" w:styleId="Hyperlink">
    <w:name w:val="Hyperlink"/>
    <w:basedOn w:val="DefaultParagraphFont"/>
    <w:uiPriority w:val="99"/>
    <w:semiHidden/>
    <w:unhideWhenUsed/>
    <w:rsid w:val="00D75469"/>
    <w:rPr>
      <w:color w:val="0000FF"/>
      <w:u w:val="single"/>
    </w:rPr>
  </w:style>
  <w:style w:type="paragraph" w:styleId="Revision">
    <w:name w:val="Revision"/>
    <w:hidden/>
    <w:uiPriority w:val="99"/>
    <w:semiHidden/>
    <w:rsid w:val="00FA6A54"/>
    <w:pPr>
      <w:spacing w:line="240" w:lineRule="auto"/>
    </w:pPr>
  </w:style>
  <w:style w:type="character" w:customStyle="1" w:styleId="hitorg">
    <w:name w:val="hit_org"/>
    <w:basedOn w:val="DefaultParagraphFont"/>
    <w:rsid w:val="00B67DA9"/>
  </w:style>
  <w:style w:type="paragraph" w:styleId="ListParagraph">
    <w:name w:val="List Paragraph"/>
    <w:basedOn w:val="Normal"/>
    <w:uiPriority w:val="34"/>
    <w:qFormat/>
    <w:rsid w:val="00C045BF"/>
    <w:pPr>
      <w:ind w:left="720"/>
      <w:contextualSpacing/>
    </w:pPr>
  </w:style>
  <w:style w:type="character" w:styleId="FootnoteReference">
    <w:name w:val="footnote reference"/>
    <w:semiHidden/>
    <w:rsid w:val="00076916"/>
    <w:rPr>
      <w:vertAlign w:val="superscript"/>
    </w:rPr>
  </w:style>
  <w:style w:type="character" w:styleId="EndnoteReference">
    <w:name w:val="endnote reference"/>
    <w:semiHidden/>
    <w:rsid w:val="00076916"/>
    <w:rPr>
      <w:vertAlign w:val="superscript"/>
    </w:rPr>
  </w:style>
  <w:style w:type="paragraph" w:styleId="PlainText">
    <w:name w:val="Plain Text"/>
    <w:basedOn w:val="Normal"/>
    <w:link w:val="PlainTextChar"/>
    <w:uiPriority w:val="99"/>
    <w:semiHidden/>
    <w:unhideWhenUsed/>
    <w:rsid w:val="001E6BD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E6BD0"/>
    <w:rPr>
      <w:rFonts w:ascii="Calibri" w:hAnsi="Calibri" w:cs="Calibri"/>
    </w:rPr>
  </w:style>
  <w:style w:type="paragraph" w:styleId="Header">
    <w:name w:val="header"/>
    <w:basedOn w:val="Normal"/>
    <w:link w:val="HeaderChar"/>
    <w:uiPriority w:val="99"/>
    <w:unhideWhenUsed/>
    <w:rsid w:val="00480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08"/>
  </w:style>
  <w:style w:type="paragraph" w:styleId="Footer">
    <w:name w:val="footer"/>
    <w:basedOn w:val="Normal"/>
    <w:link w:val="FooterChar"/>
    <w:uiPriority w:val="99"/>
    <w:unhideWhenUsed/>
    <w:rsid w:val="0048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08"/>
  </w:style>
  <w:style w:type="paragraph" w:styleId="NormalWeb">
    <w:name w:val="Normal (Web)"/>
    <w:basedOn w:val="Normal"/>
    <w:uiPriority w:val="99"/>
    <w:semiHidden/>
    <w:unhideWhenUsed/>
    <w:rsid w:val="005D131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1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414"/>
    <w:rPr>
      <w:sz w:val="16"/>
      <w:szCs w:val="16"/>
    </w:rPr>
  </w:style>
  <w:style w:type="paragraph" w:styleId="CommentText">
    <w:name w:val="annotation text"/>
    <w:basedOn w:val="Normal"/>
    <w:link w:val="CommentTextChar"/>
    <w:semiHidden/>
    <w:unhideWhenUsed/>
    <w:rsid w:val="002E6414"/>
    <w:pPr>
      <w:spacing w:line="240" w:lineRule="auto"/>
    </w:pPr>
    <w:rPr>
      <w:sz w:val="20"/>
      <w:szCs w:val="20"/>
    </w:rPr>
  </w:style>
  <w:style w:type="character" w:customStyle="1" w:styleId="CommentTextChar">
    <w:name w:val="Comment Text Char"/>
    <w:basedOn w:val="DefaultParagraphFont"/>
    <w:link w:val="CommentText"/>
    <w:semiHidden/>
    <w:rsid w:val="002E6414"/>
    <w:rPr>
      <w:sz w:val="20"/>
      <w:szCs w:val="20"/>
    </w:rPr>
  </w:style>
  <w:style w:type="table" w:styleId="TableGrid">
    <w:name w:val="Table Grid"/>
    <w:basedOn w:val="TableNormal"/>
    <w:uiPriority w:val="59"/>
    <w:rsid w:val="002E641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E6414"/>
  </w:style>
  <w:style w:type="paragraph" w:styleId="BalloonText">
    <w:name w:val="Balloon Text"/>
    <w:basedOn w:val="Normal"/>
    <w:link w:val="BalloonTextChar"/>
    <w:uiPriority w:val="99"/>
    <w:semiHidden/>
    <w:unhideWhenUsed/>
    <w:rsid w:val="002E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41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A4ECD"/>
    <w:rPr>
      <w:b/>
      <w:bCs/>
    </w:rPr>
  </w:style>
  <w:style w:type="character" w:customStyle="1" w:styleId="CommentSubjectChar">
    <w:name w:val="Comment Subject Char"/>
    <w:basedOn w:val="CommentTextChar"/>
    <w:link w:val="CommentSubject"/>
    <w:uiPriority w:val="99"/>
    <w:semiHidden/>
    <w:rsid w:val="007A4ECD"/>
    <w:rPr>
      <w:b/>
      <w:bCs/>
      <w:sz w:val="20"/>
      <w:szCs w:val="20"/>
    </w:rPr>
  </w:style>
  <w:style w:type="character" w:customStyle="1" w:styleId="li-content">
    <w:name w:val="li-content"/>
    <w:basedOn w:val="DefaultParagraphFont"/>
    <w:rsid w:val="008B1C07"/>
  </w:style>
  <w:style w:type="character" w:styleId="Hyperlink">
    <w:name w:val="Hyperlink"/>
    <w:basedOn w:val="DefaultParagraphFont"/>
    <w:uiPriority w:val="99"/>
    <w:semiHidden/>
    <w:unhideWhenUsed/>
    <w:rsid w:val="00D75469"/>
    <w:rPr>
      <w:color w:val="0000FF"/>
      <w:u w:val="single"/>
    </w:rPr>
  </w:style>
  <w:style w:type="paragraph" w:styleId="Revision">
    <w:name w:val="Revision"/>
    <w:hidden/>
    <w:uiPriority w:val="99"/>
    <w:semiHidden/>
    <w:rsid w:val="00FA6A54"/>
    <w:pPr>
      <w:spacing w:line="240" w:lineRule="auto"/>
    </w:pPr>
  </w:style>
  <w:style w:type="character" w:customStyle="1" w:styleId="hitorg">
    <w:name w:val="hit_org"/>
    <w:basedOn w:val="DefaultParagraphFont"/>
    <w:rsid w:val="00B67DA9"/>
  </w:style>
  <w:style w:type="paragraph" w:styleId="ListParagraph">
    <w:name w:val="List Paragraph"/>
    <w:basedOn w:val="Normal"/>
    <w:uiPriority w:val="34"/>
    <w:qFormat/>
    <w:rsid w:val="00C045BF"/>
    <w:pPr>
      <w:ind w:left="720"/>
      <w:contextualSpacing/>
    </w:pPr>
  </w:style>
  <w:style w:type="character" w:styleId="FootnoteReference">
    <w:name w:val="footnote reference"/>
    <w:semiHidden/>
    <w:rsid w:val="00076916"/>
    <w:rPr>
      <w:vertAlign w:val="superscript"/>
    </w:rPr>
  </w:style>
  <w:style w:type="character" w:styleId="EndnoteReference">
    <w:name w:val="endnote reference"/>
    <w:semiHidden/>
    <w:rsid w:val="00076916"/>
    <w:rPr>
      <w:vertAlign w:val="superscript"/>
    </w:rPr>
  </w:style>
  <w:style w:type="paragraph" w:styleId="PlainText">
    <w:name w:val="Plain Text"/>
    <w:basedOn w:val="Normal"/>
    <w:link w:val="PlainTextChar"/>
    <w:uiPriority w:val="99"/>
    <w:semiHidden/>
    <w:unhideWhenUsed/>
    <w:rsid w:val="001E6BD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1E6BD0"/>
    <w:rPr>
      <w:rFonts w:ascii="Calibri" w:hAnsi="Calibri" w:cs="Calibri"/>
    </w:rPr>
  </w:style>
  <w:style w:type="paragraph" w:styleId="Header">
    <w:name w:val="header"/>
    <w:basedOn w:val="Normal"/>
    <w:link w:val="HeaderChar"/>
    <w:uiPriority w:val="99"/>
    <w:unhideWhenUsed/>
    <w:rsid w:val="00480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808"/>
  </w:style>
  <w:style w:type="paragraph" w:styleId="Footer">
    <w:name w:val="footer"/>
    <w:basedOn w:val="Normal"/>
    <w:link w:val="FooterChar"/>
    <w:uiPriority w:val="99"/>
    <w:unhideWhenUsed/>
    <w:rsid w:val="0048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808"/>
  </w:style>
  <w:style w:type="paragraph" w:styleId="NormalWeb">
    <w:name w:val="Normal (Web)"/>
    <w:basedOn w:val="Normal"/>
    <w:uiPriority w:val="99"/>
    <w:semiHidden/>
    <w:unhideWhenUsed/>
    <w:rsid w:val="005D131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370">
      <w:bodyDiv w:val="1"/>
      <w:marLeft w:val="0"/>
      <w:marRight w:val="0"/>
      <w:marTop w:val="0"/>
      <w:marBottom w:val="0"/>
      <w:divBdr>
        <w:top w:val="none" w:sz="0" w:space="0" w:color="auto"/>
        <w:left w:val="none" w:sz="0" w:space="0" w:color="auto"/>
        <w:bottom w:val="none" w:sz="0" w:space="0" w:color="auto"/>
        <w:right w:val="none" w:sz="0" w:space="0" w:color="auto"/>
      </w:divBdr>
    </w:div>
    <w:div w:id="218132313">
      <w:bodyDiv w:val="1"/>
      <w:marLeft w:val="0"/>
      <w:marRight w:val="0"/>
      <w:marTop w:val="0"/>
      <w:marBottom w:val="0"/>
      <w:divBdr>
        <w:top w:val="none" w:sz="0" w:space="0" w:color="auto"/>
        <w:left w:val="none" w:sz="0" w:space="0" w:color="auto"/>
        <w:bottom w:val="none" w:sz="0" w:space="0" w:color="auto"/>
        <w:right w:val="none" w:sz="0" w:space="0" w:color="auto"/>
      </w:divBdr>
    </w:div>
    <w:div w:id="245303760">
      <w:bodyDiv w:val="1"/>
      <w:marLeft w:val="0"/>
      <w:marRight w:val="0"/>
      <w:marTop w:val="0"/>
      <w:marBottom w:val="0"/>
      <w:divBdr>
        <w:top w:val="none" w:sz="0" w:space="0" w:color="auto"/>
        <w:left w:val="none" w:sz="0" w:space="0" w:color="auto"/>
        <w:bottom w:val="none" w:sz="0" w:space="0" w:color="auto"/>
        <w:right w:val="none" w:sz="0" w:space="0" w:color="auto"/>
      </w:divBdr>
    </w:div>
    <w:div w:id="650134446">
      <w:bodyDiv w:val="1"/>
      <w:marLeft w:val="0"/>
      <w:marRight w:val="0"/>
      <w:marTop w:val="0"/>
      <w:marBottom w:val="0"/>
      <w:divBdr>
        <w:top w:val="none" w:sz="0" w:space="0" w:color="auto"/>
        <w:left w:val="none" w:sz="0" w:space="0" w:color="auto"/>
        <w:bottom w:val="none" w:sz="0" w:space="0" w:color="auto"/>
        <w:right w:val="none" w:sz="0" w:space="0" w:color="auto"/>
      </w:divBdr>
    </w:div>
    <w:div w:id="712925653">
      <w:bodyDiv w:val="1"/>
      <w:marLeft w:val="0"/>
      <w:marRight w:val="0"/>
      <w:marTop w:val="0"/>
      <w:marBottom w:val="0"/>
      <w:divBdr>
        <w:top w:val="none" w:sz="0" w:space="0" w:color="auto"/>
        <w:left w:val="none" w:sz="0" w:space="0" w:color="auto"/>
        <w:bottom w:val="none" w:sz="0" w:space="0" w:color="auto"/>
        <w:right w:val="none" w:sz="0" w:space="0" w:color="auto"/>
      </w:divBdr>
    </w:div>
    <w:div w:id="827359006">
      <w:bodyDiv w:val="1"/>
      <w:marLeft w:val="0"/>
      <w:marRight w:val="0"/>
      <w:marTop w:val="0"/>
      <w:marBottom w:val="0"/>
      <w:divBdr>
        <w:top w:val="none" w:sz="0" w:space="0" w:color="auto"/>
        <w:left w:val="none" w:sz="0" w:space="0" w:color="auto"/>
        <w:bottom w:val="none" w:sz="0" w:space="0" w:color="auto"/>
        <w:right w:val="none" w:sz="0" w:space="0" w:color="auto"/>
      </w:divBdr>
    </w:div>
    <w:div w:id="1063286128">
      <w:bodyDiv w:val="1"/>
      <w:marLeft w:val="0"/>
      <w:marRight w:val="0"/>
      <w:marTop w:val="0"/>
      <w:marBottom w:val="0"/>
      <w:divBdr>
        <w:top w:val="none" w:sz="0" w:space="0" w:color="auto"/>
        <w:left w:val="none" w:sz="0" w:space="0" w:color="auto"/>
        <w:bottom w:val="none" w:sz="0" w:space="0" w:color="auto"/>
        <w:right w:val="none" w:sz="0" w:space="0" w:color="auto"/>
      </w:divBdr>
    </w:div>
    <w:div w:id="1092049274">
      <w:bodyDiv w:val="1"/>
      <w:marLeft w:val="0"/>
      <w:marRight w:val="0"/>
      <w:marTop w:val="0"/>
      <w:marBottom w:val="0"/>
      <w:divBdr>
        <w:top w:val="none" w:sz="0" w:space="0" w:color="auto"/>
        <w:left w:val="none" w:sz="0" w:space="0" w:color="auto"/>
        <w:bottom w:val="none" w:sz="0" w:space="0" w:color="auto"/>
        <w:right w:val="none" w:sz="0" w:space="0" w:color="auto"/>
      </w:divBdr>
    </w:div>
    <w:div w:id="1157841202">
      <w:bodyDiv w:val="1"/>
      <w:marLeft w:val="0"/>
      <w:marRight w:val="0"/>
      <w:marTop w:val="0"/>
      <w:marBottom w:val="0"/>
      <w:divBdr>
        <w:top w:val="none" w:sz="0" w:space="0" w:color="auto"/>
        <w:left w:val="none" w:sz="0" w:space="0" w:color="auto"/>
        <w:bottom w:val="none" w:sz="0" w:space="0" w:color="auto"/>
        <w:right w:val="none" w:sz="0" w:space="0" w:color="auto"/>
      </w:divBdr>
    </w:div>
    <w:div w:id="1244725474">
      <w:bodyDiv w:val="1"/>
      <w:marLeft w:val="0"/>
      <w:marRight w:val="0"/>
      <w:marTop w:val="0"/>
      <w:marBottom w:val="0"/>
      <w:divBdr>
        <w:top w:val="none" w:sz="0" w:space="0" w:color="auto"/>
        <w:left w:val="none" w:sz="0" w:space="0" w:color="auto"/>
        <w:bottom w:val="none" w:sz="0" w:space="0" w:color="auto"/>
        <w:right w:val="none" w:sz="0" w:space="0" w:color="auto"/>
      </w:divBdr>
      <w:divsChild>
        <w:div w:id="1475103287">
          <w:marLeft w:val="0"/>
          <w:marRight w:val="0"/>
          <w:marTop w:val="120"/>
          <w:marBottom w:val="0"/>
          <w:divBdr>
            <w:top w:val="none" w:sz="0" w:space="0" w:color="auto"/>
            <w:left w:val="none" w:sz="0" w:space="0" w:color="auto"/>
            <w:bottom w:val="none" w:sz="0" w:space="0" w:color="auto"/>
            <w:right w:val="none" w:sz="0" w:space="0" w:color="auto"/>
          </w:divBdr>
        </w:div>
        <w:div w:id="1245650397">
          <w:marLeft w:val="0"/>
          <w:marRight w:val="0"/>
          <w:marTop w:val="120"/>
          <w:marBottom w:val="0"/>
          <w:divBdr>
            <w:top w:val="none" w:sz="0" w:space="0" w:color="auto"/>
            <w:left w:val="none" w:sz="0" w:space="0" w:color="auto"/>
            <w:bottom w:val="none" w:sz="0" w:space="0" w:color="auto"/>
            <w:right w:val="none" w:sz="0" w:space="0" w:color="auto"/>
          </w:divBdr>
        </w:div>
      </w:divsChild>
    </w:div>
    <w:div w:id="1314673952">
      <w:bodyDiv w:val="1"/>
      <w:marLeft w:val="0"/>
      <w:marRight w:val="0"/>
      <w:marTop w:val="0"/>
      <w:marBottom w:val="0"/>
      <w:divBdr>
        <w:top w:val="none" w:sz="0" w:space="0" w:color="auto"/>
        <w:left w:val="none" w:sz="0" w:space="0" w:color="auto"/>
        <w:bottom w:val="none" w:sz="0" w:space="0" w:color="auto"/>
        <w:right w:val="none" w:sz="0" w:space="0" w:color="auto"/>
      </w:divBdr>
    </w:div>
    <w:div w:id="1406414801">
      <w:bodyDiv w:val="1"/>
      <w:marLeft w:val="0"/>
      <w:marRight w:val="0"/>
      <w:marTop w:val="0"/>
      <w:marBottom w:val="0"/>
      <w:divBdr>
        <w:top w:val="none" w:sz="0" w:space="0" w:color="auto"/>
        <w:left w:val="none" w:sz="0" w:space="0" w:color="auto"/>
        <w:bottom w:val="none" w:sz="0" w:space="0" w:color="auto"/>
        <w:right w:val="none" w:sz="0" w:space="0" w:color="auto"/>
      </w:divBdr>
    </w:div>
    <w:div w:id="14332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medtronic.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6A33-C23B-4763-9EE9-F49BC817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Janasz, Kathleen</dc:creator>
  <cp:lastModifiedBy>Tou Hang</cp:lastModifiedBy>
  <cp:revision>5</cp:revision>
  <cp:lastPrinted>2014-03-25T21:21:00Z</cp:lastPrinted>
  <dcterms:created xsi:type="dcterms:W3CDTF">2014-03-28T01:13:00Z</dcterms:created>
  <dcterms:modified xsi:type="dcterms:W3CDTF">2014-03-28T16:49:00Z</dcterms:modified>
</cp:coreProperties>
</file>