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bookmarkStart w:id="0" w:name="_GoBack"/>
      <w:bookmarkEnd w:id="0"/>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1" w:name="contactname1"/>
            <w:bookmarkStart w:id="2" w:name="contactname2"/>
            <w:bookmarkStart w:id="3" w:name="contactname3"/>
            <w:bookmarkEnd w:id="1"/>
            <w:bookmarkEnd w:id="2"/>
            <w:bookmarkEnd w:id="3"/>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4" w:name="contactphone1"/>
            <w:bookmarkStart w:id="5" w:name="contactphone2"/>
            <w:bookmarkStart w:id="6" w:name="contactphone3"/>
            <w:bookmarkEnd w:id="4"/>
            <w:bookmarkEnd w:id="5"/>
            <w:bookmarkEnd w:id="6"/>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E61A76"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7" w:name="contactemail1"/>
        <w:bookmarkStart w:id="8" w:name="contactemail2"/>
        <w:bookmarkStart w:id="9" w:name="contactemail3"/>
        <w:bookmarkEnd w:id="7"/>
        <w:bookmarkEnd w:id="8"/>
        <w:bookmarkEnd w:id="9"/>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E61A76"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791520" w:rsidRPr="00791520" w:rsidRDefault="00791520" w:rsidP="00791520">
      <w:pPr>
        <w:pStyle w:val="BodyText2"/>
        <w:spacing w:line="276" w:lineRule="auto"/>
        <w:jc w:val="both"/>
        <w:rPr>
          <w:rFonts w:ascii="Arial" w:hAnsi="Arial" w:cs="Arial"/>
          <w:b/>
          <w:bCs/>
          <w:sz w:val="44"/>
          <w:szCs w:val="32"/>
          <w:lang w:val="cs-CZ"/>
        </w:rPr>
      </w:pPr>
      <w:r w:rsidRPr="00791520">
        <w:rPr>
          <w:rFonts w:ascii="Arial" w:hAnsi="Arial" w:cs="Arial"/>
          <w:b/>
          <w:bCs/>
          <w:sz w:val="44"/>
          <w:szCs w:val="32"/>
          <w:lang w:val="cs-CZ"/>
        </w:rPr>
        <w:t>Ford zkoumá, jak využít technologii blockchain ke zvýšení kvality ovzduší ve městech</w:t>
      </w:r>
    </w:p>
    <w:p w:rsidR="004A5828" w:rsidRPr="00B37CF9" w:rsidRDefault="004A5828" w:rsidP="00311D56">
      <w:pPr>
        <w:pStyle w:val="BodyText2"/>
        <w:spacing w:line="276" w:lineRule="auto"/>
        <w:jc w:val="both"/>
        <w:rPr>
          <w:rFonts w:ascii="Arial" w:hAnsi="Arial" w:cs="Arial"/>
          <w:b/>
          <w:bCs/>
          <w:sz w:val="22"/>
          <w:szCs w:val="22"/>
          <w:lang w:val="cs-CZ"/>
        </w:rPr>
      </w:pPr>
    </w:p>
    <w:p w:rsidR="00791520" w:rsidRPr="00791520" w:rsidRDefault="00791520" w:rsidP="00791520">
      <w:pPr>
        <w:pStyle w:val="ListParagraph"/>
        <w:numPr>
          <w:ilvl w:val="0"/>
          <w:numId w:val="4"/>
        </w:numPr>
        <w:spacing w:line="276" w:lineRule="auto"/>
        <w:ind w:left="720" w:right="-24"/>
        <w:jc w:val="both"/>
        <w:rPr>
          <w:rFonts w:ascii="Arial" w:hAnsi="Arial" w:cs="Arial"/>
          <w:b/>
          <w:szCs w:val="22"/>
        </w:rPr>
      </w:pPr>
      <w:r w:rsidRPr="00791520">
        <w:rPr>
          <w:rFonts w:ascii="Arial" w:hAnsi="Arial" w:cs="Arial"/>
          <w:b/>
          <w:szCs w:val="22"/>
        </w:rPr>
        <w:t>V pilotním projektu nasazuje Ford k zajištění šetrného provozu v nízkoemisních zónách inovativní technologie</w:t>
      </w:r>
      <w:r w:rsidR="0029658A">
        <w:rPr>
          <w:rFonts w:ascii="Arial" w:hAnsi="Arial" w:cs="Arial"/>
          <w:b/>
          <w:szCs w:val="22"/>
        </w:rPr>
        <w:t>:</w:t>
      </w:r>
      <w:r w:rsidRPr="00791520">
        <w:rPr>
          <w:rFonts w:ascii="Arial" w:hAnsi="Arial" w:cs="Arial"/>
          <w:b/>
          <w:szCs w:val="22"/>
        </w:rPr>
        <w:t xml:space="preserve"> geofencing a blockchain</w:t>
      </w:r>
    </w:p>
    <w:p w:rsidR="00791520" w:rsidRPr="00791520" w:rsidRDefault="00791520" w:rsidP="00791520">
      <w:pPr>
        <w:pStyle w:val="ListParagraph"/>
        <w:spacing w:line="276" w:lineRule="auto"/>
        <w:ind w:right="-24"/>
        <w:jc w:val="both"/>
        <w:rPr>
          <w:rFonts w:ascii="Arial" w:hAnsi="Arial" w:cs="Arial"/>
          <w:b/>
          <w:szCs w:val="22"/>
        </w:rPr>
      </w:pPr>
    </w:p>
    <w:p w:rsidR="00791520" w:rsidRPr="00791520" w:rsidRDefault="00791520" w:rsidP="00791520">
      <w:pPr>
        <w:pStyle w:val="ListParagraph"/>
        <w:numPr>
          <w:ilvl w:val="0"/>
          <w:numId w:val="4"/>
        </w:numPr>
        <w:spacing w:line="276" w:lineRule="auto"/>
        <w:ind w:left="720" w:right="-24"/>
        <w:jc w:val="both"/>
        <w:rPr>
          <w:rFonts w:ascii="Arial" w:hAnsi="Arial" w:cs="Arial"/>
          <w:b/>
          <w:szCs w:val="22"/>
        </w:rPr>
      </w:pPr>
      <w:r w:rsidRPr="00791520">
        <w:rPr>
          <w:rFonts w:ascii="Arial" w:hAnsi="Arial" w:cs="Arial"/>
          <w:b/>
          <w:szCs w:val="22"/>
        </w:rPr>
        <w:t>Na provozní zkoušky vozů Transit Custom Plug-</w:t>
      </w:r>
      <w:r>
        <w:rPr>
          <w:rFonts w:ascii="Arial" w:hAnsi="Arial" w:cs="Arial"/>
          <w:b/>
          <w:szCs w:val="22"/>
        </w:rPr>
        <w:t>i</w:t>
      </w:r>
      <w:r w:rsidRPr="00791520">
        <w:rPr>
          <w:rFonts w:ascii="Arial" w:hAnsi="Arial" w:cs="Arial"/>
          <w:b/>
          <w:szCs w:val="22"/>
        </w:rPr>
        <w:t xml:space="preserve">n Hybrid v Londýně a Valencii navazuje obdobný projekt v Kolíně nad Rýnem </w:t>
      </w:r>
    </w:p>
    <w:p w:rsidR="00791520" w:rsidRPr="00791520" w:rsidRDefault="00791520" w:rsidP="00791520">
      <w:pPr>
        <w:pStyle w:val="ListParagraph"/>
        <w:spacing w:line="276" w:lineRule="auto"/>
        <w:ind w:right="-24"/>
        <w:jc w:val="both"/>
        <w:rPr>
          <w:rFonts w:ascii="Arial" w:hAnsi="Arial" w:cs="Arial"/>
          <w:b/>
          <w:szCs w:val="22"/>
        </w:rPr>
      </w:pPr>
    </w:p>
    <w:p w:rsidR="00791520" w:rsidRPr="00791520" w:rsidRDefault="00791520" w:rsidP="00791520">
      <w:pPr>
        <w:pStyle w:val="ListParagraph"/>
        <w:numPr>
          <w:ilvl w:val="0"/>
          <w:numId w:val="4"/>
        </w:numPr>
        <w:spacing w:line="276" w:lineRule="auto"/>
        <w:ind w:left="720" w:right="-24"/>
        <w:jc w:val="both"/>
        <w:rPr>
          <w:rFonts w:ascii="Arial" w:hAnsi="Arial" w:cs="Arial"/>
          <w:b/>
          <w:szCs w:val="22"/>
        </w:rPr>
      </w:pPr>
      <w:r w:rsidRPr="00791520">
        <w:rPr>
          <w:rFonts w:ascii="Arial" w:hAnsi="Arial" w:cs="Arial"/>
          <w:b/>
          <w:szCs w:val="22"/>
        </w:rPr>
        <w:t>Nové plug-in hybridní užitkové modely Ford ujedou v cyklu NEDC na elektřinu až 56 km. Motor 1.0 EcoBoost, který v případě potřeby dobíjí akumulátor, prodlouží celkový dojezd na více než 500 km</w:t>
      </w:r>
    </w:p>
    <w:p w:rsidR="00791520" w:rsidRPr="00791520" w:rsidRDefault="00791520" w:rsidP="00791520">
      <w:pPr>
        <w:pStyle w:val="ListParagraph"/>
        <w:spacing w:line="276" w:lineRule="auto"/>
        <w:ind w:right="-24"/>
        <w:jc w:val="both"/>
        <w:rPr>
          <w:rFonts w:ascii="Arial" w:hAnsi="Arial" w:cs="Arial"/>
          <w:b/>
          <w:szCs w:val="22"/>
        </w:rPr>
      </w:pPr>
    </w:p>
    <w:p w:rsidR="00791520" w:rsidRPr="00791520" w:rsidRDefault="00791520" w:rsidP="00791520">
      <w:pPr>
        <w:pStyle w:val="ListParagraph"/>
        <w:numPr>
          <w:ilvl w:val="0"/>
          <w:numId w:val="4"/>
        </w:numPr>
        <w:spacing w:line="276" w:lineRule="auto"/>
        <w:ind w:left="720" w:right="-24"/>
        <w:jc w:val="both"/>
        <w:rPr>
          <w:rFonts w:ascii="Arial" w:hAnsi="Arial" w:cs="Arial"/>
          <w:b/>
          <w:szCs w:val="22"/>
        </w:rPr>
      </w:pPr>
      <w:r w:rsidRPr="00791520">
        <w:rPr>
          <w:rFonts w:ascii="Arial" w:hAnsi="Arial" w:cs="Arial"/>
          <w:b/>
          <w:szCs w:val="22"/>
        </w:rPr>
        <w:t>Ford Transit Custom nabízí plug-in hybridní technologii jako první model ve své třídě. Objednávat ho lze již dnes, první kusy budou dodány zákazníkům koncem roku. V roce 2021 plánuje Ford uvést na trh Transit s čistě elektrickým pohonem</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791520">
        <w:rPr>
          <w:rFonts w:ascii="Arial" w:hAnsi="Arial" w:cs="Arial"/>
          <w:b/>
          <w:i/>
          <w:sz w:val="24"/>
        </w:rPr>
        <w:t>17</w:t>
      </w:r>
      <w:r w:rsidRPr="009A1395">
        <w:rPr>
          <w:rFonts w:ascii="Arial" w:hAnsi="Arial" w:cs="Arial"/>
          <w:b/>
          <w:i/>
          <w:sz w:val="24"/>
        </w:rPr>
        <w:t xml:space="preserve">. </w:t>
      </w:r>
      <w:r w:rsidR="00791520">
        <w:rPr>
          <w:rFonts w:ascii="Arial" w:hAnsi="Arial" w:cs="Arial"/>
          <w:b/>
          <w:i/>
          <w:sz w:val="24"/>
        </w:rPr>
        <w:t>října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791520" w:rsidRPr="00791520">
        <w:rPr>
          <w:rFonts w:ascii="Arial" w:hAnsi="Arial" w:cs="Arial"/>
          <w:b/>
          <w:sz w:val="24"/>
        </w:rPr>
        <w:t>Ford rozšiřuje svůj evropský program testování užitkových vozů s plug-in hybridním pohonem (PHEV) do Kolína nad Rýnem. Cílem studie, která probíhá rovněž v ulicích Londýna a Valencie, je ověřit, jaké přednosti má tento typ pohonu z hlediska kvality ovzduší i z pohledu provozovatelů.</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Ve spolupráci s pěti městskými částmi i vedením města bude v reálném provozu nasazeno devět dodávek Ford Transit Custom Plug-</w:t>
      </w:r>
      <w:r>
        <w:rPr>
          <w:rFonts w:ascii="Arial" w:hAnsi="Arial" w:cs="Arial"/>
          <w:sz w:val="24"/>
        </w:rPr>
        <w:t>i</w:t>
      </w:r>
      <w:r w:rsidRPr="00791520">
        <w:rPr>
          <w:rFonts w:ascii="Arial" w:hAnsi="Arial" w:cs="Arial"/>
          <w:sz w:val="24"/>
        </w:rPr>
        <w:t>n Hybrid a jeden velkoprostorový Ford Tourneo Custom Plug-</w:t>
      </w:r>
      <w:r>
        <w:rPr>
          <w:rFonts w:ascii="Arial" w:hAnsi="Arial" w:cs="Arial"/>
          <w:sz w:val="24"/>
        </w:rPr>
        <w:t>i</w:t>
      </w:r>
      <w:r w:rsidRPr="00791520">
        <w:rPr>
          <w:rFonts w:ascii="Arial" w:hAnsi="Arial" w:cs="Arial"/>
          <w:sz w:val="24"/>
        </w:rPr>
        <w:t xml:space="preserve">n Hybrid. Ford se zaměří i na </w:t>
      </w:r>
      <w:r w:rsidR="006D0516">
        <w:rPr>
          <w:rFonts w:ascii="Arial" w:hAnsi="Arial" w:cs="Arial"/>
          <w:sz w:val="24"/>
        </w:rPr>
        <w:t>způsob</w:t>
      </w:r>
      <w:r w:rsidRPr="00791520">
        <w:rPr>
          <w:rFonts w:ascii="Arial" w:hAnsi="Arial" w:cs="Arial"/>
          <w:sz w:val="24"/>
        </w:rPr>
        <w:t>, jak</w:t>
      </w:r>
      <w:r w:rsidR="006D0516">
        <w:rPr>
          <w:rFonts w:ascii="Arial" w:hAnsi="Arial" w:cs="Arial"/>
          <w:sz w:val="24"/>
        </w:rPr>
        <w:t>ým</w:t>
      </w:r>
      <w:r w:rsidRPr="00791520">
        <w:rPr>
          <w:rFonts w:ascii="Arial" w:hAnsi="Arial" w:cs="Arial"/>
          <w:sz w:val="24"/>
        </w:rPr>
        <w:t xml:space="preserve"> mohou k přesnějšímu sledování vozů a zvýšení počtu „zelených kilometrů“ přispět moderní technologie blockchain a geofencing.</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Blockchain je</w:t>
      </w:r>
      <w:r w:rsidR="005917B0">
        <w:rPr>
          <w:rFonts w:ascii="Arial" w:hAnsi="Arial" w:cs="Arial"/>
          <w:sz w:val="24"/>
        </w:rPr>
        <w:t xml:space="preserve"> typem</w:t>
      </w:r>
      <w:r w:rsidRPr="00791520">
        <w:rPr>
          <w:rFonts w:ascii="Arial" w:hAnsi="Arial" w:cs="Arial"/>
          <w:sz w:val="24"/>
        </w:rPr>
        <w:t xml:space="preserve"> technologie zabezpečení dat. Vytváří trvalé záznamy s časovým razítkem. Databáze jsou uložené v mnoha počítačích a neustále se rozrůstají. Geofencing je</w:t>
      </w:r>
      <w:r w:rsidR="005917B0">
        <w:rPr>
          <w:rFonts w:ascii="Arial" w:hAnsi="Arial" w:cs="Arial"/>
          <w:sz w:val="24"/>
        </w:rPr>
        <w:t xml:space="preserve"> termín pro</w:t>
      </w:r>
      <w:r w:rsidRPr="00791520">
        <w:rPr>
          <w:rFonts w:ascii="Arial" w:hAnsi="Arial" w:cs="Arial"/>
          <w:sz w:val="24"/>
        </w:rPr>
        <w:t xml:space="preserve"> vytvoření virtuálních hranic (geo = geografické, fencing = oplocení) na základě systému GPS. </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Podobně jako jiná města v Evropě zavádí i Kolín nad Rýnem nízkoemisní zóny, jejichž cílem je zamezit vjezdu nejvíce znečisťujících vozidel</w:t>
      </w:r>
      <w:r w:rsidR="005917B0">
        <w:rPr>
          <w:rFonts w:ascii="Arial" w:hAnsi="Arial" w:cs="Arial"/>
          <w:sz w:val="24"/>
        </w:rPr>
        <w:t>,</w:t>
      </w:r>
      <w:r w:rsidRPr="00791520">
        <w:rPr>
          <w:rFonts w:ascii="Arial" w:hAnsi="Arial" w:cs="Arial"/>
          <w:sz w:val="24"/>
        </w:rPr>
        <w:t xml:space="preserve"> a zvýšit tak kvalitu ovzduší. Zóny </w:t>
      </w:r>
      <w:r w:rsidR="005917B0">
        <w:rPr>
          <w:rFonts w:ascii="Arial" w:hAnsi="Arial" w:cs="Arial"/>
          <w:sz w:val="24"/>
        </w:rPr>
        <w:t>znamenají</w:t>
      </w:r>
      <w:r w:rsidRPr="00791520">
        <w:rPr>
          <w:rFonts w:ascii="Arial" w:hAnsi="Arial" w:cs="Arial"/>
          <w:sz w:val="24"/>
        </w:rPr>
        <w:t xml:space="preserve"> však komplik</w:t>
      </w:r>
      <w:r w:rsidR="005917B0">
        <w:rPr>
          <w:rFonts w:ascii="Arial" w:hAnsi="Arial" w:cs="Arial"/>
          <w:sz w:val="24"/>
        </w:rPr>
        <w:t>ace</w:t>
      </w:r>
      <w:r w:rsidRPr="00791520">
        <w:rPr>
          <w:rFonts w:ascii="Arial" w:hAnsi="Arial" w:cs="Arial"/>
          <w:sz w:val="24"/>
        </w:rPr>
        <w:t xml:space="preserve"> pro města, která je musí zřídit a spravovat, i pro řidiče, kteří ne vždy chápou, kdy a kde omezení platí. Právě zde </w:t>
      </w:r>
      <w:r w:rsidR="005917B0">
        <w:rPr>
          <w:rFonts w:ascii="Arial" w:hAnsi="Arial" w:cs="Arial"/>
          <w:sz w:val="24"/>
        </w:rPr>
        <w:t>mohou</w:t>
      </w:r>
      <w:r w:rsidRPr="00791520">
        <w:rPr>
          <w:rFonts w:ascii="Arial" w:hAnsi="Arial" w:cs="Arial"/>
          <w:sz w:val="24"/>
        </w:rPr>
        <w:t xml:space="preserve"> blockchain a geofencing pomoci.</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Všech 10 PHEV vozů</w:t>
      </w:r>
      <w:r w:rsidR="005917B0">
        <w:rPr>
          <w:rFonts w:ascii="Arial" w:hAnsi="Arial" w:cs="Arial"/>
          <w:sz w:val="24"/>
        </w:rPr>
        <w:t>,</w:t>
      </w:r>
      <w:r w:rsidRPr="00791520">
        <w:rPr>
          <w:rFonts w:ascii="Arial" w:hAnsi="Arial" w:cs="Arial"/>
          <w:sz w:val="24"/>
        </w:rPr>
        <w:t xml:space="preserve"> zapojených do dvanáctiměsíčního testu</w:t>
      </w:r>
      <w:r w:rsidR="005917B0">
        <w:rPr>
          <w:rFonts w:ascii="Arial" w:hAnsi="Arial" w:cs="Arial"/>
          <w:sz w:val="24"/>
        </w:rPr>
        <w:t>,</w:t>
      </w:r>
      <w:r w:rsidRPr="00791520">
        <w:rPr>
          <w:rFonts w:ascii="Arial" w:hAnsi="Arial" w:cs="Arial"/>
          <w:sz w:val="24"/>
        </w:rPr>
        <w:t xml:space="preserve"> má zabudovaný modem FordPass Connect a přídavné zařízení, které zajišťuje fungování blockchainu a geofencingu. Jakmile vůz vjede do regulované oblasti, aktivuje se elektrický pohon a začne se zaznamenávat vzdálenost ujetá s nulovými emisemi. Emisní režim a časy vjezdu do zóny i jejího opuštění se zapisují do zabezpečené distribuované elektronické knihy záznamů, kde k nim mají přístup zúčastněné strany</w:t>
      </w:r>
      <w:r w:rsidR="00B827F8">
        <w:rPr>
          <w:rFonts w:ascii="Arial" w:hAnsi="Arial" w:cs="Arial"/>
          <w:sz w:val="24"/>
        </w:rPr>
        <w:t xml:space="preserve"> –</w:t>
      </w:r>
      <w:r w:rsidRPr="00791520">
        <w:rPr>
          <w:rFonts w:ascii="Arial" w:hAnsi="Arial" w:cs="Arial"/>
          <w:sz w:val="24"/>
        </w:rPr>
        <w:t xml:space="preserve"> včetně městských úřadů a provozovatelů.</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 xml:space="preserve">Geofencing může mít i dynamickou podobu, kdy se vozy přizpůsobují aktuálním hranicím nízkoemisních zón v reálném čase. Města by </w:t>
      </w:r>
      <w:r w:rsidR="00B827F8">
        <w:rPr>
          <w:rFonts w:ascii="Arial" w:hAnsi="Arial" w:cs="Arial"/>
          <w:sz w:val="24"/>
        </w:rPr>
        <w:t>díky tomu</w:t>
      </w:r>
      <w:r w:rsidRPr="00791520">
        <w:rPr>
          <w:rFonts w:ascii="Arial" w:hAnsi="Arial" w:cs="Arial"/>
          <w:sz w:val="24"/>
        </w:rPr>
        <w:t xml:space="preserve"> v budoucnu mohla pružně měnit uspořádání zón</w:t>
      </w:r>
      <w:r w:rsidR="00B827F8">
        <w:rPr>
          <w:rFonts w:ascii="Arial" w:hAnsi="Arial" w:cs="Arial"/>
          <w:sz w:val="24"/>
        </w:rPr>
        <w:t>,</w:t>
      </w:r>
      <w:r w:rsidRPr="00791520">
        <w:rPr>
          <w:rFonts w:ascii="Arial" w:hAnsi="Arial" w:cs="Arial"/>
          <w:sz w:val="24"/>
        </w:rPr>
        <w:t xml:space="preserve"> například na aktuálních rozptylových podmínkách v jednotlivých částech. </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 xml:space="preserve">Zkoušky v Londýně již prokázaly, že vozy PHEV </w:t>
      </w:r>
      <w:r w:rsidR="00B827F8">
        <w:rPr>
          <w:rFonts w:ascii="Arial" w:hAnsi="Arial" w:cs="Arial"/>
          <w:sz w:val="24"/>
        </w:rPr>
        <w:t>přinášejí</w:t>
      </w:r>
      <w:r w:rsidRPr="00791520">
        <w:rPr>
          <w:rFonts w:ascii="Arial" w:hAnsi="Arial" w:cs="Arial"/>
          <w:sz w:val="24"/>
        </w:rPr>
        <w:t xml:space="preserve"> ve městech s nízkoemisními zónami pro provozovatele smysluplnou volbu. Modely Ford Transit Custom a Tourneo Custom s plug-in hybridním pohonem ujedou v elektrickém režimu s nulovými emisemi až 56, resp. 53 kilometrů (dle cyklu NEDC). Při delších cestách mezi městy se uplatní zážehový motor Ford 1.0 EcoBoost, </w:t>
      </w:r>
      <w:r w:rsidR="00504D51">
        <w:rPr>
          <w:rFonts w:ascii="Arial" w:hAnsi="Arial" w:cs="Arial"/>
          <w:sz w:val="24"/>
        </w:rPr>
        <w:t>jenž</w:t>
      </w:r>
      <w:r w:rsidRPr="00791520">
        <w:rPr>
          <w:rFonts w:ascii="Arial" w:hAnsi="Arial" w:cs="Arial"/>
          <w:sz w:val="24"/>
        </w:rPr>
        <w:t xml:space="preserve"> v případě potřeby dobíjí vysokonapěťový akumulátor</w:t>
      </w:r>
      <w:r w:rsidR="00504D51">
        <w:rPr>
          <w:rFonts w:ascii="Arial" w:hAnsi="Arial" w:cs="Arial"/>
          <w:sz w:val="24"/>
        </w:rPr>
        <w:t>, čímž</w:t>
      </w:r>
      <w:r w:rsidRPr="00791520">
        <w:rPr>
          <w:rFonts w:ascii="Arial" w:hAnsi="Arial" w:cs="Arial"/>
          <w:sz w:val="24"/>
        </w:rPr>
        <w:t xml:space="preserve"> prodlouží celkový dojezd až na 500 km (NEDC).* </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Díky projektu se Ford stal oficiálním partnerem kooperativní platformy</w:t>
      </w:r>
      <w:r>
        <w:rPr>
          <w:rFonts w:ascii="Arial" w:hAnsi="Arial" w:cs="Arial"/>
          <w:sz w:val="22"/>
          <w:szCs w:val="22"/>
        </w:rPr>
        <w:t xml:space="preserve"> </w:t>
      </w:r>
      <w:hyperlink r:id="rId11" w:history="1">
        <w:r w:rsidRPr="00791520">
          <w:rPr>
            <w:rStyle w:val="Hyperlink"/>
            <w:rFonts w:ascii="Arial" w:hAnsi="Arial" w:cs="Arial"/>
            <w:sz w:val="24"/>
          </w:rPr>
          <w:t>SmartCity Cologne</w:t>
        </w:r>
      </w:hyperlink>
      <w:r w:rsidRPr="00791520">
        <w:rPr>
          <w:rFonts w:ascii="Arial" w:hAnsi="Arial" w:cs="Arial"/>
          <w:sz w:val="24"/>
        </w:rPr>
        <w:t>, založené kolínskou radnicí a regionální energetickou společností RheinEnergie AG. Cílem platformy je razit cestu technickým řešením a službám, přispívají</w:t>
      </w:r>
      <w:r w:rsidR="00504D51">
        <w:rPr>
          <w:rFonts w:ascii="Arial" w:hAnsi="Arial" w:cs="Arial"/>
          <w:sz w:val="24"/>
        </w:rPr>
        <w:t>cím</w:t>
      </w:r>
      <w:r w:rsidRPr="00791520">
        <w:rPr>
          <w:rFonts w:ascii="Arial" w:hAnsi="Arial" w:cs="Arial"/>
          <w:sz w:val="24"/>
        </w:rPr>
        <w:t xml:space="preserve"> k ochraně klimatu a přechodu na udržitelnou energetiku.</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 xml:space="preserve">Ford Transit Custom nabídl možnost plug-in hybridního pohonu jako první model ve </w:t>
      </w:r>
      <w:r w:rsidRPr="00791520">
        <w:rPr>
          <w:rFonts w:ascii="Arial" w:hAnsi="Arial" w:cs="Arial"/>
          <w:sz w:val="24"/>
        </w:rPr>
        <w:lastRenderedPageBreak/>
        <w:t>své třídě. Modul zajišťující funkci geofencingu bude k dispozici od jara 2020 a bude ho možné dodatečně zamontovat i do již prodaných vozů.</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r w:rsidRPr="00791520">
        <w:rPr>
          <w:rFonts w:ascii="Arial" w:hAnsi="Arial" w:cs="Arial"/>
          <w:sz w:val="24"/>
        </w:rPr>
        <w:t>Ford je nejprodávanější značkou užitkových vozů v Evropě. Ve druhém čtvrtletí si modelová řada Transit připsala rekordních 68 800 prodaných vozů. Již před časem Ford oznámil, že v roce 2021 plánuje uvést do prodeje nový Transit s čistě elektrickým pohonem.</w:t>
      </w: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 w:val="24"/>
        </w:rPr>
      </w:pPr>
    </w:p>
    <w:p w:rsidR="00791520" w:rsidRPr="00791520" w:rsidRDefault="00791520" w:rsidP="00791520">
      <w:pPr>
        <w:widowControl w:val="0"/>
        <w:autoSpaceDE w:val="0"/>
        <w:autoSpaceDN w:val="0"/>
        <w:adjustRightInd w:val="0"/>
        <w:spacing w:line="276" w:lineRule="auto"/>
        <w:jc w:val="both"/>
        <w:rPr>
          <w:rFonts w:ascii="Arial" w:hAnsi="Arial" w:cs="Arial"/>
          <w:szCs w:val="20"/>
        </w:rPr>
      </w:pPr>
      <w:r w:rsidRPr="00791520">
        <w:rPr>
          <w:rFonts w:ascii="Arial" w:hAnsi="Arial" w:cs="Arial"/>
          <w:szCs w:val="20"/>
        </w:rPr>
        <w:t>* Transit Custom Plug-In Hybrid: emise CO</w:t>
      </w:r>
      <w:r w:rsidRPr="00791520">
        <w:rPr>
          <w:rFonts w:ascii="Arial" w:hAnsi="Arial" w:cs="Arial"/>
          <w:szCs w:val="20"/>
          <w:vertAlign w:val="subscript"/>
        </w:rPr>
        <w:t>2</w:t>
      </w:r>
      <w:r w:rsidRPr="00791520">
        <w:rPr>
          <w:rFonts w:ascii="Arial" w:hAnsi="Arial" w:cs="Arial"/>
          <w:szCs w:val="20"/>
        </w:rPr>
        <w:t xml:space="preserve"> od 60 g/km, spotřeba paliva 2,7 l/100 km NEDC</w:t>
      </w:r>
    </w:p>
    <w:p w:rsidR="00791520" w:rsidRPr="00791520" w:rsidRDefault="00791520" w:rsidP="00791520">
      <w:pPr>
        <w:widowControl w:val="0"/>
        <w:autoSpaceDE w:val="0"/>
        <w:autoSpaceDN w:val="0"/>
        <w:adjustRightInd w:val="0"/>
        <w:spacing w:line="276" w:lineRule="auto"/>
        <w:jc w:val="both"/>
        <w:rPr>
          <w:rFonts w:ascii="Arial" w:hAnsi="Arial" w:cs="Arial"/>
          <w:szCs w:val="20"/>
        </w:rPr>
      </w:pPr>
      <w:r w:rsidRPr="00791520">
        <w:rPr>
          <w:rFonts w:ascii="Arial" w:hAnsi="Arial" w:cs="Arial"/>
          <w:szCs w:val="20"/>
        </w:rPr>
        <w:t>Tourneo Custom Plug-In Hybrid: emise CO</w:t>
      </w:r>
      <w:r w:rsidRPr="00791520">
        <w:rPr>
          <w:rFonts w:ascii="Arial" w:hAnsi="Arial" w:cs="Arial"/>
          <w:szCs w:val="20"/>
          <w:vertAlign w:val="subscript"/>
        </w:rPr>
        <w:t>2</w:t>
      </w:r>
      <w:r w:rsidRPr="00791520">
        <w:rPr>
          <w:rFonts w:ascii="Arial" w:hAnsi="Arial" w:cs="Arial"/>
          <w:szCs w:val="20"/>
        </w:rPr>
        <w:t xml:space="preserve"> od 70 g/km, spotřeba paliva 3,1 l/100 km NEDC</w:t>
      </w:r>
    </w:p>
    <w:p w:rsidR="00791520" w:rsidRPr="00791520" w:rsidRDefault="00791520" w:rsidP="00791520">
      <w:pPr>
        <w:widowControl w:val="0"/>
        <w:autoSpaceDE w:val="0"/>
        <w:autoSpaceDN w:val="0"/>
        <w:adjustRightInd w:val="0"/>
        <w:spacing w:line="276" w:lineRule="auto"/>
        <w:jc w:val="both"/>
        <w:rPr>
          <w:rFonts w:ascii="Arial" w:hAnsi="Arial" w:cs="Arial"/>
          <w:szCs w:val="20"/>
        </w:rPr>
      </w:pPr>
    </w:p>
    <w:p w:rsidR="00791520" w:rsidRPr="00791520" w:rsidRDefault="00791520" w:rsidP="00791520">
      <w:pPr>
        <w:widowControl w:val="0"/>
        <w:autoSpaceDE w:val="0"/>
        <w:autoSpaceDN w:val="0"/>
        <w:adjustRightInd w:val="0"/>
        <w:spacing w:line="276" w:lineRule="auto"/>
        <w:jc w:val="both"/>
        <w:rPr>
          <w:rFonts w:ascii="Arial" w:hAnsi="Arial" w:cs="Arial"/>
          <w:szCs w:val="20"/>
        </w:rPr>
      </w:pPr>
      <w:r w:rsidRPr="00791520">
        <w:rPr>
          <w:rFonts w:ascii="Arial" w:hAnsi="Arial" w:cs="Arial"/>
          <w:szCs w:val="20"/>
        </w:rPr>
        <w:t>Uváděné hodnoty spotřeby paliva a emisí CO</w:t>
      </w:r>
      <w:r w:rsidRPr="00791520">
        <w:rPr>
          <w:rFonts w:ascii="Arial" w:hAnsi="Arial" w:cs="Arial"/>
          <w:szCs w:val="20"/>
          <w:vertAlign w:val="subscript"/>
        </w:rPr>
        <w:t>2</w:t>
      </w:r>
      <w:r w:rsidRPr="00791520">
        <w:rPr>
          <w:rFonts w:ascii="Arial" w:hAnsi="Arial" w:cs="Arial"/>
          <w:szCs w:val="20"/>
        </w:rPr>
        <w:t xml:space="preserve"> byly naměřeny dle technických požadavků a specifikací evropských směrnic (EC) 715/2007 a (EC) 692/2008 v aktuálním znění. Uváděné hodnoty spotřeby paliva a emisí CO</w:t>
      </w:r>
      <w:r w:rsidRPr="00791520">
        <w:rPr>
          <w:rFonts w:ascii="Arial" w:hAnsi="Arial" w:cs="Arial"/>
          <w:szCs w:val="20"/>
          <w:vertAlign w:val="subscript"/>
        </w:rPr>
        <w:t>2</w:t>
      </w:r>
      <w:r w:rsidRPr="00791520">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791520">
        <w:rPr>
          <w:rFonts w:ascii="Arial" w:hAnsi="Arial" w:cs="Arial"/>
          <w:szCs w:val="20"/>
          <w:vertAlign w:val="subscript"/>
        </w:rPr>
        <w:t>2</w:t>
      </w:r>
      <w:r w:rsidRPr="00791520">
        <w:rPr>
          <w:rFonts w:ascii="Arial" w:hAnsi="Arial" w:cs="Arial"/>
          <w:szCs w:val="20"/>
        </w:rPr>
        <w:t xml:space="preserve"> patří k nejvýznamnějším skleníkovým plynům, způsobujícím globální oteplování.</w:t>
      </w:r>
    </w:p>
    <w:p w:rsidR="00791520" w:rsidRPr="00791520" w:rsidRDefault="00791520" w:rsidP="00791520">
      <w:pPr>
        <w:widowControl w:val="0"/>
        <w:autoSpaceDE w:val="0"/>
        <w:autoSpaceDN w:val="0"/>
        <w:adjustRightInd w:val="0"/>
        <w:spacing w:line="276" w:lineRule="auto"/>
        <w:jc w:val="both"/>
        <w:rPr>
          <w:rFonts w:ascii="Arial" w:hAnsi="Arial" w:cs="Arial"/>
          <w:szCs w:val="20"/>
        </w:rPr>
      </w:pPr>
    </w:p>
    <w:p w:rsidR="00791520" w:rsidRPr="00791520" w:rsidRDefault="00791520" w:rsidP="00791520">
      <w:pPr>
        <w:widowControl w:val="0"/>
        <w:autoSpaceDE w:val="0"/>
        <w:autoSpaceDN w:val="0"/>
        <w:adjustRightInd w:val="0"/>
        <w:spacing w:line="276" w:lineRule="auto"/>
        <w:jc w:val="both"/>
        <w:rPr>
          <w:rFonts w:ascii="Arial" w:hAnsi="Arial" w:cs="Arial"/>
          <w:szCs w:val="20"/>
        </w:rPr>
      </w:pPr>
      <w:r w:rsidRPr="00791520">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791520">
        <w:rPr>
          <w:rFonts w:ascii="Arial" w:hAnsi="Arial" w:cs="Arial"/>
          <w:szCs w:val="20"/>
          <w:vertAlign w:val="subscript"/>
        </w:rPr>
        <w:t>2</w:t>
      </w:r>
      <w:r w:rsidRPr="00791520">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791520">
        <w:rPr>
          <w:rFonts w:ascii="Arial" w:hAnsi="Arial" w:cs="Arial"/>
          <w:szCs w:val="20"/>
          <w:vertAlign w:val="subscript"/>
        </w:rPr>
        <w:t>2</w:t>
      </w:r>
      <w:r w:rsidRPr="00791520">
        <w:rPr>
          <w:rFonts w:ascii="Arial" w:hAnsi="Arial" w:cs="Arial"/>
          <w:szCs w:val="20"/>
        </w:rPr>
        <w:t>. To znamená, že stejný vůz může dle nové metodiky vykazovat jiné hodnoty než dříve.</w:t>
      </w:r>
    </w:p>
    <w:p w:rsidR="00791520" w:rsidRPr="00791520" w:rsidRDefault="00791520" w:rsidP="00791520">
      <w:pPr>
        <w:widowControl w:val="0"/>
        <w:autoSpaceDE w:val="0"/>
        <w:autoSpaceDN w:val="0"/>
        <w:adjustRightInd w:val="0"/>
        <w:spacing w:line="276" w:lineRule="auto"/>
        <w:jc w:val="both"/>
        <w:rPr>
          <w:rFonts w:ascii="Arial" w:hAnsi="Arial" w:cs="Arial"/>
          <w:szCs w:val="20"/>
        </w:rPr>
      </w:pPr>
    </w:p>
    <w:p w:rsidR="00791520" w:rsidRPr="00791520" w:rsidRDefault="00791520" w:rsidP="00791520">
      <w:pPr>
        <w:widowControl w:val="0"/>
        <w:autoSpaceDE w:val="0"/>
        <w:autoSpaceDN w:val="0"/>
        <w:adjustRightInd w:val="0"/>
        <w:spacing w:line="276" w:lineRule="auto"/>
        <w:jc w:val="both"/>
        <w:rPr>
          <w:rFonts w:ascii="Arial" w:hAnsi="Arial" w:cs="Arial"/>
          <w:szCs w:val="20"/>
        </w:rPr>
      </w:pPr>
    </w:p>
    <w:p w:rsidR="00FF5A06" w:rsidRPr="00791520" w:rsidRDefault="00FF5A06" w:rsidP="00791520">
      <w:pPr>
        <w:widowControl w:val="0"/>
        <w:autoSpaceDE w:val="0"/>
        <w:autoSpaceDN w:val="0"/>
        <w:adjustRightInd w:val="0"/>
        <w:spacing w:line="276" w:lineRule="auto"/>
        <w:jc w:val="both"/>
        <w:rPr>
          <w:rFonts w:ascii="Arial" w:hAnsi="Arial" w:cs="Arial"/>
          <w:sz w:val="24"/>
        </w:rPr>
      </w:pPr>
    </w:p>
    <w:sectPr w:rsidR="00FF5A06" w:rsidRPr="00791520"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A6" w:rsidRDefault="006C3DA6">
      <w:r>
        <w:separator/>
      </w:r>
    </w:p>
  </w:endnote>
  <w:endnote w:type="continuationSeparator" w:id="0">
    <w:p w:rsidR="006C3DA6" w:rsidRDefault="006C3DA6">
      <w:r>
        <w:continuationSeparator/>
      </w:r>
    </w:p>
  </w:endnote>
  <w:endnote w:type="continuationNotice" w:id="1">
    <w:p w:rsidR="006C3DA6" w:rsidRDefault="006C3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A6" w:rsidRDefault="006C3DA6">
      <w:r>
        <w:separator/>
      </w:r>
    </w:p>
  </w:footnote>
  <w:footnote w:type="continuationSeparator" w:id="0">
    <w:p w:rsidR="006C3DA6" w:rsidRDefault="006C3DA6">
      <w:r>
        <w:continuationSeparator/>
      </w:r>
    </w:p>
  </w:footnote>
  <w:footnote w:type="continuationNotice" w:id="1">
    <w:p w:rsidR="006C3DA6" w:rsidRDefault="006C3D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658A"/>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4D51"/>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17B0"/>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3DA6"/>
    <w:rsid w:val="006C56F8"/>
    <w:rsid w:val="006D0516"/>
    <w:rsid w:val="006D0722"/>
    <w:rsid w:val="006D0EE2"/>
    <w:rsid w:val="006D1C46"/>
    <w:rsid w:val="006D28CC"/>
    <w:rsid w:val="006D3BB4"/>
    <w:rsid w:val="006D3CAF"/>
    <w:rsid w:val="006D7431"/>
    <w:rsid w:val="006E1D94"/>
    <w:rsid w:val="006E3333"/>
    <w:rsid w:val="006E3F96"/>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520"/>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03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64A"/>
    <w:rsid w:val="00907997"/>
    <w:rsid w:val="00911E38"/>
    <w:rsid w:val="00912F95"/>
    <w:rsid w:val="00912FB7"/>
    <w:rsid w:val="00913B7E"/>
    <w:rsid w:val="00913F77"/>
    <w:rsid w:val="00914672"/>
    <w:rsid w:val="00915490"/>
    <w:rsid w:val="00916B28"/>
    <w:rsid w:val="009172CF"/>
    <w:rsid w:val="009174C3"/>
    <w:rsid w:val="00917585"/>
    <w:rsid w:val="009205D0"/>
    <w:rsid w:val="00921E23"/>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27F8"/>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DE9"/>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1A7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0A5"/>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6861"/>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D13269-6AFF-473A-8989-CDE6B934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city-colog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E34A-F8DB-471F-8E07-F63F7482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5111</Characters>
  <Application>Microsoft Office Word</Application>
  <DocSecurity>4</DocSecurity>
  <Lines>42</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2019-10-17T13:38:00Z</dcterms:created>
  <dcterms:modified xsi:type="dcterms:W3CDTF">2019-10-17T13:38:00Z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