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240" w:after="0" w:line="259"/>
        <w:ind w:right="0" w:left="0" w:firstLine="0"/>
        <w:jc w:val="left"/>
        <w:rPr>
          <w:rFonts w:ascii="Calibri Light" w:hAnsi="Calibri Light" w:cs="Calibri Light" w:eastAsia="Calibri Light"/>
          <w:color w:val="auto"/>
          <w:spacing w:val="0"/>
          <w:position w:val="0"/>
          <w:sz w:val="32"/>
          <w:shd w:fill="auto" w:val="clear"/>
        </w:rPr>
      </w:pPr>
      <w:r>
        <w:rPr>
          <w:rFonts w:ascii="Calibri Light" w:hAnsi="Calibri Light" w:cs="Calibri Light" w:eastAsia="Calibri Light"/>
          <w:color w:val="auto"/>
          <w:spacing w:val="0"/>
          <w:position w:val="0"/>
          <w:sz w:val="32"/>
          <w:shd w:fill="auto" w:val="clear"/>
        </w:rPr>
        <w:t xml:space="preserve">Uppdrag om utredning av förutsättningar för att samla tillfälliga platser i omsorgen i Växjö</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Växjö kommun har vi tillfälliga platser* på Evelid (20 st), Ingelshov (20 st) och utspritt på Hovslund, Sörgården, Lammengatan, Solgården, Sjöliden och Kinnevaldsgården (15 st). Totalt antal 55 stycken.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Förändringar sker nu i och med att Hovslund görs om till seniorboende och Ingelshov återgår i kommunal drift. Signaler finns kring de spridda tillfälliga platserna att kompetensen för ett rehabiliterande arbetssätt emellanåt saknas. Vidare att insatserna för omsorgstagarna som bor i vanlig lägenhet på dessa boenden ibland ”trängs ut” av behoven hos de tillfälliga placeringarna.</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Majoriteten av personer som söker och får tillfällig placering vill vara i Växjö tätort. Eftersom behoven relativt ofta är akuta och de utlokaliserade platserna är få, finns ingen garanti till visst önskat boende.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och med att det kommer 72 platser i särskilt boende på Skärvet under 2017 hamnar vi i en situation med för många platser i Växjö, i förhållande till behovsutvecklingen.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Att samla tillfälliga placeringar på ett ställe skulle kunna få kvalitativa fördelar. Personalen får en hög kunskapsnivå i vård och omsorg för denna typ av avgränsade insatser. Det medför i sin tur större möjlighet för individerna att bli självständiga och kunna återvända hem. Att samla alla de tillfälliga platserna skulle även kunna hjälpa till att balansera behov och utbud i särskilt boende, som ett led i en god ekonomisk hushållning. </w:t>
      </w:r>
    </w:p>
    <w:p>
      <w:pPr>
        <w:spacing w:before="0" w:after="160" w:line="259"/>
        <w:ind w:right="0" w:left="0" w:firstLine="0"/>
        <w:jc w:val="left"/>
        <w:rPr>
          <w:rFonts w:ascii="Calibri" w:hAnsi="Calibri" w:cs="Calibri" w:eastAsia="Calibri"/>
          <w:color w:val="auto"/>
          <w:spacing w:val="0"/>
          <w:position w:val="0"/>
          <w:sz w:val="24"/>
          <w:shd w:fill="FFFFFF" w:val="clear"/>
        </w:rPr>
      </w:pPr>
      <w:r>
        <w:rPr>
          <w:rFonts w:ascii="Calibri" w:hAnsi="Calibri" w:cs="Calibri" w:eastAsia="Calibri"/>
          <w:color w:val="auto"/>
          <w:spacing w:val="0"/>
          <w:position w:val="0"/>
          <w:sz w:val="24"/>
          <w:shd w:fill="FFFFFF" w:val="clear"/>
        </w:rPr>
        <w:t xml:space="preserve">Vi vill därför ge förvaltningschefen i uppdrag att utreda om det är lämpligt att samla tillfälliga platser till ett eller ev två ställen samt att utreda vilka effekter detta kan få på kvalitet och effektivitet. Om det visar sig vara lämpligt ska det också utredas, ur olika perspektiv, var en möjlig lokalisering skulle kunna vara.</w:t>
      </w:r>
    </w:p>
    <w:p>
      <w:pPr>
        <w:spacing w:before="0" w:after="160" w:line="259"/>
        <w:ind w:right="0" w:left="0" w:firstLine="0"/>
        <w:jc w:val="left"/>
        <w:rPr>
          <w:rFonts w:ascii="Calibri" w:hAnsi="Calibri" w:cs="Calibri" w:eastAsia="Calibri"/>
          <w:color w:val="333333"/>
          <w:spacing w:val="0"/>
          <w:position w:val="0"/>
          <w:sz w:val="22"/>
          <w:shd w:fill="FFFFFF" w:val="clear"/>
        </w:rPr>
      </w:pPr>
    </w:p>
    <w:p>
      <w:pPr>
        <w:spacing w:before="0" w:after="160" w:line="259"/>
        <w:ind w:right="0" w:left="0" w:firstLine="0"/>
        <w:jc w:val="left"/>
        <w:rPr>
          <w:rFonts w:ascii="Calibri" w:hAnsi="Calibri" w:cs="Calibri" w:eastAsia="Calibri"/>
          <w:color w:val="333333"/>
          <w:spacing w:val="0"/>
          <w:position w:val="0"/>
          <w:sz w:val="20"/>
          <w:shd w:fill="FFFFFF" w:val="clear"/>
        </w:rPr>
      </w:pPr>
      <w:r>
        <w:rPr>
          <w:rFonts w:ascii="Calibri" w:hAnsi="Calibri" w:cs="Calibri" w:eastAsia="Calibri"/>
          <w:color w:val="333333"/>
          <w:spacing w:val="0"/>
          <w:position w:val="0"/>
          <w:sz w:val="20"/>
          <w:shd w:fill="FFFFFF" w:val="clear"/>
        </w:rPr>
        <w:t xml:space="preserve">*Tillfälliga platser kan till exempel vara anpassade lägenheter där den som är äldre och varit inlagd på sjukhus kan få bo under tiden man tillfrisknar eller får rehabiliterande träning så att man därefter kan flytta hem igen eller platser för växelvård, där omsorgstagare kan bo två veckor i taget och på det viset avlastar anhörigvårdare mm. </w:t>
      </w:r>
    </w:p>
    <w:p>
      <w:pPr>
        <w:spacing w:before="0" w:after="160" w:line="259"/>
        <w:ind w:right="0" w:left="0" w:firstLine="0"/>
        <w:jc w:val="left"/>
        <w:rPr>
          <w:rFonts w:ascii="Calibri" w:hAnsi="Calibri" w:cs="Calibri" w:eastAsia="Calibri"/>
          <w:color w:val="333333"/>
          <w:spacing w:val="0"/>
          <w:position w:val="0"/>
          <w:sz w:val="24"/>
          <w:shd w:fill="FFFFFF" w:val="clear"/>
        </w:rPr>
      </w:pPr>
    </w:p>
    <w:p>
      <w:pPr>
        <w:spacing w:before="0" w:after="160" w:line="259"/>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Blågröna gruppen i omsorgsnämnden</w:t>
      </w:r>
    </w:p>
    <w:p>
      <w:pPr>
        <w:spacing w:before="0" w:after="160" w:line="259"/>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Gm</w:t>
      </w:r>
    </w:p>
    <w:p>
      <w:pPr>
        <w:spacing w:before="0" w:after="160" w:line="259"/>
        <w:ind w:right="0" w:left="0" w:firstLine="0"/>
        <w:jc w:val="left"/>
        <w:rPr>
          <w:rFonts w:ascii="Calibri" w:hAnsi="Calibri" w:cs="Calibri" w:eastAsia="Calibri"/>
          <w:color w:val="333333"/>
          <w:spacing w:val="0"/>
          <w:position w:val="0"/>
          <w:sz w:val="24"/>
          <w:shd w:fill="FFFFFF" w:val="clear"/>
        </w:rPr>
      </w:pPr>
      <w:r>
        <w:rPr>
          <w:rFonts w:ascii="Calibri" w:hAnsi="Calibri" w:cs="Calibri" w:eastAsia="Calibri"/>
          <w:color w:val="333333"/>
          <w:spacing w:val="0"/>
          <w:position w:val="0"/>
          <w:sz w:val="24"/>
          <w:shd w:fill="FFFFFF" w:val="clear"/>
        </w:rPr>
        <w:t xml:space="preserve">Ulf Hedin (M) ordförande</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