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14" w:rsidRDefault="00907ACF" w:rsidP="00A46EF3">
      <w:pPr>
        <w:keepNext/>
        <w:spacing w:line="360" w:lineRule="auto"/>
        <w:outlineLvl w:val="1"/>
        <w:rPr>
          <w:rFonts w:ascii="Helvetica" w:hAnsi="Helvetica" w:cs="Helvetica"/>
          <w:b/>
          <w:sz w:val="22"/>
          <w:szCs w:val="22"/>
          <w:lang w:val="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5C04A63A" wp14:editId="3969EC3E">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E15F3B" w:rsidRPr="00E15F3B">
        <w:rPr>
          <w:rFonts w:ascii="Helvetica" w:hAnsi="Helvetica" w:cs="Helvetica"/>
          <w:b/>
          <w:sz w:val="22"/>
          <w:szCs w:val="22"/>
          <w:lang w:val="en-US"/>
        </w:rPr>
        <w:t>High-performance power supplies</w:t>
      </w:r>
      <w:bookmarkEnd w:id="0"/>
    </w:p>
    <w:p w:rsidR="00E15F3B" w:rsidRPr="00036D14" w:rsidRDefault="00E15F3B" w:rsidP="00036D14">
      <w:pPr>
        <w:rPr>
          <w:lang w:val="en-US"/>
        </w:rPr>
      </w:pPr>
    </w:p>
    <w:p w:rsidR="00E15F3B" w:rsidRPr="00A46EF3" w:rsidRDefault="00E15F3B" w:rsidP="00E15F3B">
      <w:pPr>
        <w:pStyle w:val="Heading1"/>
        <w:ind w:right="2552"/>
        <w:rPr>
          <w:rFonts w:ascii="Helvetica" w:eastAsia="Times New Roman" w:hAnsi="Helvetica" w:cs="Helvetica"/>
          <w:b w:val="0"/>
          <w:kern w:val="28"/>
        </w:rPr>
      </w:pPr>
      <w:r w:rsidRPr="00A46EF3">
        <w:rPr>
          <w:rFonts w:ascii="Helvetica" w:eastAsia="Times New Roman" w:hAnsi="Helvetica" w:cs="Helvetica"/>
          <w:b w:val="0"/>
          <w:kern w:val="28"/>
        </w:rPr>
        <w:t>New voltage versions of these powerful power supplies with superior functionality expand</w:t>
      </w:r>
      <w:r w:rsidR="000C7B58" w:rsidRPr="00A46EF3">
        <w:rPr>
          <w:rFonts w:ascii="Helvetica" w:eastAsia="Times New Roman" w:hAnsi="Helvetica" w:cs="Helvetica"/>
          <w:b w:val="0"/>
          <w:kern w:val="28"/>
        </w:rPr>
        <w:t xml:space="preserve"> the Phoenix Contact Quint Power</w:t>
      </w:r>
      <w:r w:rsidRPr="00A46EF3">
        <w:rPr>
          <w:rFonts w:ascii="Helvetica" w:eastAsia="Times New Roman" w:hAnsi="Helvetica" w:cs="Helvetica"/>
          <w:b w:val="0"/>
          <w:kern w:val="28"/>
        </w:rPr>
        <w:t xml:space="preserve"> product range. The three new devices include one 12 V unit with an output current of 15 A, and two 48 V units with output currents of 5 and 10 A. With their powerful output side, these power supplies ensure a high degree of system availability.</w:t>
      </w:r>
    </w:p>
    <w:p w:rsidR="00E15F3B" w:rsidRPr="00A46EF3" w:rsidRDefault="00E15F3B" w:rsidP="00E15F3B">
      <w:pPr>
        <w:pStyle w:val="Heading1"/>
        <w:ind w:right="2552"/>
        <w:rPr>
          <w:rFonts w:ascii="Helvetica" w:eastAsia="Times New Roman" w:hAnsi="Helvetica" w:cs="Helvetica"/>
          <w:b w:val="0"/>
          <w:kern w:val="28"/>
        </w:rPr>
      </w:pPr>
    </w:p>
    <w:p w:rsidR="00E15F3B" w:rsidRPr="00A46EF3" w:rsidRDefault="00E15F3B" w:rsidP="00E15F3B">
      <w:pPr>
        <w:pStyle w:val="Heading1"/>
        <w:ind w:right="2552"/>
        <w:rPr>
          <w:rFonts w:ascii="Helvetica" w:eastAsia="Times New Roman" w:hAnsi="Helvetica" w:cs="Helvetica"/>
          <w:b w:val="0"/>
          <w:kern w:val="28"/>
        </w:rPr>
      </w:pPr>
      <w:r w:rsidRPr="00A46EF3">
        <w:rPr>
          <w:rFonts w:ascii="Helvetica" w:eastAsia="Times New Roman" w:hAnsi="Helvetica" w:cs="Helvetica"/>
          <w:b w:val="0"/>
          <w:kern w:val="28"/>
        </w:rPr>
        <w:t>The SFB Technology delivers six times the nominal current for up to 15 milliseconds and selectively trips miniature circuit breakers. Loads connected in parallel continue working. System expansion is easy thanks to the static boost function, which continuously provides up to 125% of the nominal current. With up to 200 percent of the nominal current for 5 seconds, the dynamic boost function allows you to start up heavy loads.</w:t>
      </w:r>
    </w:p>
    <w:p w:rsidR="00E15F3B" w:rsidRPr="00A46EF3" w:rsidRDefault="00E15F3B" w:rsidP="00E15F3B">
      <w:pPr>
        <w:pStyle w:val="Heading1"/>
        <w:ind w:right="2552"/>
        <w:rPr>
          <w:rFonts w:ascii="Helvetica" w:eastAsia="Times New Roman" w:hAnsi="Helvetica" w:cs="Helvetica"/>
          <w:b w:val="0"/>
          <w:kern w:val="28"/>
        </w:rPr>
      </w:pPr>
    </w:p>
    <w:p w:rsidR="00465F76" w:rsidRPr="00A46EF3" w:rsidRDefault="00E15F3B" w:rsidP="00E15F3B">
      <w:pPr>
        <w:pStyle w:val="Heading1"/>
        <w:ind w:right="2552"/>
        <w:rPr>
          <w:rFonts w:ascii="Helvetica" w:eastAsia="Times New Roman" w:hAnsi="Helvetica" w:cs="Helvetica"/>
          <w:b w:val="0"/>
          <w:kern w:val="28"/>
        </w:rPr>
      </w:pPr>
      <w:r w:rsidRPr="00A46EF3">
        <w:rPr>
          <w:rFonts w:ascii="Helvetica" w:eastAsia="Times New Roman" w:hAnsi="Helvetica" w:cs="Helvetica"/>
          <w:b w:val="0"/>
          <w:kern w:val="28"/>
        </w:rPr>
        <w:t xml:space="preserve">The robust input side, featuring an integrated gas-filled surge arrester, ensures a high degree of noise immunity up to 6 kV for a mains failure buffer time of at least 20 </w:t>
      </w:r>
      <w:proofErr w:type="spellStart"/>
      <w:proofErr w:type="gramStart"/>
      <w:r w:rsidRPr="00A46EF3">
        <w:rPr>
          <w:rFonts w:ascii="Helvetica" w:eastAsia="Times New Roman" w:hAnsi="Helvetica" w:cs="Helvetica"/>
          <w:b w:val="0"/>
          <w:kern w:val="28"/>
        </w:rPr>
        <w:t>ms</w:t>
      </w:r>
      <w:proofErr w:type="spellEnd"/>
      <w:proofErr w:type="gramEnd"/>
      <w:r w:rsidRPr="00A46EF3">
        <w:rPr>
          <w:rFonts w:ascii="Helvetica" w:eastAsia="Times New Roman" w:hAnsi="Helvetica" w:cs="Helvetica"/>
          <w:b w:val="0"/>
          <w:kern w:val="28"/>
        </w:rPr>
        <w:t xml:space="preserve">. A full range of </w:t>
      </w:r>
      <w:r w:rsidR="00A46EF3" w:rsidRPr="00A46EF3">
        <w:rPr>
          <w:rFonts w:ascii="Helvetica" w:eastAsia="Times New Roman" w:hAnsi="Helvetica" w:cs="Helvetica"/>
          <w:b w:val="0"/>
          <w:kern w:val="28"/>
        </w:rPr>
        <w:t>signalling</w:t>
      </w:r>
      <w:r w:rsidRPr="00A46EF3">
        <w:rPr>
          <w:rFonts w:ascii="Helvetica" w:eastAsia="Times New Roman" w:hAnsi="Helvetica" w:cs="Helvetica"/>
          <w:b w:val="0"/>
          <w:kern w:val="28"/>
        </w:rPr>
        <w:t xml:space="preserve"> options via </w:t>
      </w:r>
      <w:r w:rsidR="00A46EF3" w:rsidRPr="00A46EF3">
        <w:rPr>
          <w:rFonts w:ascii="Helvetica" w:eastAsia="Times New Roman" w:hAnsi="Helvetica" w:cs="Helvetica"/>
          <w:b w:val="0"/>
          <w:kern w:val="28"/>
        </w:rPr>
        <w:t>analogue</w:t>
      </w:r>
      <w:r w:rsidRPr="00A46EF3">
        <w:rPr>
          <w:rFonts w:ascii="Helvetica" w:eastAsia="Times New Roman" w:hAnsi="Helvetica" w:cs="Helvetica"/>
          <w:b w:val="0"/>
          <w:kern w:val="28"/>
        </w:rPr>
        <w:t>, digital, and relay contact increases the availability of your application. The preventive function monitoring feature warns of critical operating states before faults</w:t>
      </w:r>
      <w:r w:rsidR="000C7B58" w:rsidRPr="00A46EF3">
        <w:rPr>
          <w:rFonts w:ascii="Helvetica" w:eastAsia="Times New Roman" w:hAnsi="Helvetica" w:cs="Helvetica"/>
          <w:b w:val="0"/>
          <w:kern w:val="28"/>
        </w:rPr>
        <w:t xml:space="preserve"> occur. In addition, Quint Power</w:t>
      </w:r>
      <w:r w:rsidRPr="00A46EF3">
        <w:rPr>
          <w:rFonts w:ascii="Helvetica" w:eastAsia="Times New Roman" w:hAnsi="Helvetica" w:cs="Helvetica"/>
          <w:b w:val="0"/>
          <w:kern w:val="28"/>
        </w:rPr>
        <w:t xml:space="preserve"> </w:t>
      </w:r>
      <w:proofErr w:type="spellStart"/>
      <w:r w:rsidRPr="00A46EF3">
        <w:rPr>
          <w:rFonts w:ascii="Helvetica" w:eastAsia="Times New Roman" w:hAnsi="Helvetica" w:cs="Helvetica"/>
          <w:b w:val="0"/>
          <w:kern w:val="28"/>
        </w:rPr>
        <w:t>power</w:t>
      </w:r>
      <w:proofErr w:type="spellEnd"/>
      <w:r w:rsidRPr="00A46EF3">
        <w:rPr>
          <w:rFonts w:ascii="Helvetica" w:eastAsia="Times New Roman" w:hAnsi="Helvetica" w:cs="Helvetica"/>
          <w:b w:val="0"/>
          <w:kern w:val="28"/>
        </w:rPr>
        <w:t xml:space="preserve"> supplies can be ordered fully configured in amounts as low as 1 unit. </w:t>
      </w:r>
      <w:r w:rsidR="00A46EF3" w:rsidRPr="00A46EF3">
        <w:rPr>
          <w:rFonts w:ascii="Helvetica" w:eastAsia="Times New Roman" w:hAnsi="Helvetica" w:cs="Helvetica"/>
          <w:b w:val="0"/>
          <w:kern w:val="28"/>
        </w:rPr>
        <w:t>Signalling</w:t>
      </w:r>
      <w:r w:rsidRPr="00A46EF3">
        <w:rPr>
          <w:rFonts w:ascii="Helvetica" w:eastAsia="Times New Roman" w:hAnsi="Helvetica" w:cs="Helvetica"/>
          <w:b w:val="0"/>
          <w:kern w:val="28"/>
        </w:rPr>
        <w:t xml:space="preserve"> thresholds and characteristic curves can be adjusted using the NFC interface. Their wide operating temperature range of -40°C to +70°C makes these units very flexible when it comes to deployment. A comprehensive and international package of approvals rounds out the product family.</w:t>
      </w:r>
    </w:p>
    <w:p w:rsidR="00E15F3B" w:rsidRPr="00E15F3B" w:rsidRDefault="00E15F3B" w:rsidP="00E15F3B">
      <w:pPr>
        <w:rPr>
          <w:lang w:val="en-US"/>
        </w:rPr>
      </w:pPr>
    </w:p>
    <w:p w:rsidR="007628F1" w:rsidRDefault="007628F1" w:rsidP="00036D14">
      <w:pPr>
        <w:spacing w:line="360" w:lineRule="auto"/>
        <w:rPr>
          <w:rFonts w:ascii="Helvetica" w:hAnsi="Helvetica"/>
          <w:b/>
        </w:rPr>
      </w:pPr>
      <w:r>
        <w:rPr>
          <w:rFonts w:ascii="Helvetica" w:hAnsi="Helvetica"/>
          <w:b/>
        </w:rPr>
        <w:t>ENDS</w:t>
      </w:r>
    </w:p>
    <w:p w:rsidR="007628F1" w:rsidRDefault="007628F1" w:rsidP="00036D14">
      <w:pPr>
        <w:spacing w:line="360" w:lineRule="auto"/>
        <w:rPr>
          <w:rFonts w:ascii="Helvetica" w:hAnsi="Helvetica"/>
          <w:b/>
        </w:rPr>
      </w:pPr>
    </w:p>
    <w:p w:rsidR="007628F1" w:rsidRDefault="007628F1" w:rsidP="00036D14">
      <w:pPr>
        <w:spacing w:line="360" w:lineRule="auto"/>
        <w:rPr>
          <w:rFonts w:ascii="Helvetica" w:hAnsi="Helvetica"/>
          <w:b/>
        </w:rPr>
      </w:pPr>
      <w:r>
        <w:rPr>
          <w:rFonts w:ascii="Helvetica" w:hAnsi="Helvetica"/>
          <w:b/>
        </w:rPr>
        <w:t>June 2018</w:t>
      </w:r>
    </w:p>
    <w:p w:rsidR="007628F1" w:rsidRDefault="007628F1" w:rsidP="00036D14">
      <w:pPr>
        <w:spacing w:line="360" w:lineRule="auto"/>
        <w:rPr>
          <w:rFonts w:ascii="Helvetica" w:hAnsi="Helvetica"/>
          <w:b/>
        </w:rPr>
      </w:pPr>
    </w:p>
    <w:p w:rsidR="00036D14" w:rsidRDefault="007628F1" w:rsidP="00036D14">
      <w:pPr>
        <w:spacing w:line="360" w:lineRule="auto"/>
        <w:rPr>
          <w:rFonts w:ascii="Helvetica" w:hAnsi="Helvetica"/>
          <w:b/>
        </w:rPr>
      </w:pPr>
      <w:r>
        <w:rPr>
          <w:rFonts w:ascii="Helvetica" w:hAnsi="Helvetica"/>
          <w:b/>
        </w:rPr>
        <w:t>PR</w:t>
      </w:r>
      <w:r w:rsidR="000E22A4">
        <w:rPr>
          <w:rFonts w:ascii="Helvetica" w:hAnsi="Helvetica"/>
          <w:b/>
        </w:rPr>
        <w:t>50</w:t>
      </w:r>
      <w:r w:rsidR="00E15F3B">
        <w:rPr>
          <w:rFonts w:ascii="Helvetica" w:hAnsi="Helvetica"/>
          <w:b/>
        </w:rPr>
        <w:t>46</w:t>
      </w:r>
      <w:r>
        <w:rPr>
          <w:rFonts w:ascii="Helvetica" w:hAnsi="Helvetica"/>
          <w:b/>
        </w:rPr>
        <w:t>GB</w:t>
      </w:r>
    </w:p>
    <w:p w:rsidR="007628F1" w:rsidRDefault="007628F1" w:rsidP="00036D14">
      <w:pPr>
        <w:spacing w:line="360" w:lineRule="auto"/>
        <w:rPr>
          <w:rFonts w:ascii="Helvetica" w:hAnsi="Helvetica"/>
          <w:lang w:eastAsia="ja-JP"/>
        </w:rPr>
      </w:pPr>
    </w:p>
    <w:p w:rsidR="007628F1" w:rsidRPr="002367AE" w:rsidRDefault="007628F1" w:rsidP="007628F1">
      <w:pPr>
        <w:rPr>
          <w:rFonts w:ascii="Arial" w:hAnsi="Arial" w:cs="Arial"/>
        </w:rPr>
      </w:pPr>
      <w:r w:rsidRPr="002367AE">
        <w:rPr>
          <w:rFonts w:ascii="Arial" w:hAnsi="Arial" w:cs="Arial"/>
        </w:rPr>
        <w:t>Phoenix Contact Ltd</w:t>
      </w:r>
    </w:p>
    <w:p w:rsidR="007628F1" w:rsidRPr="002367AE" w:rsidRDefault="007628F1" w:rsidP="007628F1">
      <w:pPr>
        <w:rPr>
          <w:rFonts w:ascii="Arial" w:hAnsi="Arial" w:cs="Arial"/>
        </w:rPr>
      </w:pPr>
      <w:proofErr w:type="spellStart"/>
      <w:r w:rsidRPr="002367AE">
        <w:rPr>
          <w:rFonts w:ascii="Arial" w:hAnsi="Arial" w:cs="Arial"/>
        </w:rPr>
        <w:t>Halesfield</w:t>
      </w:r>
      <w:proofErr w:type="spellEnd"/>
      <w:r w:rsidRPr="002367AE">
        <w:rPr>
          <w:rFonts w:ascii="Arial" w:hAnsi="Arial" w:cs="Arial"/>
        </w:rPr>
        <w:t xml:space="preserve"> 13</w:t>
      </w:r>
    </w:p>
    <w:p w:rsidR="007628F1" w:rsidRPr="002367AE" w:rsidRDefault="007628F1" w:rsidP="007628F1">
      <w:pPr>
        <w:rPr>
          <w:rFonts w:ascii="Arial" w:hAnsi="Arial" w:cs="Arial"/>
        </w:rPr>
      </w:pPr>
      <w:r w:rsidRPr="002367AE">
        <w:rPr>
          <w:rFonts w:ascii="Arial" w:hAnsi="Arial" w:cs="Arial"/>
        </w:rPr>
        <w:t>Telford</w:t>
      </w:r>
    </w:p>
    <w:p w:rsidR="007628F1" w:rsidRPr="002367AE" w:rsidRDefault="007628F1" w:rsidP="007628F1">
      <w:pPr>
        <w:rPr>
          <w:rFonts w:ascii="Arial" w:hAnsi="Arial" w:cs="Arial"/>
        </w:rPr>
      </w:pPr>
      <w:r w:rsidRPr="002367AE">
        <w:rPr>
          <w:rFonts w:ascii="Arial" w:hAnsi="Arial" w:cs="Arial"/>
        </w:rPr>
        <w:t>Shropshire</w:t>
      </w:r>
    </w:p>
    <w:p w:rsidR="007628F1" w:rsidRPr="002367AE" w:rsidRDefault="007628F1" w:rsidP="007628F1">
      <w:pPr>
        <w:rPr>
          <w:rFonts w:ascii="Arial" w:hAnsi="Arial" w:cs="Arial"/>
        </w:rPr>
      </w:pPr>
      <w:r w:rsidRPr="002367AE">
        <w:rPr>
          <w:rFonts w:ascii="Arial" w:hAnsi="Arial" w:cs="Arial"/>
        </w:rPr>
        <w:lastRenderedPageBreak/>
        <w:t>TF7 4PG</w:t>
      </w:r>
    </w:p>
    <w:p w:rsidR="007628F1" w:rsidRPr="002367AE" w:rsidRDefault="007628F1" w:rsidP="007628F1">
      <w:pPr>
        <w:rPr>
          <w:rFonts w:ascii="Arial" w:hAnsi="Arial" w:cs="Arial"/>
        </w:rPr>
      </w:pPr>
      <w:r w:rsidRPr="002367AE">
        <w:rPr>
          <w:rFonts w:ascii="Arial" w:hAnsi="Arial" w:cs="Arial"/>
        </w:rPr>
        <w:t>Tel: 0845 881 2222</w:t>
      </w:r>
    </w:p>
    <w:p w:rsidR="007628F1" w:rsidRPr="002367AE" w:rsidRDefault="007628F1" w:rsidP="007628F1">
      <w:pPr>
        <w:rPr>
          <w:rFonts w:ascii="Arial" w:hAnsi="Arial" w:cs="Arial"/>
        </w:rPr>
      </w:pPr>
      <w:r w:rsidRPr="002367AE">
        <w:rPr>
          <w:rFonts w:ascii="Arial" w:hAnsi="Arial" w:cs="Arial"/>
        </w:rPr>
        <w:t>Fax: 0845 881 2211</w:t>
      </w:r>
    </w:p>
    <w:p w:rsidR="007628F1" w:rsidRPr="002367AE" w:rsidRDefault="007628F1" w:rsidP="007628F1">
      <w:pPr>
        <w:rPr>
          <w:rFonts w:ascii="Arial" w:hAnsi="Arial" w:cs="Arial"/>
        </w:rPr>
      </w:pPr>
      <w:hyperlink r:id="rId10" w:history="1">
        <w:r w:rsidRPr="002367AE">
          <w:rPr>
            <w:rStyle w:val="Hyperlink"/>
            <w:rFonts w:ascii="Arial" w:hAnsi="Arial" w:cs="Arial"/>
          </w:rPr>
          <w:t>www.phoenixcontact.co.uk</w:t>
        </w:r>
      </w:hyperlink>
    </w:p>
    <w:p w:rsidR="007628F1" w:rsidRPr="002367AE" w:rsidRDefault="007628F1" w:rsidP="007628F1">
      <w:pPr>
        <w:rPr>
          <w:rFonts w:ascii="Arial" w:hAnsi="Arial" w:cs="Arial"/>
        </w:rPr>
      </w:pPr>
      <w:hyperlink r:id="rId11" w:history="1">
        <w:r w:rsidRPr="002367AE">
          <w:rPr>
            <w:rStyle w:val="Hyperlink"/>
            <w:rFonts w:ascii="Arial" w:hAnsi="Arial" w:cs="Arial"/>
          </w:rPr>
          <w:t>info@phoenixcontact.co.uk</w:t>
        </w:r>
      </w:hyperlink>
    </w:p>
    <w:p w:rsidR="007628F1" w:rsidRPr="002367AE" w:rsidRDefault="007628F1" w:rsidP="007628F1">
      <w:pPr>
        <w:rPr>
          <w:rFonts w:ascii="Arial" w:hAnsi="Arial" w:cs="Arial"/>
        </w:rPr>
      </w:pPr>
    </w:p>
    <w:p w:rsidR="007628F1" w:rsidRPr="002367AE" w:rsidRDefault="007628F1" w:rsidP="007628F1">
      <w:pPr>
        <w:rPr>
          <w:rFonts w:ascii="Arial" w:hAnsi="Arial" w:cs="Arial"/>
          <w:b/>
        </w:rPr>
      </w:pPr>
      <w:r w:rsidRPr="002367AE">
        <w:rPr>
          <w:rFonts w:ascii="Arial" w:hAnsi="Arial" w:cs="Arial"/>
          <w:b/>
        </w:rPr>
        <w:t>For news updates from Phoenix Contact visit:</w:t>
      </w:r>
    </w:p>
    <w:p w:rsidR="007628F1" w:rsidRPr="002367AE" w:rsidRDefault="007628F1" w:rsidP="007628F1">
      <w:pPr>
        <w:rPr>
          <w:rFonts w:ascii="Arial" w:hAnsi="Arial" w:cs="Arial"/>
        </w:rPr>
      </w:pPr>
      <w:r w:rsidRPr="002367AE">
        <w:rPr>
          <w:rFonts w:ascii="Arial" w:hAnsi="Arial" w:cs="Arial"/>
          <w:b/>
        </w:rPr>
        <w:t>Phoenix Contact Press Room</w:t>
      </w:r>
      <w:r w:rsidRPr="002367AE">
        <w:rPr>
          <w:rFonts w:ascii="Arial" w:hAnsi="Arial" w:cs="Arial"/>
        </w:rPr>
        <w:t xml:space="preserve"> – http://www.mynewsdesk.com/uk/phoenix-contact-uk</w:t>
      </w:r>
    </w:p>
    <w:p w:rsidR="007628F1" w:rsidRPr="002367AE" w:rsidRDefault="007628F1" w:rsidP="007628F1">
      <w:pPr>
        <w:rPr>
          <w:rFonts w:ascii="Arial" w:hAnsi="Arial" w:cs="Arial"/>
        </w:rPr>
      </w:pPr>
      <w:r w:rsidRPr="002367AE">
        <w:rPr>
          <w:rFonts w:ascii="Arial" w:hAnsi="Arial" w:cs="Arial"/>
          <w:b/>
        </w:rPr>
        <w:t>Twitter</w:t>
      </w:r>
      <w:r w:rsidRPr="002367AE">
        <w:rPr>
          <w:rFonts w:ascii="Arial" w:hAnsi="Arial" w:cs="Arial"/>
        </w:rPr>
        <w:t xml:space="preserve"> - @</w:t>
      </w:r>
      <w:proofErr w:type="spellStart"/>
      <w:r w:rsidRPr="002367AE">
        <w:rPr>
          <w:rFonts w:ascii="Arial" w:hAnsi="Arial" w:cs="Arial"/>
        </w:rPr>
        <w:t>phoenixcontactu</w:t>
      </w:r>
      <w:proofErr w:type="spellEnd"/>
    </w:p>
    <w:p w:rsidR="007628F1" w:rsidRPr="002367AE" w:rsidRDefault="007628F1" w:rsidP="007628F1">
      <w:pPr>
        <w:rPr>
          <w:rFonts w:ascii="Arial" w:hAnsi="Arial" w:cs="Arial"/>
        </w:rPr>
      </w:pPr>
      <w:r w:rsidRPr="002367AE">
        <w:rPr>
          <w:rFonts w:ascii="Arial" w:hAnsi="Arial" w:cs="Arial"/>
          <w:b/>
        </w:rPr>
        <w:t>YouTube</w:t>
      </w:r>
      <w:r w:rsidRPr="002367AE">
        <w:rPr>
          <w:rFonts w:ascii="Arial" w:hAnsi="Arial" w:cs="Arial"/>
        </w:rPr>
        <w:t xml:space="preserve"> – Phoenix Contact UK</w:t>
      </w:r>
    </w:p>
    <w:p w:rsidR="007628F1" w:rsidRPr="002367AE" w:rsidRDefault="007628F1" w:rsidP="007628F1">
      <w:pPr>
        <w:rPr>
          <w:rFonts w:ascii="Arial" w:hAnsi="Arial" w:cs="Arial"/>
        </w:rPr>
      </w:pPr>
      <w:r w:rsidRPr="002367AE">
        <w:rPr>
          <w:rFonts w:ascii="Arial" w:hAnsi="Arial" w:cs="Arial"/>
          <w:b/>
        </w:rPr>
        <w:t>Blog</w:t>
      </w:r>
      <w:r w:rsidRPr="002367AE">
        <w:rPr>
          <w:rFonts w:ascii="Arial" w:hAnsi="Arial" w:cs="Arial"/>
        </w:rPr>
        <w:t xml:space="preserve"> – www.phoenixcontact.co.uk/blog</w:t>
      </w:r>
    </w:p>
    <w:p w:rsidR="007628F1" w:rsidRPr="002367AE" w:rsidRDefault="007628F1" w:rsidP="007628F1">
      <w:pPr>
        <w:rPr>
          <w:rFonts w:ascii="Arial" w:hAnsi="Arial" w:cs="Arial"/>
        </w:rPr>
      </w:pPr>
      <w:r w:rsidRPr="002367AE">
        <w:rPr>
          <w:rFonts w:ascii="Arial" w:hAnsi="Arial" w:cs="Arial"/>
          <w:b/>
        </w:rPr>
        <w:t xml:space="preserve">LinkedIn </w:t>
      </w:r>
      <w:r w:rsidRPr="002367AE">
        <w:rPr>
          <w:rFonts w:ascii="Arial" w:hAnsi="Arial" w:cs="Arial"/>
        </w:rPr>
        <w:t>– www.linkedin.com/company/phoenix-contact-uk</w:t>
      </w:r>
    </w:p>
    <w:p w:rsidR="007628F1" w:rsidRPr="002367AE" w:rsidRDefault="007628F1" w:rsidP="007628F1">
      <w:pPr>
        <w:rPr>
          <w:rFonts w:ascii="Arial" w:hAnsi="Arial" w:cs="Arial"/>
        </w:rPr>
      </w:pPr>
    </w:p>
    <w:p w:rsidR="007628F1" w:rsidRPr="00511ED7" w:rsidRDefault="007628F1" w:rsidP="007628F1">
      <w:pPr>
        <w:rPr>
          <w:rFonts w:ascii="Arial" w:hAnsi="Arial" w:cs="Arial"/>
        </w:rPr>
      </w:pPr>
    </w:p>
    <w:p w:rsidR="005C67CD" w:rsidRDefault="005C67CD" w:rsidP="00A15E86">
      <w:pPr>
        <w:spacing w:line="360" w:lineRule="auto"/>
        <w:rPr>
          <w:rFonts w:ascii="Helvetica" w:hAnsi="Helvetica"/>
          <w:lang w:eastAsia="ja-JP"/>
        </w:rPr>
      </w:pPr>
    </w:p>
    <w:sectPr w:rsidR="005C67CD">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8F1" w:rsidRPr="002367AE" w:rsidRDefault="007628F1" w:rsidP="007628F1">
    <w:pPr>
      <w:rPr>
        <w:rFonts w:ascii="Arial" w:hAnsi="Arial" w:cs="Arial"/>
      </w:rPr>
    </w:pPr>
    <w:r w:rsidRPr="002367AE">
      <w:rPr>
        <w:rFonts w:ascii="Arial" w:hAnsi="Arial" w:cs="Arial"/>
      </w:rPr>
      <w:t>For further information on this press release please contact:</w:t>
    </w:r>
  </w:p>
  <w:p w:rsidR="007628F1" w:rsidRPr="002367AE" w:rsidRDefault="007628F1" w:rsidP="007628F1">
    <w:pPr>
      <w:rPr>
        <w:rFonts w:ascii="Arial" w:hAnsi="Arial" w:cs="Arial"/>
      </w:rPr>
    </w:pPr>
    <w:r w:rsidRPr="002367AE">
      <w:rPr>
        <w:rFonts w:ascii="Arial" w:hAnsi="Arial" w:cs="Arial"/>
      </w:rPr>
      <w:t xml:space="preserve">Phoenix Contact Ltd, </w:t>
    </w:r>
    <w:proofErr w:type="spellStart"/>
    <w:r w:rsidRPr="002367AE">
      <w:rPr>
        <w:rFonts w:ascii="Arial" w:hAnsi="Arial" w:cs="Arial"/>
      </w:rPr>
      <w:t>Halesfield</w:t>
    </w:r>
    <w:proofErr w:type="spellEnd"/>
    <w:r w:rsidRPr="002367AE">
      <w:rPr>
        <w:rFonts w:ascii="Arial" w:hAnsi="Arial" w:cs="Arial"/>
      </w:rPr>
      <w:t xml:space="preserve"> 13, Telford, TF7 4PG.    </w:t>
    </w:r>
  </w:p>
  <w:p w:rsidR="001778E4" w:rsidRPr="007628F1" w:rsidRDefault="007628F1" w:rsidP="007628F1">
    <w:pPr>
      <w:rPr>
        <w:rFonts w:ascii="Arial" w:hAnsi="Arial" w:cs="Arial"/>
      </w:rPr>
    </w:pPr>
    <w:r w:rsidRPr="002367AE">
      <w:rPr>
        <w:rFonts w:ascii="Arial" w:hAnsi="Arial" w:cs="Arial"/>
      </w:rPr>
      <w:t xml:space="preserve">Becky Smith DD 01952 681756 </w:t>
    </w:r>
    <w:hyperlink r:id="rId1" w:history="1">
      <w:r w:rsidRPr="002367AE">
        <w:rPr>
          <w:rStyle w:val="Hyperlink"/>
          <w:rFonts w:ascii="Arial" w:hAnsi="Arial" w:cs="Arial"/>
        </w:rPr>
        <w:t>bsmith@phoenixcontact.com</w:t>
      </w:r>
    </w:hyperlink>
    <w:r>
      <w:rPr>
        <w:rFonts w:ascii="Arial" w:hAnsi="Arial" w:cs="Arial"/>
      </w:rPr>
      <w:t xml:space="preserve"> </w:t>
    </w: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004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C7B58"/>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28F1"/>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46EF3"/>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B7BAC"/>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5F3B"/>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1F1"/>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6074-83F5-41DA-9C45-6C57FDDB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1868</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headers for ME-IO housings</vt:lpstr>
      <vt:lpstr>Achema</vt:lpstr>
    </vt:vector>
  </TitlesOfParts>
  <Company>Phoenix Contact</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Becky Smith</cp:lastModifiedBy>
  <cp:revision>7</cp:revision>
  <cp:lastPrinted>2018-07-02T08:14:00Z</cp:lastPrinted>
  <dcterms:created xsi:type="dcterms:W3CDTF">2018-06-27T10:50:00Z</dcterms:created>
  <dcterms:modified xsi:type="dcterms:W3CDTF">2018-07-03T07:25:00Z</dcterms:modified>
</cp:coreProperties>
</file>