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517" w:rsidRDefault="00386517" w:rsidP="00386517">
      <w:pPr>
        <w:pStyle w:val="RapportTitel"/>
        <w:rPr>
          <w:lang w:val="sv-SE"/>
        </w:rPr>
      </w:pPr>
    </w:p>
    <w:p w:rsidR="00386517" w:rsidRDefault="00386517" w:rsidP="00386517">
      <w:pPr>
        <w:pStyle w:val="RapportTitel"/>
        <w:rPr>
          <w:lang w:val="sv-SE"/>
        </w:rPr>
      </w:pPr>
    </w:p>
    <w:p w:rsidR="00386517" w:rsidRDefault="00386517" w:rsidP="00386517">
      <w:pPr>
        <w:pStyle w:val="RapportTitel"/>
        <w:rPr>
          <w:lang w:val="sv-SE"/>
        </w:rPr>
      </w:pPr>
      <w:r w:rsidRPr="00281889">
        <w:rPr>
          <w:lang w:val="sv-SE"/>
        </w:rPr>
        <w:t>Bokslutskommuniké 2019</w:t>
      </w:r>
    </w:p>
    <w:p w:rsidR="00386517" w:rsidRDefault="00386517" w:rsidP="00386517">
      <w:pPr>
        <w:pStyle w:val="RapportTitel"/>
        <w:rPr>
          <w:lang w:val="sv-SE"/>
        </w:rPr>
      </w:pPr>
    </w:p>
    <w:p w:rsidR="00386517" w:rsidRDefault="00386517" w:rsidP="00386517">
      <w:pPr>
        <w:pStyle w:val="RapportTitel"/>
        <w:rPr>
          <w:lang w:val="sv-SE"/>
        </w:rPr>
      </w:pPr>
    </w:p>
    <w:p w:rsidR="00386517" w:rsidRDefault="00386517" w:rsidP="00386517">
      <w:pPr>
        <w:pStyle w:val="RapportTitel"/>
        <w:rPr>
          <w:lang w:val="sv-SE"/>
        </w:rPr>
      </w:pPr>
    </w:p>
    <w:p w:rsidR="00386517" w:rsidRDefault="00386517" w:rsidP="00386517">
      <w:pPr>
        <w:pStyle w:val="RapportTitel"/>
        <w:rPr>
          <w:lang w:val="sv-SE"/>
        </w:rPr>
      </w:pPr>
    </w:p>
    <w:p w:rsidR="00386517" w:rsidRPr="00281889" w:rsidRDefault="00386517" w:rsidP="00386517">
      <w:r>
        <w:t>Bokslutskommunikéns syfte är att ge en snabb, kortfattad och övergripande bild av 2019 års utfall. Förändringar kan komma att ske i den slutliga årsredovisningen som fastställs av kommunfullmäktige den 2 april 2020. Kommunikén har inte granskats av revisorerna.</w:t>
      </w:r>
    </w:p>
    <w:p w:rsidR="00386517" w:rsidRPr="00281889" w:rsidRDefault="00386517" w:rsidP="00386517">
      <w:pPr>
        <w:pStyle w:val="RapportUndertitel"/>
        <w:rPr>
          <w:lang w:val="sv-SE"/>
        </w:rPr>
      </w:pPr>
    </w:p>
    <w:p w:rsidR="00386517" w:rsidRPr="00281889" w:rsidRDefault="00386517" w:rsidP="00386517">
      <w:r w:rsidRPr="00281889">
        <w:br w:type="page"/>
      </w:r>
    </w:p>
    <w:sdt>
      <w:sdtPr>
        <w:rPr>
          <w:rFonts w:asciiTheme="minorHAnsi" w:eastAsiaTheme="minorHAnsi" w:hAnsiTheme="minorHAnsi" w:cstheme="minorBidi"/>
          <w:b w:val="0"/>
          <w:szCs w:val="22"/>
          <w:lang w:eastAsia="en-US"/>
        </w:rPr>
        <w:id w:val="-1642732551"/>
        <w:docPartObj>
          <w:docPartGallery w:val="Table of Contents"/>
          <w:docPartUnique/>
        </w:docPartObj>
      </w:sdtPr>
      <w:sdtEndPr>
        <w:rPr>
          <w:bCs/>
        </w:rPr>
      </w:sdtEndPr>
      <w:sdtContent>
        <w:p w:rsidR="00386517" w:rsidRDefault="00386517" w:rsidP="00386517">
          <w:pPr>
            <w:pStyle w:val="Innehllsfrteckningsrubrik"/>
          </w:pPr>
          <w:r>
            <w:t>Innehåll</w:t>
          </w:r>
        </w:p>
        <w:p w:rsidR="00386517" w:rsidRDefault="00386517" w:rsidP="00386517">
          <w:pPr>
            <w:pStyle w:val="Innehll1"/>
            <w:tabs>
              <w:tab w:val="right" w:leader="dot" w:pos="7360"/>
            </w:tabs>
            <w:rPr>
              <w:rFonts w:eastAsiaTheme="minorEastAsia"/>
              <w:noProof/>
              <w:lang w:eastAsia="sv-SE"/>
            </w:rPr>
          </w:pPr>
          <w:r>
            <w:fldChar w:fldCharType="begin"/>
          </w:r>
          <w:r>
            <w:instrText xml:space="preserve"> TOC \o "1-1" \h \z \u </w:instrText>
          </w:r>
          <w:r>
            <w:fldChar w:fldCharType="separate"/>
          </w:r>
          <w:hyperlink w:anchor="_Toc31010830" w:history="1">
            <w:r w:rsidRPr="00077443">
              <w:rPr>
                <w:rStyle w:val="Hyperlnk"/>
                <w:noProof/>
              </w:rPr>
              <w:t>Årets resultat</w:t>
            </w:r>
            <w:r>
              <w:rPr>
                <w:noProof/>
                <w:webHidden/>
              </w:rPr>
              <w:tab/>
            </w:r>
            <w:r>
              <w:rPr>
                <w:noProof/>
                <w:webHidden/>
              </w:rPr>
              <w:fldChar w:fldCharType="begin"/>
            </w:r>
            <w:r>
              <w:rPr>
                <w:noProof/>
                <w:webHidden/>
              </w:rPr>
              <w:instrText xml:space="preserve"> PAGEREF _Toc31010830 \h </w:instrText>
            </w:r>
            <w:r>
              <w:rPr>
                <w:noProof/>
                <w:webHidden/>
              </w:rPr>
            </w:r>
            <w:r>
              <w:rPr>
                <w:noProof/>
                <w:webHidden/>
              </w:rPr>
              <w:fldChar w:fldCharType="separate"/>
            </w:r>
            <w:r>
              <w:rPr>
                <w:noProof/>
                <w:webHidden/>
              </w:rPr>
              <w:t>3</w:t>
            </w:r>
            <w:r>
              <w:rPr>
                <w:noProof/>
                <w:webHidden/>
              </w:rPr>
              <w:fldChar w:fldCharType="end"/>
            </w:r>
          </w:hyperlink>
        </w:p>
        <w:p w:rsidR="00386517" w:rsidRDefault="00C34A05" w:rsidP="00386517">
          <w:pPr>
            <w:pStyle w:val="Innehll1"/>
            <w:tabs>
              <w:tab w:val="right" w:leader="dot" w:pos="7360"/>
            </w:tabs>
            <w:rPr>
              <w:rFonts w:eastAsiaTheme="minorEastAsia"/>
              <w:noProof/>
              <w:lang w:eastAsia="sv-SE"/>
            </w:rPr>
          </w:pPr>
          <w:hyperlink w:anchor="_Toc31010831" w:history="1">
            <w:r w:rsidR="00386517" w:rsidRPr="00077443">
              <w:rPr>
                <w:rStyle w:val="Hyperlnk"/>
                <w:noProof/>
              </w:rPr>
              <w:t>Nämnder och styrelser</w:t>
            </w:r>
            <w:r w:rsidR="00386517">
              <w:rPr>
                <w:noProof/>
                <w:webHidden/>
              </w:rPr>
              <w:tab/>
            </w:r>
            <w:r w:rsidR="00386517">
              <w:rPr>
                <w:noProof/>
                <w:webHidden/>
              </w:rPr>
              <w:fldChar w:fldCharType="begin"/>
            </w:r>
            <w:r w:rsidR="00386517">
              <w:rPr>
                <w:noProof/>
                <w:webHidden/>
              </w:rPr>
              <w:instrText xml:space="preserve"> PAGEREF _Toc31010831 \h </w:instrText>
            </w:r>
            <w:r w:rsidR="00386517">
              <w:rPr>
                <w:noProof/>
                <w:webHidden/>
              </w:rPr>
            </w:r>
            <w:r w:rsidR="00386517">
              <w:rPr>
                <w:noProof/>
                <w:webHidden/>
              </w:rPr>
              <w:fldChar w:fldCharType="separate"/>
            </w:r>
            <w:r w:rsidR="00386517">
              <w:rPr>
                <w:noProof/>
                <w:webHidden/>
              </w:rPr>
              <w:t>7</w:t>
            </w:r>
            <w:r w:rsidR="00386517">
              <w:rPr>
                <w:noProof/>
                <w:webHidden/>
              </w:rPr>
              <w:fldChar w:fldCharType="end"/>
            </w:r>
          </w:hyperlink>
        </w:p>
        <w:p w:rsidR="00386517" w:rsidRDefault="00C34A05" w:rsidP="00386517">
          <w:pPr>
            <w:pStyle w:val="Innehll1"/>
            <w:tabs>
              <w:tab w:val="right" w:leader="dot" w:pos="7360"/>
            </w:tabs>
            <w:rPr>
              <w:rFonts w:eastAsiaTheme="minorEastAsia"/>
              <w:noProof/>
              <w:lang w:eastAsia="sv-SE"/>
            </w:rPr>
          </w:pPr>
          <w:hyperlink w:anchor="_Toc31010832" w:history="1">
            <w:r w:rsidR="00386517" w:rsidRPr="00077443">
              <w:rPr>
                <w:rStyle w:val="Hyperlnk"/>
                <w:noProof/>
              </w:rPr>
              <w:t>Investeringar</w:t>
            </w:r>
            <w:r w:rsidR="00386517">
              <w:rPr>
                <w:noProof/>
                <w:webHidden/>
              </w:rPr>
              <w:tab/>
            </w:r>
            <w:r w:rsidR="00386517">
              <w:rPr>
                <w:noProof/>
                <w:webHidden/>
              </w:rPr>
              <w:fldChar w:fldCharType="begin"/>
            </w:r>
            <w:r w:rsidR="00386517">
              <w:rPr>
                <w:noProof/>
                <w:webHidden/>
              </w:rPr>
              <w:instrText xml:space="preserve"> PAGEREF _Toc31010832 \h </w:instrText>
            </w:r>
            <w:r w:rsidR="00386517">
              <w:rPr>
                <w:noProof/>
                <w:webHidden/>
              </w:rPr>
            </w:r>
            <w:r w:rsidR="00386517">
              <w:rPr>
                <w:noProof/>
                <w:webHidden/>
              </w:rPr>
              <w:fldChar w:fldCharType="separate"/>
            </w:r>
            <w:r w:rsidR="00386517">
              <w:rPr>
                <w:noProof/>
                <w:webHidden/>
              </w:rPr>
              <w:t>11</w:t>
            </w:r>
            <w:r w:rsidR="00386517">
              <w:rPr>
                <w:noProof/>
                <w:webHidden/>
              </w:rPr>
              <w:fldChar w:fldCharType="end"/>
            </w:r>
          </w:hyperlink>
        </w:p>
        <w:p w:rsidR="00386517" w:rsidRDefault="00C34A05" w:rsidP="00386517">
          <w:pPr>
            <w:pStyle w:val="Innehll1"/>
            <w:tabs>
              <w:tab w:val="right" w:leader="dot" w:pos="7360"/>
            </w:tabs>
            <w:rPr>
              <w:rFonts w:eastAsiaTheme="minorEastAsia"/>
              <w:noProof/>
              <w:lang w:eastAsia="sv-SE"/>
            </w:rPr>
          </w:pPr>
          <w:hyperlink w:anchor="_Toc31010833" w:history="1">
            <w:r w:rsidR="00386517" w:rsidRPr="00077443">
              <w:rPr>
                <w:rStyle w:val="Hyperlnk"/>
                <w:noProof/>
              </w:rPr>
              <w:t>Nyckeltal</w:t>
            </w:r>
            <w:r w:rsidR="00386517">
              <w:rPr>
                <w:noProof/>
                <w:webHidden/>
              </w:rPr>
              <w:tab/>
            </w:r>
            <w:r w:rsidR="00386517">
              <w:rPr>
                <w:noProof/>
                <w:webHidden/>
              </w:rPr>
              <w:fldChar w:fldCharType="begin"/>
            </w:r>
            <w:r w:rsidR="00386517">
              <w:rPr>
                <w:noProof/>
                <w:webHidden/>
              </w:rPr>
              <w:instrText xml:space="preserve"> PAGEREF _Toc31010833 \h </w:instrText>
            </w:r>
            <w:r w:rsidR="00386517">
              <w:rPr>
                <w:noProof/>
                <w:webHidden/>
              </w:rPr>
            </w:r>
            <w:r w:rsidR="00386517">
              <w:rPr>
                <w:noProof/>
                <w:webHidden/>
              </w:rPr>
              <w:fldChar w:fldCharType="separate"/>
            </w:r>
            <w:r w:rsidR="00386517">
              <w:rPr>
                <w:noProof/>
                <w:webHidden/>
              </w:rPr>
              <w:t>12</w:t>
            </w:r>
            <w:r w:rsidR="00386517">
              <w:rPr>
                <w:noProof/>
                <w:webHidden/>
              </w:rPr>
              <w:fldChar w:fldCharType="end"/>
            </w:r>
          </w:hyperlink>
        </w:p>
        <w:p w:rsidR="00386517" w:rsidRDefault="00386517" w:rsidP="00386517">
          <w:r>
            <w:fldChar w:fldCharType="end"/>
          </w:r>
        </w:p>
      </w:sdtContent>
    </w:sdt>
    <w:p w:rsidR="00386517" w:rsidRPr="00655E71" w:rsidRDefault="00386517" w:rsidP="00386517">
      <w:pPr>
        <w:spacing w:after="200" w:line="276" w:lineRule="auto"/>
        <w:rPr>
          <w:rFonts w:ascii="Calibri" w:eastAsiaTheme="majorEastAsia" w:hAnsi="Calibri" w:cstheme="majorBidi"/>
          <w:i/>
          <w:sz w:val="36"/>
          <w:szCs w:val="32"/>
        </w:rPr>
      </w:pPr>
      <w:r>
        <w:br w:type="page"/>
      </w:r>
    </w:p>
    <w:p w:rsidR="00386517" w:rsidRDefault="00386517" w:rsidP="00386517">
      <w:pPr>
        <w:pStyle w:val="Rubrik1"/>
      </w:pPr>
      <w:bookmarkStart w:id="0" w:name="_Toc31010350"/>
      <w:bookmarkStart w:id="1" w:name="_Toc31010830"/>
      <w:r>
        <w:lastRenderedPageBreak/>
        <w:t>Årets resultat</w:t>
      </w:r>
      <w:bookmarkEnd w:id="0"/>
      <w:bookmarkEnd w:id="1"/>
    </w:p>
    <w:p w:rsidR="00386517" w:rsidRPr="008C0B80" w:rsidRDefault="00386517" w:rsidP="00386517">
      <w:pPr>
        <w:spacing w:before="120" w:after="120" w:line="240" w:lineRule="auto"/>
      </w:pPr>
      <w:r>
        <w:t>Ekonomin i Västerås stad är fortsatt stark och stabil. S</w:t>
      </w:r>
      <w:r w:rsidRPr="0044143C">
        <w:t>kattesats</w:t>
      </w:r>
      <w:r>
        <w:t>en är på en medelnivå bland Sveriges kommuner</w:t>
      </w:r>
      <w:r w:rsidRPr="0044143C">
        <w:t>. Bokslutsresultaten har varit goda</w:t>
      </w:r>
      <w:r>
        <w:t xml:space="preserve"> de senaste åren</w:t>
      </w:r>
      <w:r w:rsidRPr="0044143C">
        <w:t xml:space="preserve">, soliditeten </w:t>
      </w:r>
      <w:r>
        <w:t xml:space="preserve">är </w:t>
      </w:r>
      <w:r w:rsidRPr="0044143C">
        <w:t xml:space="preserve">god och investeringarna har finansierats med egna </w:t>
      </w:r>
      <w:r w:rsidRPr="008C0B80">
        <w:t xml:space="preserve">skattemedel. Staden har 1,5 mdr i nettotillgångar.  </w:t>
      </w:r>
    </w:p>
    <w:p w:rsidR="00386517" w:rsidRPr="008C0B80" w:rsidRDefault="00386517" w:rsidP="00386517">
      <w:pPr>
        <w:spacing w:before="120" w:after="120" w:line="240" w:lineRule="auto"/>
      </w:pPr>
      <w:r w:rsidRPr="008C0B80">
        <w:t xml:space="preserve">Årets resultat uppgår till 529 mnkr. Den främsta anledningen till att resultatet överstiger budgeterad nivå är </w:t>
      </w:r>
      <w:r w:rsidR="00C34A05">
        <w:t>värdeökning</w:t>
      </w:r>
      <w:r w:rsidRPr="008C0B80">
        <w:t xml:space="preserve"> av finansiella tillgångar med 187 mnkr. Exklusi</w:t>
      </w:r>
      <w:r w:rsidR="00F90712">
        <w:t>ve dessa är resultatet 342 mnkr</w:t>
      </w:r>
      <w:r w:rsidR="00D64A54">
        <w:t xml:space="preserve"> och i nivå med</w:t>
      </w:r>
      <w:r w:rsidR="00F90712" w:rsidRPr="00D64A54">
        <w:t xml:space="preserve"> </w:t>
      </w:r>
      <w:r w:rsidRPr="00D64A54">
        <w:t>2018.</w:t>
      </w:r>
      <w:r w:rsidRPr="008C0B80">
        <w:t xml:space="preserve"> </w:t>
      </w:r>
    </w:p>
    <w:p w:rsidR="00386517" w:rsidRPr="008C0B80" w:rsidRDefault="00386517" w:rsidP="00386517">
      <w:pPr>
        <w:spacing w:before="120" w:after="120" w:line="240" w:lineRule="auto"/>
      </w:pPr>
      <w:r w:rsidRPr="008C0B80">
        <w:t>Verksamhetens resultat är positivt med 105 mnkr och är i nivå med budget. Utöver detta finns realisationsvinster på 112 mnkr och exploateringsöverskott med 88 mnkr totalt 200 mnkr.</w:t>
      </w:r>
    </w:p>
    <w:p w:rsidR="00386517" w:rsidRPr="008C0B80" w:rsidRDefault="00386517" w:rsidP="00386517">
      <w:pPr>
        <w:spacing w:before="120" w:after="120" w:line="240" w:lineRule="auto"/>
      </w:pPr>
      <w:r w:rsidRPr="008C0B80">
        <w:t xml:space="preserve"> Årets resultat uppfyller kommunallagens krav på en ekonomi i balans. </w:t>
      </w:r>
    </w:p>
    <w:tbl>
      <w:tblPr>
        <w:tblW w:w="7445" w:type="dxa"/>
        <w:tblInd w:w="65" w:type="dxa"/>
        <w:tblCellMar>
          <w:left w:w="70" w:type="dxa"/>
          <w:right w:w="70" w:type="dxa"/>
        </w:tblCellMar>
        <w:tblLook w:val="04A0" w:firstRow="1" w:lastRow="0" w:firstColumn="1" w:lastColumn="0" w:noHBand="0" w:noVBand="1"/>
      </w:tblPr>
      <w:tblGrid>
        <w:gridCol w:w="204"/>
        <w:gridCol w:w="2920"/>
        <w:gridCol w:w="992"/>
        <w:gridCol w:w="1134"/>
        <w:gridCol w:w="992"/>
        <w:gridCol w:w="990"/>
        <w:gridCol w:w="213"/>
      </w:tblGrid>
      <w:tr w:rsidR="00386517" w:rsidRPr="007347D2" w:rsidTr="00F90712">
        <w:trPr>
          <w:trHeight w:val="368"/>
        </w:trPr>
        <w:tc>
          <w:tcPr>
            <w:tcW w:w="204" w:type="dxa"/>
            <w:tcBorders>
              <w:top w:val="single" w:sz="4" w:space="0" w:color="auto"/>
              <w:left w:val="single" w:sz="4" w:space="0" w:color="auto"/>
              <w:bottom w:val="nil"/>
              <w:right w:val="nil"/>
            </w:tcBorders>
            <w:shd w:val="clear" w:color="000000" w:fill="95B3D7"/>
            <w:vAlign w:val="bottom"/>
            <w:hideMark/>
          </w:tcPr>
          <w:p w:rsidR="00386517" w:rsidRPr="007347D2" w:rsidRDefault="00386517" w:rsidP="00F90712">
            <w:pPr>
              <w:spacing w:line="240" w:lineRule="auto"/>
              <w:rPr>
                <w:rFonts w:ascii="Calibri" w:eastAsia="Times New Roman" w:hAnsi="Calibri" w:cs="Times New Roman"/>
                <w:b/>
                <w:bCs/>
                <w:color w:val="000000"/>
                <w:sz w:val="24"/>
                <w:szCs w:val="24"/>
                <w:lang w:eastAsia="sv-SE"/>
              </w:rPr>
            </w:pPr>
            <w:r w:rsidRPr="007347D2">
              <w:rPr>
                <w:rFonts w:ascii="Calibri" w:eastAsia="Times New Roman" w:hAnsi="Calibri" w:cs="Times New Roman"/>
                <w:b/>
                <w:bCs/>
                <w:color w:val="000000"/>
                <w:sz w:val="24"/>
                <w:szCs w:val="24"/>
                <w:lang w:eastAsia="sv-SE"/>
              </w:rPr>
              <w:t> </w:t>
            </w:r>
          </w:p>
        </w:tc>
        <w:tc>
          <w:tcPr>
            <w:tcW w:w="2920" w:type="dxa"/>
            <w:tcBorders>
              <w:top w:val="single" w:sz="4" w:space="0" w:color="auto"/>
              <w:left w:val="nil"/>
              <w:bottom w:val="nil"/>
              <w:right w:val="single" w:sz="4" w:space="0" w:color="CCCCCC"/>
            </w:tcBorders>
            <w:shd w:val="clear" w:color="000000" w:fill="95B3D7"/>
            <w:vAlign w:val="bottom"/>
            <w:hideMark/>
          </w:tcPr>
          <w:p w:rsidR="00386517" w:rsidRPr="007347D2" w:rsidRDefault="00386517" w:rsidP="00F90712">
            <w:pPr>
              <w:spacing w:line="240" w:lineRule="auto"/>
              <w:rPr>
                <w:rFonts w:ascii="Calibri" w:eastAsia="Times New Roman" w:hAnsi="Calibri" w:cs="Times New Roman"/>
                <w:b/>
                <w:bCs/>
                <w:color w:val="000000"/>
                <w:sz w:val="24"/>
                <w:szCs w:val="24"/>
                <w:lang w:eastAsia="sv-SE"/>
              </w:rPr>
            </w:pPr>
            <w:r w:rsidRPr="007347D2">
              <w:rPr>
                <w:rFonts w:ascii="Calibri" w:eastAsia="Times New Roman" w:hAnsi="Calibri" w:cs="Times New Roman"/>
                <w:b/>
                <w:bCs/>
                <w:color w:val="000000"/>
                <w:sz w:val="24"/>
                <w:szCs w:val="24"/>
                <w:lang w:eastAsia="sv-SE"/>
              </w:rPr>
              <w:t>Resultaträkning, mnkr</w:t>
            </w:r>
          </w:p>
        </w:tc>
        <w:tc>
          <w:tcPr>
            <w:tcW w:w="992" w:type="dxa"/>
            <w:tcBorders>
              <w:top w:val="single" w:sz="4" w:space="0" w:color="auto"/>
              <w:left w:val="nil"/>
              <w:bottom w:val="nil"/>
              <w:right w:val="single" w:sz="4" w:space="0" w:color="CCCCCC"/>
            </w:tcBorders>
            <w:shd w:val="clear" w:color="000000" w:fill="95B3D7"/>
            <w:hideMark/>
          </w:tcPr>
          <w:p w:rsidR="00386517" w:rsidRPr="007347D2" w:rsidRDefault="00386517" w:rsidP="00F90712">
            <w:pPr>
              <w:spacing w:line="240" w:lineRule="auto"/>
              <w:jc w:val="right"/>
              <w:rPr>
                <w:rFonts w:ascii="Calibri" w:eastAsia="Times New Roman" w:hAnsi="Calibri" w:cs="Times New Roman"/>
                <w:b/>
                <w:bCs/>
                <w:color w:val="000000"/>
                <w:sz w:val="24"/>
                <w:szCs w:val="24"/>
                <w:lang w:eastAsia="sv-SE"/>
              </w:rPr>
            </w:pPr>
            <w:r w:rsidRPr="007347D2">
              <w:rPr>
                <w:rFonts w:ascii="Calibri" w:eastAsia="Times New Roman" w:hAnsi="Calibri" w:cs="Times New Roman"/>
                <w:b/>
                <w:bCs/>
                <w:color w:val="000000"/>
                <w:sz w:val="24"/>
                <w:szCs w:val="24"/>
                <w:lang w:eastAsia="sv-SE"/>
              </w:rPr>
              <w:t>Utfall 2019</w:t>
            </w:r>
          </w:p>
        </w:tc>
        <w:tc>
          <w:tcPr>
            <w:tcW w:w="1134" w:type="dxa"/>
            <w:tcBorders>
              <w:top w:val="single" w:sz="4" w:space="0" w:color="auto"/>
              <w:left w:val="nil"/>
              <w:bottom w:val="nil"/>
              <w:right w:val="single" w:sz="4" w:space="0" w:color="CCCCCC"/>
            </w:tcBorders>
            <w:shd w:val="clear" w:color="000000" w:fill="95B3D7"/>
            <w:hideMark/>
          </w:tcPr>
          <w:p w:rsidR="00386517" w:rsidRPr="007347D2" w:rsidRDefault="00386517" w:rsidP="00F90712">
            <w:pPr>
              <w:spacing w:line="240" w:lineRule="auto"/>
              <w:jc w:val="right"/>
              <w:rPr>
                <w:rFonts w:ascii="Calibri" w:eastAsia="Times New Roman" w:hAnsi="Calibri" w:cs="Times New Roman"/>
                <w:b/>
                <w:bCs/>
                <w:color w:val="000000"/>
                <w:sz w:val="24"/>
                <w:szCs w:val="24"/>
                <w:lang w:eastAsia="sv-SE"/>
              </w:rPr>
            </w:pPr>
            <w:r w:rsidRPr="007347D2">
              <w:rPr>
                <w:rFonts w:ascii="Calibri" w:eastAsia="Times New Roman" w:hAnsi="Calibri" w:cs="Times New Roman"/>
                <w:b/>
                <w:bCs/>
                <w:color w:val="000000"/>
                <w:sz w:val="24"/>
                <w:szCs w:val="24"/>
                <w:lang w:eastAsia="sv-SE"/>
              </w:rPr>
              <w:t>Budget 2019</w:t>
            </w:r>
          </w:p>
        </w:tc>
        <w:tc>
          <w:tcPr>
            <w:tcW w:w="992" w:type="dxa"/>
            <w:tcBorders>
              <w:top w:val="single" w:sz="4" w:space="0" w:color="auto"/>
              <w:left w:val="nil"/>
              <w:bottom w:val="nil"/>
              <w:right w:val="single" w:sz="4" w:space="0" w:color="CCCCCC"/>
            </w:tcBorders>
            <w:shd w:val="clear" w:color="000000" w:fill="95B3D7"/>
            <w:hideMark/>
          </w:tcPr>
          <w:p w:rsidR="00386517" w:rsidRPr="007347D2" w:rsidRDefault="00386517" w:rsidP="00F90712">
            <w:pPr>
              <w:spacing w:line="240" w:lineRule="auto"/>
              <w:jc w:val="right"/>
              <w:rPr>
                <w:rFonts w:ascii="Calibri" w:eastAsia="Times New Roman" w:hAnsi="Calibri" w:cs="Times New Roman"/>
                <w:b/>
                <w:bCs/>
                <w:color w:val="000000"/>
                <w:sz w:val="24"/>
                <w:szCs w:val="24"/>
                <w:lang w:eastAsia="sv-SE"/>
              </w:rPr>
            </w:pPr>
            <w:proofErr w:type="spellStart"/>
            <w:r w:rsidRPr="007347D2">
              <w:rPr>
                <w:rFonts w:ascii="Calibri" w:eastAsia="Times New Roman" w:hAnsi="Calibri" w:cs="Times New Roman"/>
                <w:b/>
                <w:bCs/>
                <w:color w:val="000000"/>
                <w:sz w:val="24"/>
                <w:szCs w:val="24"/>
                <w:lang w:eastAsia="sv-SE"/>
              </w:rPr>
              <w:t>Av</w:t>
            </w:r>
            <w:r>
              <w:rPr>
                <w:rFonts w:ascii="Calibri" w:eastAsia="Times New Roman" w:hAnsi="Calibri" w:cs="Times New Roman"/>
                <w:b/>
                <w:bCs/>
                <w:color w:val="000000"/>
                <w:sz w:val="24"/>
                <w:szCs w:val="24"/>
                <w:lang w:eastAsia="sv-SE"/>
              </w:rPr>
              <w:t>-</w:t>
            </w:r>
            <w:r w:rsidRPr="007347D2">
              <w:rPr>
                <w:rFonts w:ascii="Calibri" w:eastAsia="Times New Roman" w:hAnsi="Calibri" w:cs="Times New Roman"/>
                <w:b/>
                <w:bCs/>
                <w:color w:val="000000"/>
                <w:sz w:val="24"/>
                <w:szCs w:val="24"/>
                <w:lang w:eastAsia="sv-SE"/>
              </w:rPr>
              <w:t>vikelse</w:t>
            </w:r>
            <w:proofErr w:type="spellEnd"/>
          </w:p>
        </w:tc>
        <w:tc>
          <w:tcPr>
            <w:tcW w:w="990" w:type="dxa"/>
            <w:tcBorders>
              <w:top w:val="single" w:sz="4" w:space="0" w:color="auto"/>
              <w:left w:val="nil"/>
              <w:bottom w:val="nil"/>
              <w:right w:val="nil"/>
            </w:tcBorders>
            <w:shd w:val="clear" w:color="000000" w:fill="95B3D7"/>
            <w:hideMark/>
          </w:tcPr>
          <w:p w:rsidR="00386517" w:rsidRPr="007347D2" w:rsidRDefault="00386517" w:rsidP="00F90712">
            <w:pPr>
              <w:spacing w:line="240" w:lineRule="auto"/>
              <w:jc w:val="right"/>
              <w:rPr>
                <w:rFonts w:ascii="Calibri" w:eastAsia="Times New Roman" w:hAnsi="Calibri" w:cs="Times New Roman"/>
                <w:b/>
                <w:bCs/>
                <w:color w:val="000000"/>
                <w:sz w:val="24"/>
                <w:szCs w:val="24"/>
                <w:lang w:eastAsia="sv-SE"/>
              </w:rPr>
            </w:pPr>
            <w:r w:rsidRPr="007347D2">
              <w:rPr>
                <w:rFonts w:ascii="Calibri" w:eastAsia="Times New Roman" w:hAnsi="Calibri" w:cs="Times New Roman"/>
                <w:b/>
                <w:bCs/>
                <w:color w:val="000000"/>
                <w:sz w:val="24"/>
                <w:szCs w:val="24"/>
                <w:lang w:eastAsia="sv-SE"/>
              </w:rPr>
              <w:t>Utfall 2018</w:t>
            </w:r>
          </w:p>
        </w:tc>
        <w:tc>
          <w:tcPr>
            <w:tcW w:w="213" w:type="dxa"/>
            <w:tcBorders>
              <w:top w:val="single" w:sz="4" w:space="0" w:color="auto"/>
              <w:left w:val="nil"/>
              <w:bottom w:val="nil"/>
              <w:right w:val="single" w:sz="4" w:space="0" w:color="auto"/>
            </w:tcBorders>
            <w:shd w:val="clear" w:color="000000" w:fill="95B3D7"/>
            <w:vAlign w:val="bottom"/>
            <w:hideMark/>
          </w:tcPr>
          <w:p w:rsidR="00386517" w:rsidRPr="007347D2" w:rsidRDefault="00386517" w:rsidP="00F90712">
            <w:pPr>
              <w:spacing w:line="240" w:lineRule="auto"/>
              <w:jc w:val="right"/>
              <w:rPr>
                <w:rFonts w:ascii="Calibri" w:eastAsia="Times New Roman" w:hAnsi="Calibri" w:cs="Times New Roman"/>
                <w:b/>
                <w:bCs/>
                <w:color w:val="000000"/>
                <w:sz w:val="32"/>
                <w:szCs w:val="32"/>
                <w:lang w:eastAsia="sv-SE"/>
              </w:rPr>
            </w:pPr>
            <w:r w:rsidRPr="007347D2">
              <w:rPr>
                <w:rFonts w:ascii="Calibri" w:eastAsia="Times New Roman" w:hAnsi="Calibri" w:cs="Times New Roman"/>
                <w:b/>
                <w:bCs/>
                <w:color w:val="000000"/>
                <w:sz w:val="32"/>
                <w:szCs w:val="32"/>
                <w:lang w:eastAsia="sv-SE"/>
              </w:rPr>
              <w:t> </w:t>
            </w:r>
          </w:p>
        </w:tc>
      </w:tr>
      <w:tr w:rsidR="00386517" w:rsidRPr="007347D2" w:rsidTr="00F90712">
        <w:trPr>
          <w:trHeight w:val="315"/>
        </w:trPr>
        <w:tc>
          <w:tcPr>
            <w:tcW w:w="204" w:type="dxa"/>
            <w:tcBorders>
              <w:top w:val="nil"/>
              <w:left w:val="single" w:sz="4" w:space="0" w:color="auto"/>
              <w:bottom w:val="nil"/>
              <w:right w:val="nil"/>
            </w:tcBorders>
            <w:shd w:val="clear" w:color="auto" w:fill="auto"/>
            <w:vAlign w:val="bottom"/>
            <w:hideMark/>
          </w:tcPr>
          <w:p w:rsidR="00386517" w:rsidRPr="007347D2" w:rsidRDefault="00386517" w:rsidP="00F90712">
            <w:pPr>
              <w:spacing w:line="240" w:lineRule="auto"/>
              <w:rPr>
                <w:rFonts w:ascii="Calibri" w:eastAsia="Times New Roman" w:hAnsi="Calibri" w:cs="Times New Roman"/>
                <w:b/>
                <w:bCs/>
                <w:sz w:val="28"/>
                <w:szCs w:val="28"/>
                <w:lang w:eastAsia="sv-SE"/>
              </w:rPr>
            </w:pPr>
            <w:r w:rsidRPr="007347D2">
              <w:rPr>
                <w:rFonts w:ascii="Calibri" w:eastAsia="Times New Roman" w:hAnsi="Calibri" w:cs="Times New Roman"/>
                <w:b/>
                <w:bCs/>
                <w:sz w:val="28"/>
                <w:szCs w:val="28"/>
                <w:lang w:eastAsia="sv-SE"/>
              </w:rPr>
              <w:t> </w:t>
            </w:r>
          </w:p>
        </w:tc>
        <w:tc>
          <w:tcPr>
            <w:tcW w:w="2920" w:type="dxa"/>
            <w:tcBorders>
              <w:top w:val="nil"/>
              <w:left w:val="nil"/>
              <w:bottom w:val="nil"/>
              <w:right w:val="nil"/>
            </w:tcBorders>
            <w:shd w:val="clear" w:color="auto" w:fill="auto"/>
            <w:vAlign w:val="bottom"/>
            <w:hideMark/>
          </w:tcPr>
          <w:p w:rsidR="00386517" w:rsidRPr="007347D2" w:rsidRDefault="00386517" w:rsidP="00F90712">
            <w:pPr>
              <w:spacing w:line="240" w:lineRule="auto"/>
              <w:rPr>
                <w:rFonts w:ascii="Calibri" w:eastAsia="Times New Roman" w:hAnsi="Calibri" w:cs="Times New Roman"/>
                <w:b/>
                <w:bCs/>
                <w:color w:val="000000"/>
                <w:sz w:val="24"/>
                <w:szCs w:val="24"/>
                <w:lang w:eastAsia="sv-SE"/>
              </w:rPr>
            </w:pPr>
            <w:r w:rsidRPr="007347D2">
              <w:rPr>
                <w:rFonts w:ascii="Calibri" w:eastAsia="Times New Roman" w:hAnsi="Calibri" w:cs="Times New Roman"/>
                <w:b/>
                <w:bCs/>
                <w:color w:val="000000"/>
                <w:sz w:val="24"/>
                <w:szCs w:val="24"/>
                <w:lang w:eastAsia="sv-SE"/>
              </w:rPr>
              <w:t>Verksamhetens resultat*</w:t>
            </w:r>
          </w:p>
        </w:tc>
        <w:tc>
          <w:tcPr>
            <w:tcW w:w="992" w:type="dxa"/>
            <w:tcBorders>
              <w:top w:val="nil"/>
              <w:left w:val="nil"/>
              <w:bottom w:val="nil"/>
              <w:right w:val="nil"/>
            </w:tcBorders>
            <w:shd w:val="clear" w:color="auto" w:fill="auto"/>
            <w:vAlign w:val="bottom"/>
            <w:hideMark/>
          </w:tcPr>
          <w:p w:rsidR="00386517" w:rsidRPr="007347D2" w:rsidRDefault="00386517" w:rsidP="00F90712">
            <w:pPr>
              <w:spacing w:line="240" w:lineRule="auto"/>
              <w:jc w:val="right"/>
              <w:rPr>
                <w:rFonts w:ascii="Calibri" w:eastAsia="Times New Roman" w:hAnsi="Calibri" w:cs="Times New Roman"/>
                <w:b/>
                <w:bCs/>
                <w:color w:val="000000"/>
                <w:sz w:val="24"/>
                <w:szCs w:val="24"/>
                <w:lang w:eastAsia="sv-SE"/>
              </w:rPr>
            </w:pPr>
            <w:r w:rsidRPr="007347D2">
              <w:rPr>
                <w:rFonts w:ascii="Calibri" w:eastAsia="Times New Roman" w:hAnsi="Calibri" w:cs="Times New Roman"/>
                <w:b/>
                <w:bCs/>
                <w:color w:val="000000"/>
                <w:sz w:val="24"/>
                <w:szCs w:val="24"/>
                <w:lang w:eastAsia="sv-SE"/>
              </w:rPr>
              <w:t>105</w:t>
            </w:r>
          </w:p>
        </w:tc>
        <w:tc>
          <w:tcPr>
            <w:tcW w:w="1134" w:type="dxa"/>
            <w:tcBorders>
              <w:top w:val="nil"/>
              <w:left w:val="nil"/>
              <w:bottom w:val="nil"/>
              <w:right w:val="nil"/>
            </w:tcBorders>
            <w:shd w:val="clear" w:color="auto" w:fill="auto"/>
            <w:vAlign w:val="bottom"/>
            <w:hideMark/>
          </w:tcPr>
          <w:p w:rsidR="00386517" w:rsidRPr="007347D2" w:rsidRDefault="00386517" w:rsidP="00F90712">
            <w:pPr>
              <w:spacing w:line="240" w:lineRule="auto"/>
              <w:jc w:val="right"/>
              <w:rPr>
                <w:rFonts w:ascii="Calibri" w:eastAsia="Times New Roman" w:hAnsi="Calibri" w:cs="Times New Roman"/>
                <w:b/>
                <w:bCs/>
                <w:color w:val="000000"/>
                <w:sz w:val="24"/>
                <w:szCs w:val="24"/>
                <w:lang w:eastAsia="sv-SE"/>
              </w:rPr>
            </w:pPr>
            <w:r w:rsidRPr="007347D2">
              <w:rPr>
                <w:rFonts w:ascii="Calibri" w:eastAsia="Times New Roman" w:hAnsi="Calibri" w:cs="Times New Roman"/>
                <w:b/>
                <w:bCs/>
                <w:color w:val="000000"/>
                <w:sz w:val="24"/>
                <w:szCs w:val="24"/>
                <w:lang w:eastAsia="sv-SE"/>
              </w:rPr>
              <w:t>103</w:t>
            </w:r>
          </w:p>
        </w:tc>
        <w:tc>
          <w:tcPr>
            <w:tcW w:w="992" w:type="dxa"/>
            <w:tcBorders>
              <w:top w:val="nil"/>
              <w:left w:val="nil"/>
              <w:bottom w:val="nil"/>
              <w:right w:val="nil"/>
            </w:tcBorders>
            <w:shd w:val="clear" w:color="auto" w:fill="auto"/>
            <w:vAlign w:val="bottom"/>
            <w:hideMark/>
          </w:tcPr>
          <w:p w:rsidR="00386517" w:rsidRPr="007347D2" w:rsidRDefault="00386517" w:rsidP="00F90712">
            <w:pPr>
              <w:spacing w:line="240" w:lineRule="auto"/>
              <w:jc w:val="right"/>
              <w:rPr>
                <w:rFonts w:ascii="Calibri" w:eastAsia="Times New Roman" w:hAnsi="Calibri" w:cs="Times New Roman"/>
                <w:b/>
                <w:bCs/>
                <w:color w:val="000000"/>
                <w:sz w:val="24"/>
                <w:szCs w:val="24"/>
                <w:lang w:eastAsia="sv-SE"/>
              </w:rPr>
            </w:pPr>
            <w:r w:rsidRPr="007347D2">
              <w:rPr>
                <w:rFonts w:ascii="Calibri" w:eastAsia="Times New Roman" w:hAnsi="Calibri" w:cs="Times New Roman"/>
                <w:b/>
                <w:bCs/>
                <w:color w:val="000000"/>
                <w:sz w:val="24"/>
                <w:szCs w:val="24"/>
                <w:lang w:eastAsia="sv-SE"/>
              </w:rPr>
              <w:t>2</w:t>
            </w:r>
          </w:p>
        </w:tc>
        <w:tc>
          <w:tcPr>
            <w:tcW w:w="990" w:type="dxa"/>
            <w:tcBorders>
              <w:top w:val="nil"/>
              <w:left w:val="nil"/>
              <w:bottom w:val="nil"/>
              <w:right w:val="nil"/>
            </w:tcBorders>
            <w:shd w:val="clear" w:color="auto" w:fill="auto"/>
            <w:vAlign w:val="bottom"/>
            <w:hideMark/>
          </w:tcPr>
          <w:p w:rsidR="00386517" w:rsidRPr="007347D2" w:rsidRDefault="00386517" w:rsidP="00F90712">
            <w:pPr>
              <w:spacing w:line="240" w:lineRule="auto"/>
              <w:jc w:val="right"/>
              <w:rPr>
                <w:rFonts w:ascii="Calibri" w:eastAsia="Times New Roman" w:hAnsi="Calibri" w:cs="Times New Roman"/>
                <w:b/>
                <w:bCs/>
                <w:color w:val="000000"/>
                <w:sz w:val="24"/>
                <w:szCs w:val="24"/>
                <w:lang w:eastAsia="sv-SE"/>
              </w:rPr>
            </w:pPr>
            <w:proofErr w:type="gramStart"/>
            <w:r w:rsidRPr="007347D2">
              <w:rPr>
                <w:rFonts w:ascii="Calibri" w:eastAsia="Times New Roman" w:hAnsi="Calibri" w:cs="Times New Roman"/>
                <w:b/>
                <w:bCs/>
                <w:color w:val="000000"/>
                <w:sz w:val="24"/>
                <w:szCs w:val="24"/>
                <w:lang w:eastAsia="sv-SE"/>
              </w:rPr>
              <w:t>-</w:t>
            </w:r>
            <w:proofErr w:type="gramEnd"/>
            <w:r w:rsidRPr="007347D2">
              <w:rPr>
                <w:rFonts w:ascii="Calibri" w:eastAsia="Times New Roman" w:hAnsi="Calibri" w:cs="Times New Roman"/>
                <w:b/>
                <w:bCs/>
                <w:color w:val="000000"/>
                <w:sz w:val="24"/>
                <w:szCs w:val="24"/>
                <w:lang w:eastAsia="sv-SE"/>
              </w:rPr>
              <w:t>29</w:t>
            </w:r>
          </w:p>
        </w:tc>
        <w:tc>
          <w:tcPr>
            <w:tcW w:w="213" w:type="dxa"/>
            <w:tcBorders>
              <w:top w:val="nil"/>
              <w:left w:val="nil"/>
              <w:bottom w:val="nil"/>
              <w:right w:val="single" w:sz="4" w:space="0" w:color="auto"/>
            </w:tcBorders>
            <w:shd w:val="clear" w:color="auto" w:fill="auto"/>
            <w:vAlign w:val="bottom"/>
            <w:hideMark/>
          </w:tcPr>
          <w:p w:rsidR="00386517" w:rsidRPr="007347D2" w:rsidRDefault="00386517" w:rsidP="00F90712">
            <w:pPr>
              <w:spacing w:line="240" w:lineRule="auto"/>
              <w:jc w:val="right"/>
              <w:rPr>
                <w:rFonts w:ascii="Calibri" w:eastAsia="Times New Roman" w:hAnsi="Calibri" w:cs="Times New Roman"/>
                <w:b/>
                <w:bCs/>
                <w:sz w:val="28"/>
                <w:szCs w:val="28"/>
                <w:lang w:eastAsia="sv-SE"/>
              </w:rPr>
            </w:pPr>
            <w:r w:rsidRPr="007347D2">
              <w:rPr>
                <w:rFonts w:ascii="Calibri" w:eastAsia="Times New Roman" w:hAnsi="Calibri" w:cs="Times New Roman"/>
                <w:b/>
                <w:bCs/>
                <w:sz w:val="28"/>
                <w:szCs w:val="28"/>
                <w:lang w:eastAsia="sv-SE"/>
              </w:rPr>
              <w:t> </w:t>
            </w:r>
          </w:p>
        </w:tc>
      </w:tr>
      <w:tr w:rsidR="00386517" w:rsidRPr="007347D2" w:rsidTr="00F90712">
        <w:trPr>
          <w:trHeight w:val="274"/>
        </w:trPr>
        <w:tc>
          <w:tcPr>
            <w:tcW w:w="204" w:type="dxa"/>
            <w:tcBorders>
              <w:top w:val="nil"/>
              <w:left w:val="single" w:sz="4" w:space="0" w:color="auto"/>
              <w:bottom w:val="nil"/>
              <w:right w:val="nil"/>
            </w:tcBorders>
            <w:shd w:val="clear" w:color="auto" w:fill="auto"/>
            <w:vAlign w:val="bottom"/>
            <w:hideMark/>
          </w:tcPr>
          <w:p w:rsidR="00386517" w:rsidRPr="007347D2" w:rsidRDefault="00386517" w:rsidP="00F90712">
            <w:pPr>
              <w:spacing w:line="240" w:lineRule="auto"/>
              <w:rPr>
                <w:rFonts w:ascii="Calibri" w:eastAsia="Times New Roman" w:hAnsi="Calibri" w:cs="Times New Roman"/>
                <w:color w:val="000000"/>
                <w:sz w:val="24"/>
                <w:szCs w:val="24"/>
                <w:lang w:eastAsia="sv-SE"/>
              </w:rPr>
            </w:pPr>
            <w:r w:rsidRPr="007347D2">
              <w:rPr>
                <w:rFonts w:ascii="Calibri" w:eastAsia="Times New Roman" w:hAnsi="Calibri" w:cs="Times New Roman"/>
                <w:color w:val="000000"/>
                <w:sz w:val="24"/>
                <w:szCs w:val="24"/>
                <w:lang w:eastAsia="sv-SE"/>
              </w:rPr>
              <w:t> </w:t>
            </w:r>
          </w:p>
        </w:tc>
        <w:tc>
          <w:tcPr>
            <w:tcW w:w="2920" w:type="dxa"/>
            <w:tcBorders>
              <w:top w:val="nil"/>
              <w:left w:val="nil"/>
              <w:bottom w:val="nil"/>
              <w:right w:val="nil"/>
            </w:tcBorders>
            <w:shd w:val="clear" w:color="auto" w:fill="auto"/>
            <w:vAlign w:val="bottom"/>
            <w:hideMark/>
          </w:tcPr>
          <w:p w:rsidR="00386517" w:rsidRPr="007347D2" w:rsidRDefault="00386517" w:rsidP="00F90712">
            <w:pPr>
              <w:spacing w:line="240" w:lineRule="auto"/>
              <w:rPr>
                <w:rFonts w:ascii="Calibri" w:eastAsia="Times New Roman" w:hAnsi="Calibri" w:cs="Times New Roman"/>
                <w:color w:val="000000"/>
                <w:sz w:val="24"/>
                <w:szCs w:val="24"/>
                <w:lang w:eastAsia="sv-SE"/>
              </w:rPr>
            </w:pPr>
            <w:r w:rsidRPr="007347D2">
              <w:rPr>
                <w:rFonts w:ascii="Calibri" w:eastAsia="Times New Roman" w:hAnsi="Calibri" w:cs="Times New Roman"/>
                <w:color w:val="000000"/>
                <w:sz w:val="24"/>
                <w:szCs w:val="24"/>
                <w:lang w:eastAsia="sv-SE"/>
              </w:rPr>
              <w:t>Realisationsvinster</w:t>
            </w:r>
          </w:p>
        </w:tc>
        <w:tc>
          <w:tcPr>
            <w:tcW w:w="992" w:type="dxa"/>
            <w:tcBorders>
              <w:top w:val="nil"/>
              <w:left w:val="nil"/>
              <w:bottom w:val="nil"/>
              <w:right w:val="nil"/>
            </w:tcBorders>
            <w:shd w:val="clear" w:color="auto" w:fill="auto"/>
            <w:vAlign w:val="bottom"/>
            <w:hideMark/>
          </w:tcPr>
          <w:p w:rsidR="00386517" w:rsidRPr="007347D2" w:rsidRDefault="00386517" w:rsidP="00F90712">
            <w:pPr>
              <w:spacing w:line="240" w:lineRule="auto"/>
              <w:jc w:val="right"/>
              <w:rPr>
                <w:rFonts w:ascii="Calibri" w:eastAsia="Times New Roman" w:hAnsi="Calibri" w:cs="Times New Roman"/>
                <w:color w:val="000000"/>
                <w:sz w:val="24"/>
                <w:szCs w:val="24"/>
                <w:lang w:eastAsia="sv-SE"/>
              </w:rPr>
            </w:pPr>
            <w:r w:rsidRPr="007347D2">
              <w:rPr>
                <w:rFonts w:ascii="Calibri" w:eastAsia="Times New Roman" w:hAnsi="Calibri" w:cs="Times New Roman"/>
                <w:color w:val="000000"/>
                <w:sz w:val="24"/>
                <w:szCs w:val="24"/>
                <w:lang w:eastAsia="sv-SE"/>
              </w:rPr>
              <w:t>112</w:t>
            </w:r>
          </w:p>
        </w:tc>
        <w:tc>
          <w:tcPr>
            <w:tcW w:w="1134" w:type="dxa"/>
            <w:tcBorders>
              <w:top w:val="nil"/>
              <w:left w:val="nil"/>
              <w:bottom w:val="nil"/>
              <w:right w:val="nil"/>
            </w:tcBorders>
            <w:shd w:val="clear" w:color="auto" w:fill="auto"/>
            <w:vAlign w:val="bottom"/>
            <w:hideMark/>
          </w:tcPr>
          <w:p w:rsidR="00386517" w:rsidRPr="007347D2" w:rsidRDefault="00386517" w:rsidP="00F90712">
            <w:pPr>
              <w:spacing w:line="240" w:lineRule="auto"/>
              <w:jc w:val="right"/>
              <w:rPr>
                <w:rFonts w:ascii="Calibri" w:eastAsia="Times New Roman" w:hAnsi="Calibri" w:cs="Times New Roman"/>
                <w:color w:val="000000"/>
                <w:sz w:val="24"/>
                <w:szCs w:val="24"/>
                <w:lang w:eastAsia="sv-SE"/>
              </w:rPr>
            </w:pPr>
            <w:r w:rsidRPr="007347D2">
              <w:rPr>
                <w:rFonts w:ascii="Calibri" w:eastAsia="Times New Roman" w:hAnsi="Calibri" w:cs="Times New Roman"/>
                <w:color w:val="000000"/>
                <w:sz w:val="24"/>
                <w:szCs w:val="24"/>
                <w:lang w:eastAsia="sv-SE"/>
              </w:rPr>
              <w:t>0</w:t>
            </w:r>
          </w:p>
        </w:tc>
        <w:tc>
          <w:tcPr>
            <w:tcW w:w="992" w:type="dxa"/>
            <w:tcBorders>
              <w:top w:val="nil"/>
              <w:left w:val="nil"/>
              <w:bottom w:val="nil"/>
              <w:right w:val="nil"/>
            </w:tcBorders>
            <w:shd w:val="clear" w:color="auto" w:fill="auto"/>
            <w:vAlign w:val="bottom"/>
            <w:hideMark/>
          </w:tcPr>
          <w:p w:rsidR="00386517" w:rsidRPr="007347D2" w:rsidRDefault="00386517" w:rsidP="00F90712">
            <w:pPr>
              <w:spacing w:line="240" w:lineRule="auto"/>
              <w:jc w:val="right"/>
              <w:rPr>
                <w:rFonts w:ascii="Calibri" w:eastAsia="Times New Roman" w:hAnsi="Calibri" w:cs="Times New Roman"/>
                <w:color w:val="000000"/>
                <w:sz w:val="24"/>
                <w:szCs w:val="24"/>
                <w:lang w:eastAsia="sv-SE"/>
              </w:rPr>
            </w:pPr>
            <w:r w:rsidRPr="007347D2">
              <w:rPr>
                <w:rFonts w:ascii="Calibri" w:eastAsia="Times New Roman" w:hAnsi="Calibri" w:cs="Times New Roman"/>
                <w:color w:val="000000"/>
                <w:sz w:val="24"/>
                <w:szCs w:val="24"/>
                <w:lang w:eastAsia="sv-SE"/>
              </w:rPr>
              <w:t>112</w:t>
            </w:r>
          </w:p>
        </w:tc>
        <w:tc>
          <w:tcPr>
            <w:tcW w:w="990" w:type="dxa"/>
            <w:tcBorders>
              <w:top w:val="nil"/>
              <w:left w:val="nil"/>
              <w:bottom w:val="nil"/>
              <w:right w:val="nil"/>
            </w:tcBorders>
            <w:shd w:val="clear" w:color="auto" w:fill="auto"/>
            <w:vAlign w:val="bottom"/>
            <w:hideMark/>
          </w:tcPr>
          <w:p w:rsidR="00386517" w:rsidRPr="007347D2" w:rsidRDefault="00386517" w:rsidP="00F90712">
            <w:pPr>
              <w:spacing w:line="240" w:lineRule="auto"/>
              <w:jc w:val="right"/>
              <w:rPr>
                <w:rFonts w:ascii="Calibri" w:eastAsia="Times New Roman" w:hAnsi="Calibri" w:cs="Times New Roman"/>
                <w:color w:val="000000"/>
                <w:sz w:val="24"/>
                <w:szCs w:val="24"/>
                <w:lang w:eastAsia="sv-SE"/>
              </w:rPr>
            </w:pPr>
            <w:r w:rsidRPr="007347D2">
              <w:rPr>
                <w:rFonts w:ascii="Calibri" w:eastAsia="Times New Roman" w:hAnsi="Calibri" w:cs="Times New Roman"/>
                <w:color w:val="000000"/>
                <w:sz w:val="24"/>
                <w:szCs w:val="24"/>
                <w:lang w:eastAsia="sv-SE"/>
              </w:rPr>
              <w:t>200</w:t>
            </w:r>
          </w:p>
        </w:tc>
        <w:tc>
          <w:tcPr>
            <w:tcW w:w="213" w:type="dxa"/>
            <w:tcBorders>
              <w:top w:val="nil"/>
              <w:left w:val="nil"/>
              <w:bottom w:val="nil"/>
              <w:right w:val="single" w:sz="4" w:space="0" w:color="auto"/>
            </w:tcBorders>
            <w:shd w:val="clear" w:color="auto" w:fill="auto"/>
            <w:vAlign w:val="bottom"/>
            <w:hideMark/>
          </w:tcPr>
          <w:p w:rsidR="00386517" w:rsidRPr="007347D2" w:rsidRDefault="00386517" w:rsidP="00F90712">
            <w:pPr>
              <w:spacing w:line="240" w:lineRule="auto"/>
              <w:jc w:val="right"/>
              <w:rPr>
                <w:rFonts w:ascii="Calibri" w:eastAsia="Times New Roman" w:hAnsi="Calibri" w:cs="Times New Roman"/>
                <w:color w:val="000000"/>
                <w:sz w:val="24"/>
                <w:szCs w:val="24"/>
                <w:lang w:eastAsia="sv-SE"/>
              </w:rPr>
            </w:pPr>
            <w:r w:rsidRPr="007347D2">
              <w:rPr>
                <w:rFonts w:ascii="Calibri" w:eastAsia="Times New Roman" w:hAnsi="Calibri" w:cs="Times New Roman"/>
                <w:color w:val="000000"/>
                <w:sz w:val="24"/>
                <w:szCs w:val="24"/>
                <w:lang w:eastAsia="sv-SE"/>
              </w:rPr>
              <w:t> </w:t>
            </w:r>
          </w:p>
        </w:tc>
      </w:tr>
      <w:tr w:rsidR="00386517" w:rsidRPr="007347D2" w:rsidTr="00F90712">
        <w:trPr>
          <w:trHeight w:val="274"/>
        </w:trPr>
        <w:tc>
          <w:tcPr>
            <w:tcW w:w="204" w:type="dxa"/>
            <w:tcBorders>
              <w:top w:val="nil"/>
              <w:left w:val="single" w:sz="4" w:space="0" w:color="auto"/>
              <w:bottom w:val="nil"/>
              <w:right w:val="nil"/>
            </w:tcBorders>
            <w:shd w:val="clear" w:color="auto" w:fill="auto"/>
            <w:vAlign w:val="bottom"/>
            <w:hideMark/>
          </w:tcPr>
          <w:p w:rsidR="00386517" w:rsidRPr="007347D2" w:rsidRDefault="00386517" w:rsidP="00F90712">
            <w:pPr>
              <w:spacing w:line="240" w:lineRule="auto"/>
              <w:rPr>
                <w:rFonts w:ascii="Calibri" w:eastAsia="Times New Roman" w:hAnsi="Calibri" w:cs="Times New Roman"/>
                <w:color w:val="000000"/>
                <w:sz w:val="24"/>
                <w:szCs w:val="24"/>
                <w:lang w:eastAsia="sv-SE"/>
              </w:rPr>
            </w:pPr>
            <w:r w:rsidRPr="007347D2">
              <w:rPr>
                <w:rFonts w:ascii="Calibri" w:eastAsia="Times New Roman" w:hAnsi="Calibri" w:cs="Times New Roman"/>
                <w:color w:val="000000"/>
                <w:sz w:val="24"/>
                <w:szCs w:val="24"/>
                <w:lang w:eastAsia="sv-SE"/>
              </w:rPr>
              <w:t> </w:t>
            </w:r>
          </w:p>
        </w:tc>
        <w:tc>
          <w:tcPr>
            <w:tcW w:w="2920" w:type="dxa"/>
            <w:tcBorders>
              <w:top w:val="nil"/>
              <w:left w:val="nil"/>
              <w:bottom w:val="single" w:sz="4" w:space="0" w:color="auto"/>
              <w:right w:val="nil"/>
            </w:tcBorders>
            <w:shd w:val="clear" w:color="auto" w:fill="auto"/>
            <w:vAlign w:val="bottom"/>
            <w:hideMark/>
          </w:tcPr>
          <w:p w:rsidR="00386517" w:rsidRPr="007347D2" w:rsidRDefault="00386517" w:rsidP="00F90712">
            <w:pPr>
              <w:spacing w:line="240" w:lineRule="auto"/>
              <w:rPr>
                <w:rFonts w:ascii="Calibri" w:eastAsia="Times New Roman" w:hAnsi="Calibri" w:cs="Times New Roman"/>
                <w:color w:val="000000"/>
                <w:sz w:val="24"/>
                <w:szCs w:val="24"/>
                <w:lang w:eastAsia="sv-SE"/>
              </w:rPr>
            </w:pPr>
            <w:r w:rsidRPr="007347D2">
              <w:rPr>
                <w:rFonts w:ascii="Calibri" w:eastAsia="Times New Roman" w:hAnsi="Calibri" w:cs="Times New Roman"/>
                <w:color w:val="000000"/>
                <w:sz w:val="24"/>
                <w:szCs w:val="24"/>
                <w:lang w:eastAsia="sv-SE"/>
              </w:rPr>
              <w:t>Exploatering</w:t>
            </w:r>
          </w:p>
        </w:tc>
        <w:tc>
          <w:tcPr>
            <w:tcW w:w="992" w:type="dxa"/>
            <w:tcBorders>
              <w:top w:val="nil"/>
              <w:left w:val="nil"/>
              <w:bottom w:val="single" w:sz="4" w:space="0" w:color="auto"/>
              <w:right w:val="nil"/>
            </w:tcBorders>
            <w:shd w:val="clear" w:color="auto" w:fill="auto"/>
            <w:vAlign w:val="bottom"/>
            <w:hideMark/>
          </w:tcPr>
          <w:p w:rsidR="00386517" w:rsidRPr="007347D2" w:rsidRDefault="00386517" w:rsidP="00F90712">
            <w:pPr>
              <w:spacing w:line="240" w:lineRule="auto"/>
              <w:jc w:val="right"/>
              <w:rPr>
                <w:rFonts w:ascii="Calibri" w:eastAsia="Times New Roman" w:hAnsi="Calibri" w:cs="Times New Roman"/>
                <w:color w:val="000000"/>
                <w:sz w:val="24"/>
                <w:szCs w:val="24"/>
                <w:lang w:eastAsia="sv-SE"/>
              </w:rPr>
            </w:pPr>
            <w:r w:rsidRPr="007347D2">
              <w:rPr>
                <w:rFonts w:ascii="Calibri" w:eastAsia="Times New Roman" w:hAnsi="Calibri" w:cs="Times New Roman"/>
                <w:color w:val="000000"/>
                <w:sz w:val="24"/>
                <w:szCs w:val="24"/>
                <w:lang w:eastAsia="sv-SE"/>
              </w:rPr>
              <w:t>88</w:t>
            </w:r>
          </w:p>
        </w:tc>
        <w:tc>
          <w:tcPr>
            <w:tcW w:w="1134" w:type="dxa"/>
            <w:tcBorders>
              <w:top w:val="nil"/>
              <w:left w:val="nil"/>
              <w:bottom w:val="single" w:sz="4" w:space="0" w:color="auto"/>
              <w:right w:val="nil"/>
            </w:tcBorders>
            <w:shd w:val="clear" w:color="auto" w:fill="auto"/>
            <w:vAlign w:val="bottom"/>
            <w:hideMark/>
          </w:tcPr>
          <w:p w:rsidR="00386517" w:rsidRPr="007347D2" w:rsidRDefault="00386517" w:rsidP="00F90712">
            <w:pPr>
              <w:spacing w:line="240" w:lineRule="auto"/>
              <w:jc w:val="right"/>
              <w:rPr>
                <w:rFonts w:ascii="Calibri" w:eastAsia="Times New Roman" w:hAnsi="Calibri" w:cs="Times New Roman"/>
                <w:color w:val="000000"/>
                <w:sz w:val="24"/>
                <w:szCs w:val="24"/>
                <w:lang w:eastAsia="sv-SE"/>
              </w:rPr>
            </w:pPr>
            <w:r w:rsidRPr="007347D2">
              <w:rPr>
                <w:rFonts w:ascii="Calibri" w:eastAsia="Times New Roman" w:hAnsi="Calibri" w:cs="Times New Roman"/>
                <w:color w:val="000000"/>
                <w:sz w:val="24"/>
                <w:szCs w:val="24"/>
                <w:lang w:eastAsia="sv-SE"/>
              </w:rPr>
              <w:t>9</w:t>
            </w:r>
          </w:p>
        </w:tc>
        <w:tc>
          <w:tcPr>
            <w:tcW w:w="992" w:type="dxa"/>
            <w:tcBorders>
              <w:top w:val="nil"/>
              <w:left w:val="nil"/>
              <w:bottom w:val="single" w:sz="4" w:space="0" w:color="auto"/>
              <w:right w:val="nil"/>
            </w:tcBorders>
            <w:shd w:val="clear" w:color="auto" w:fill="auto"/>
            <w:vAlign w:val="bottom"/>
            <w:hideMark/>
          </w:tcPr>
          <w:p w:rsidR="00386517" w:rsidRPr="007347D2" w:rsidRDefault="00386517" w:rsidP="00F90712">
            <w:pPr>
              <w:spacing w:line="240" w:lineRule="auto"/>
              <w:jc w:val="right"/>
              <w:rPr>
                <w:rFonts w:ascii="Calibri" w:eastAsia="Times New Roman" w:hAnsi="Calibri" w:cs="Times New Roman"/>
                <w:color w:val="000000"/>
                <w:sz w:val="24"/>
                <w:szCs w:val="24"/>
                <w:lang w:eastAsia="sv-SE"/>
              </w:rPr>
            </w:pPr>
            <w:r w:rsidRPr="007347D2">
              <w:rPr>
                <w:rFonts w:ascii="Calibri" w:eastAsia="Times New Roman" w:hAnsi="Calibri" w:cs="Times New Roman"/>
                <w:color w:val="000000"/>
                <w:sz w:val="24"/>
                <w:szCs w:val="24"/>
                <w:lang w:eastAsia="sv-SE"/>
              </w:rPr>
              <w:t>79</w:t>
            </w:r>
          </w:p>
        </w:tc>
        <w:tc>
          <w:tcPr>
            <w:tcW w:w="990" w:type="dxa"/>
            <w:tcBorders>
              <w:top w:val="nil"/>
              <w:left w:val="nil"/>
              <w:bottom w:val="single" w:sz="4" w:space="0" w:color="auto"/>
              <w:right w:val="nil"/>
            </w:tcBorders>
            <w:shd w:val="clear" w:color="auto" w:fill="auto"/>
            <w:vAlign w:val="bottom"/>
            <w:hideMark/>
          </w:tcPr>
          <w:p w:rsidR="00386517" w:rsidRPr="007347D2" w:rsidRDefault="00386517" w:rsidP="00F90712">
            <w:pPr>
              <w:spacing w:line="240" w:lineRule="auto"/>
              <w:jc w:val="right"/>
              <w:rPr>
                <w:rFonts w:ascii="Calibri" w:eastAsia="Times New Roman" w:hAnsi="Calibri" w:cs="Times New Roman"/>
                <w:color w:val="000000"/>
                <w:sz w:val="24"/>
                <w:szCs w:val="24"/>
                <w:lang w:eastAsia="sv-SE"/>
              </w:rPr>
            </w:pPr>
            <w:r w:rsidRPr="007347D2">
              <w:rPr>
                <w:rFonts w:ascii="Calibri" w:eastAsia="Times New Roman" w:hAnsi="Calibri" w:cs="Times New Roman"/>
                <w:color w:val="000000"/>
                <w:sz w:val="24"/>
                <w:szCs w:val="24"/>
                <w:lang w:eastAsia="sv-SE"/>
              </w:rPr>
              <w:t>113</w:t>
            </w:r>
          </w:p>
        </w:tc>
        <w:tc>
          <w:tcPr>
            <w:tcW w:w="213" w:type="dxa"/>
            <w:tcBorders>
              <w:top w:val="nil"/>
              <w:left w:val="nil"/>
              <w:bottom w:val="nil"/>
              <w:right w:val="single" w:sz="4" w:space="0" w:color="auto"/>
            </w:tcBorders>
            <w:shd w:val="clear" w:color="auto" w:fill="auto"/>
            <w:vAlign w:val="bottom"/>
            <w:hideMark/>
          </w:tcPr>
          <w:p w:rsidR="00386517" w:rsidRPr="007347D2" w:rsidRDefault="00386517" w:rsidP="00F90712">
            <w:pPr>
              <w:spacing w:line="240" w:lineRule="auto"/>
              <w:jc w:val="right"/>
              <w:rPr>
                <w:rFonts w:ascii="Calibri" w:eastAsia="Times New Roman" w:hAnsi="Calibri" w:cs="Times New Roman"/>
                <w:color w:val="000000"/>
                <w:sz w:val="24"/>
                <w:szCs w:val="24"/>
                <w:u w:val="single"/>
                <w:lang w:eastAsia="sv-SE"/>
              </w:rPr>
            </w:pPr>
          </w:p>
        </w:tc>
      </w:tr>
      <w:tr w:rsidR="00386517" w:rsidRPr="007347D2" w:rsidTr="00F90712">
        <w:trPr>
          <w:trHeight w:val="274"/>
        </w:trPr>
        <w:tc>
          <w:tcPr>
            <w:tcW w:w="204" w:type="dxa"/>
            <w:tcBorders>
              <w:top w:val="nil"/>
              <w:left w:val="single" w:sz="4" w:space="0" w:color="auto"/>
              <w:bottom w:val="nil"/>
              <w:right w:val="nil"/>
            </w:tcBorders>
            <w:shd w:val="clear" w:color="auto" w:fill="auto"/>
            <w:vAlign w:val="bottom"/>
            <w:hideMark/>
          </w:tcPr>
          <w:p w:rsidR="00386517" w:rsidRPr="007347D2" w:rsidRDefault="00386517" w:rsidP="00F90712">
            <w:pPr>
              <w:spacing w:line="240" w:lineRule="auto"/>
              <w:rPr>
                <w:rFonts w:ascii="Calibri" w:eastAsia="Times New Roman" w:hAnsi="Calibri" w:cs="Times New Roman"/>
                <w:color w:val="000000"/>
                <w:sz w:val="24"/>
                <w:szCs w:val="24"/>
                <w:lang w:eastAsia="sv-SE"/>
              </w:rPr>
            </w:pPr>
            <w:r w:rsidRPr="007347D2">
              <w:rPr>
                <w:rFonts w:ascii="Calibri" w:eastAsia="Times New Roman" w:hAnsi="Calibri" w:cs="Times New Roman"/>
                <w:color w:val="000000"/>
                <w:sz w:val="24"/>
                <w:szCs w:val="24"/>
                <w:lang w:eastAsia="sv-SE"/>
              </w:rPr>
              <w:t> </w:t>
            </w:r>
          </w:p>
        </w:tc>
        <w:tc>
          <w:tcPr>
            <w:tcW w:w="2920" w:type="dxa"/>
            <w:tcBorders>
              <w:top w:val="nil"/>
              <w:left w:val="nil"/>
              <w:bottom w:val="nil"/>
              <w:right w:val="nil"/>
            </w:tcBorders>
            <w:shd w:val="clear" w:color="auto" w:fill="auto"/>
            <w:vAlign w:val="bottom"/>
            <w:hideMark/>
          </w:tcPr>
          <w:p w:rsidR="00386517" w:rsidRPr="007347D2" w:rsidRDefault="00386517" w:rsidP="00F90712">
            <w:pPr>
              <w:spacing w:line="240" w:lineRule="auto"/>
              <w:rPr>
                <w:rFonts w:ascii="Calibri" w:eastAsia="Times New Roman" w:hAnsi="Calibri" w:cs="Times New Roman"/>
                <w:b/>
                <w:bCs/>
                <w:color w:val="000000"/>
                <w:sz w:val="24"/>
                <w:szCs w:val="24"/>
                <w:lang w:eastAsia="sv-SE"/>
              </w:rPr>
            </w:pPr>
            <w:r w:rsidRPr="007347D2">
              <w:rPr>
                <w:rFonts w:ascii="Calibri" w:eastAsia="Times New Roman" w:hAnsi="Calibri" w:cs="Times New Roman"/>
                <w:b/>
                <w:bCs/>
                <w:color w:val="000000"/>
                <w:sz w:val="24"/>
                <w:szCs w:val="24"/>
                <w:lang w:eastAsia="sv-SE"/>
              </w:rPr>
              <w:t xml:space="preserve">Verksamhetens resultat </w:t>
            </w:r>
          </w:p>
        </w:tc>
        <w:tc>
          <w:tcPr>
            <w:tcW w:w="992" w:type="dxa"/>
            <w:tcBorders>
              <w:top w:val="nil"/>
              <w:left w:val="nil"/>
              <w:bottom w:val="nil"/>
              <w:right w:val="nil"/>
            </w:tcBorders>
            <w:shd w:val="clear" w:color="auto" w:fill="auto"/>
            <w:vAlign w:val="bottom"/>
            <w:hideMark/>
          </w:tcPr>
          <w:p w:rsidR="00386517" w:rsidRPr="007347D2" w:rsidRDefault="00386517" w:rsidP="00F90712">
            <w:pPr>
              <w:spacing w:line="240" w:lineRule="auto"/>
              <w:jc w:val="right"/>
              <w:rPr>
                <w:rFonts w:ascii="Calibri" w:eastAsia="Times New Roman" w:hAnsi="Calibri" w:cs="Times New Roman"/>
                <w:b/>
                <w:bCs/>
                <w:color w:val="000000"/>
                <w:sz w:val="24"/>
                <w:szCs w:val="24"/>
                <w:lang w:eastAsia="sv-SE"/>
              </w:rPr>
            </w:pPr>
            <w:r w:rsidRPr="007347D2">
              <w:rPr>
                <w:rFonts w:ascii="Calibri" w:eastAsia="Times New Roman" w:hAnsi="Calibri" w:cs="Times New Roman"/>
                <w:b/>
                <w:bCs/>
                <w:color w:val="000000"/>
                <w:sz w:val="24"/>
                <w:szCs w:val="24"/>
                <w:lang w:eastAsia="sv-SE"/>
              </w:rPr>
              <w:t>305</w:t>
            </w:r>
          </w:p>
        </w:tc>
        <w:tc>
          <w:tcPr>
            <w:tcW w:w="1134" w:type="dxa"/>
            <w:tcBorders>
              <w:top w:val="nil"/>
              <w:left w:val="nil"/>
              <w:bottom w:val="nil"/>
              <w:right w:val="nil"/>
            </w:tcBorders>
            <w:shd w:val="clear" w:color="auto" w:fill="auto"/>
            <w:vAlign w:val="bottom"/>
            <w:hideMark/>
          </w:tcPr>
          <w:p w:rsidR="00386517" w:rsidRPr="007347D2" w:rsidRDefault="00386517" w:rsidP="00F90712">
            <w:pPr>
              <w:spacing w:line="240" w:lineRule="auto"/>
              <w:jc w:val="right"/>
              <w:rPr>
                <w:rFonts w:ascii="Calibri" w:eastAsia="Times New Roman" w:hAnsi="Calibri" w:cs="Times New Roman"/>
                <w:b/>
                <w:bCs/>
                <w:color w:val="000000"/>
                <w:sz w:val="24"/>
                <w:szCs w:val="24"/>
                <w:lang w:eastAsia="sv-SE"/>
              </w:rPr>
            </w:pPr>
            <w:r w:rsidRPr="007347D2">
              <w:rPr>
                <w:rFonts w:ascii="Calibri" w:eastAsia="Times New Roman" w:hAnsi="Calibri" w:cs="Times New Roman"/>
                <w:b/>
                <w:bCs/>
                <w:color w:val="000000"/>
                <w:sz w:val="24"/>
                <w:szCs w:val="24"/>
                <w:lang w:eastAsia="sv-SE"/>
              </w:rPr>
              <w:t>112</w:t>
            </w:r>
          </w:p>
        </w:tc>
        <w:tc>
          <w:tcPr>
            <w:tcW w:w="992" w:type="dxa"/>
            <w:tcBorders>
              <w:top w:val="nil"/>
              <w:left w:val="nil"/>
              <w:bottom w:val="nil"/>
              <w:right w:val="nil"/>
            </w:tcBorders>
            <w:shd w:val="clear" w:color="auto" w:fill="auto"/>
            <w:vAlign w:val="bottom"/>
            <w:hideMark/>
          </w:tcPr>
          <w:p w:rsidR="00386517" w:rsidRPr="007347D2" w:rsidRDefault="00386517" w:rsidP="00F90712">
            <w:pPr>
              <w:spacing w:line="240" w:lineRule="auto"/>
              <w:jc w:val="right"/>
              <w:rPr>
                <w:rFonts w:ascii="Calibri" w:eastAsia="Times New Roman" w:hAnsi="Calibri" w:cs="Times New Roman"/>
                <w:b/>
                <w:bCs/>
                <w:color w:val="000000"/>
                <w:sz w:val="24"/>
                <w:szCs w:val="24"/>
                <w:lang w:eastAsia="sv-SE"/>
              </w:rPr>
            </w:pPr>
            <w:r w:rsidRPr="007347D2">
              <w:rPr>
                <w:rFonts w:ascii="Calibri" w:eastAsia="Times New Roman" w:hAnsi="Calibri" w:cs="Times New Roman"/>
                <w:b/>
                <w:bCs/>
                <w:color w:val="000000"/>
                <w:sz w:val="24"/>
                <w:szCs w:val="24"/>
                <w:lang w:eastAsia="sv-SE"/>
              </w:rPr>
              <w:t>193</w:t>
            </w:r>
          </w:p>
        </w:tc>
        <w:tc>
          <w:tcPr>
            <w:tcW w:w="990" w:type="dxa"/>
            <w:tcBorders>
              <w:top w:val="nil"/>
              <w:left w:val="nil"/>
              <w:bottom w:val="nil"/>
              <w:right w:val="nil"/>
            </w:tcBorders>
            <w:shd w:val="clear" w:color="auto" w:fill="auto"/>
            <w:vAlign w:val="bottom"/>
            <w:hideMark/>
          </w:tcPr>
          <w:p w:rsidR="00386517" w:rsidRPr="007347D2" w:rsidRDefault="00386517" w:rsidP="00F90712">
            <w:pPr>
              <w:spacing w:line="240" w:lineRule="auto"/>
              <w:jc w:val="right"/>
              <w:rPr>
                <w:rFonts w:ascii="Calibri" w:eastAsia="Times New Roman" w:hAnsi="Calibri" w:cs="Times New Roman"/>
                <w:b/>
                <w:bCs/>
                <w:color w:val="000000"/>
                <w:sz w:val="24"/>
                <w:szCs w:val="24"/>
                <w:lang w:eastAsia="sv-SE"/>
              </w:rPr>
            </w:pPr>
            <w:r w:rsidRPr="007347D2">
              <w:rPr>
                <w:rFonts w:ascii="Calibri" w:eastAsia="Times New Roman" w:hAnsi="Calibri" w:cs="Times New Roman"/>
                <w:b/>
                <w:bCs/>
                <w:color w:val="000000"/>
                <w:sz w:val="24"/>
                <w:szCs w:val="24"/>
                <w:lang w:eastAsia="sv-SE"/>
              </w:rPr>
              <w:t>284</w:t>
            </w:r>
          </w:p>
        </w:tc>
        <w:tc>
          <w:tcPr>
            <w:tcW w:w="213" w:type="dxa"/>
            <w:tcBorders>
              <w:top w:val="nil"/>
              <w:left w:val="nil"/>
              <w:bottom w:val="nil"/>
              <w:right w:val="single" w:sz="4" w:space="0" w:color="auto"/>
            </w:tcBorders>
            <w:shd w:val="clear" w:color="auto" w:fill="auto"/>
            <w:vAlign w:val="bottom"/>
            <w:hideMark/>
          </w:tcPr>
          <w:p w:rsidR="00386517" w:rsidRPr="007347D2" w:rsidRDefault="00386517" w:rsidP="00F90712">
            <w:pPr>
              <w:spacing w:line="240" w:lineRule="auto"/>
              <w:jc w:val="right"/>
              <w:rPr>
                <w:rFonts w:ascii="Calibri" w:eastAsia="Times New Roman" w:hAnsi="Calibri" w:cs="Times New Roman"/>
                <w:color w:val="000000"/>
                <w:sz w:val="24"/>
                <w:szCs w:val="24"/>
                <w:u w:val="single"/>
                <w:lang w:eastAsia="sv-SE"/>
              </w:rPr>
            </w:pPr>
          </w:p>
        </w:tc>
      </w:tr>
      <w:tr w:rsidR="00386517" w:rsidRPr="007347D2" w:rsidTr="00F90712">
        <w:trPr>
          <w:trHeight w:val="274"/>
        </w:trPr>
        <w:tc>
          <w:tcPr>
            <w:tcW w:w="204" w:type="dxa"/>
            <w:tcBorders>
              <w:top w:val="nil"/>
              <w:left w:val="single" w:sz="4" w:space="0" w:color="auto"/>
              <w:bottom w:val="nil"/>
              <w:right w:val="nil"/>
            </w:tcBorders>
            <w:shd w:val="clear" w:color="auto" w:fill="auto"/>
            <w:vAlign w:val="bottom"/>
            <w:hideMark/>
          </w:tcPr>
          <w:p w:rsidR="00386517" w:rsidRPr="007347D2" w:rsidRDefault="00386517" w:rsidP="00F90712">
            <w:pPr>
              <w:spacing w:line="240" w:lineRule="auto"/>
              <w:rPr>
                <w:rFonts w:ascii="Calibri" w:eastAsia="Times New Roman" w:hAnsi="Calibri" w:cs="Times New Roman"/>
                <w:b/>
                <w:bCs/>
                <w:color w:val="000000"/>
                <w:sz w:val="24"/>
                <w:szCs w:val="24"/>
                <w:lang w:eastAsia="sv-SE"/>
              </w:rPr>
            </w:pPr>
            <w:r w:rsidRPr="007347D2">
              <w:rPr>
                <w:rFonts w:ascii="Calibri" w:eastAsia="Times New Roman" w:hAnsi="Calibri" w:cs="Times New Roman"/>
                <w:b/>
                <w:bCs/>
                <w:color w:val="000000"/>
                <w:sz w:val="24"/>
                <w:szCs w:val="24"/>
                <w:lang w:eastAsia="sv-SE"/>
              </w:rPr>
              <w:t> </w:t>
            </w:r>
          </w:p>
        </w:tc>
        <w:tc>
          <w:tcPr>
            <w:tcW w:w="2920" w:type="dxa"/>
            <w:tcBorders>
              <w:top w:val="nil"/>
              <w:left w:val="nil"/>
              <w:bottom w:val="nil"/>
              <w:right w:val="nil"/>
            </w:tcBorders>
            <w:shd w:val="clear" w:color="auto" w:fill="auto"/>
            <w:vAlign w:val="bottom"/>
            <w:hideMark/>
          </w:tcPr>
          <w:p w:rsidR="00386517" w:rsidRPr="007347D2" w:rsidRDefault="00386517" w:rsidP="00F90712">
            <w:pPr>
              <w:spacing w:line="240" w:lineRule="auto"/>
              <w:rPr>
                <w:rFonts w:ascii="Calibri" w:eastAsia="Times New Roman" w:hAnsi="Calibri" w:cs="Times New Roman"/>
                <w:b/>
                <w:bCs/>
                <w:color w:val="000000"/>
                <w:sz w:val="24"/>
                <w:szCs w:val="24"/>
                <w:lang w:eastAsia="sv-SE"/>
              </w:rPr>
            </w:pPr>
          </w:p>
        </w:tc>
        <w:tc>
          <w:tcPr>
            <w:tcW w:w="992" w:type="dxa"/>
            <w:tcBorders>
              <w:top w:val="nil"/>
              <w:left w:val="nil"/>
              <w:bottom w:val="nil"/>
              <w:right w:val="nil"/>
            </w:tcBorders>
            <w:shd w:val="clear" w:color="auto" w:fill="auto"/>
            <w:vAlign w:val="bottom"/>
            <w:hideMark/>
          </w:tcPr>
          <w:p w:rsidR="00386517" w:rsidRPr="007347D2" w:rsidRDefault="00386517" w:rsidP="00F90712">
            <w:pPr>
              <w:spacing w:line="240" w:lineRule="auto"/>
              <w:jc w:val="right"/>
              <w:rPr>
                <w:rFonts w:ascii="Calibri" w:eastAsia="Times New Roman" w:hAnsi="Calibri" w:cs="Times New Roman"/>
                <w:b/>
                <w:bCs/>
                <w:color w:val="000000"/>
                <w:sz w:val="24"/>
                <w:szCs w:val="24"/>
                <w:lang w:eastAsia="sv-SE"/>
              </w:rPr>
            </w:pPr>
          </w:p>
        </w:tc>
        <w:tc>
          <w:tcPr>
            <w:tcW w:w="1134" w:type="dxa"/>
            <w:tcBorders>
              <w:top w:val="nil"/>
              <w:left w:val="nil"/>
              <w:bottom w:val="nil"/>
              <w:right w:val="nil"/>
            </w:tcBorders>
            <w:shd w:val="clear" w:color="auto" w:fill="auto"/>
            <w:vAlign w:val="bottom"/>
            <w:hideMark/>
          </w:tcPr>
          <w:p w:rsidR="00386517" w:rsidRPr="007347D2" w:rsidRDefault="00386517" w:rsidP="00F90712">
            <w:pPr>
              <w:spacing w:line="240" w:lineRule="auto"/>
              <w:jc w:val="right"/>
              <w:rPr>
                <w:rFonts w:ascii="Calibri" w:eastAsia="Times New Roman" w:hAnsi="Calibri" w:cs="Times New Roman"/>
                <w:b/>
                <w:bCs/>
                <w:color w:val="000000"/>
                <w:sz w:val="24"/>
                <w:szCs w:val="24"/>
                <w:lang w:eastAsia="sv-SE"/>
              </w:rPr>
            </w:pPr>
          </w:p>
        </w:tc>
        <w:tc>
          <w:tcPr>
            <w:tcW w:w="992" w:type="dxa"/>
            <w:tcBorders>
              <w:top w:val="nil"/>
              <w:left w:val="nil"/>
              <w:bottom w:val="nil"/>
              <w:right w:val="nil"/>
            </w:tcBorders>
            <w:shd w:val="clear" w:color="auto" w:fill="auto"/>
            <w:vAlign w:val="bottom"/>
            <w:hideMark/>
          </w:tcPr>
          <w:p w:rsidR="00386517" w:rsidRPr="007347D2" w:rsidRDefault="00386517" w:rsidP="00F90712">
            <w:pPr>
              <w:spacing w:line="240" w:lineRule="auto"/>
              <w:jc w:val="right"/>
              <w:rPr>
                <w:rFonts w:ascii="Calibri" w:eastAsia="Times New Roman" w:hAnsi="Calibri" w:cs="Times New Roman"/>
                <w:b/>
                <w:bCs/>
                <w:color w:val="000000"/>
                <w:sz w:val="24"/>
                <w:szCs w:val="24"/>
                <w:lang w:eastAsia="sv-SE"/>
              </w:rPr>
            </w:pPr>
          </w:p>
        </w:tc>
        <w:tc>
          <w:tcPr>
            <w:tcW w:w="990" w:type="dxa"/>
            <w:tcBorders>
              <w:top w:val="nil"/>
              <w:left w:val="nil"/>
              <w:bottom w:val="nil"/>
              <w:right w:val="nil"/>
            </w:tcBorders>
            <w:shd w:val="clear" w:color="auto" w:fill="auto"/>
            <w:vAlign w:val="bottom"/>
            <w:hideMark/>
          </w:tcPr>
          <w:p w:rsidR="00386517" w:rsidRPr="007347D2" w:rsidRDefault="00386517" w:rsidP="00F90712">
            <w:pPr>
              <w:spacing w:line="240" w:lineRule="auto"/>
              <w:jc w:val="right"/>
              <w:rPr>
                <w:rFonts w:ascii="Calibri" w:eastAsia="Times New Roman" w:hAnsi="Calibri" w:cs="Times New Roman"/>
                <w:b/>
                <w:bCs/>
                <w:color w:val="000000"/>
                <w:sz w:val="24"/>
                <w:szCs w:val="24"/>
                <w:lang w:eastAsia="sv-SE"/>
              </w:rPr>
            </w:pPr>
          </w:p>
        </w:tc>
        <w:tc>
          <w:tcPr>
            <w:tcW w:w="213" w:type="dxa"/>
            <w:tcBorders>
              <w:top w:val="nil"/>
              <w:left w:val="nil"/>
              <w:bottom w:val="nil"/>
              <w:right w:val="single" w:sz="4" w:space="0" w:color="auto"/>
            </w:tcBorders>
            <w:shd w:val="clear" w:color="auto" w:fill="auto"/>
            <w:vAlign w:val="bottom"/>
            <w:hideMark/>
          </w:tcPr>
          <w:p w:rsidR="00386517" w:rsidRPr="007347D2" w:rsidRDefault="00386517" w:rsidP="00F90712">
            <w:pPr>
              <w:spacing w:line="240" w:lineRule="auto"/>
              <w:jc w:val="right"/>
              <w:rPr>
                <w:rFonts w:ascii="Calibri" w:eastAsia="Times New Roman" w:hAnsi="Calibri" w:cs="Times New Roman"/>
                <w:b/>
                <w:bCs/>
                <w:color w:val="000000"/>
                <w:sz w:val="24"/>
                <w:szCs w:val="24"/>
                <w:lang w:eastAsia="sv-SE"/>
              </w:rPr>
            </w:pPr>
            <w:r w:rsidRPr="007347D2">
              <w:rPr>
                <w:rFonts w:ascii="Calibri" w:eastAsia="Times New Roman" w:hAnsi="Calibri" w:cs="Times New Roman"/>
                <w:b/>
                <w:bCs/>
                <w:color w:val="000000"/>
                <w:sz w:val="24"/>
                <w:szCs w:val="24"/>
                <w:lang w:eastAsia="sv-SE"/>
              </w:rPr>
              <w:t> </w:t>
            </w:r>
          </w:p>
        </w:tc>
      </w:tr>
      <w:tr w:rsidR="00386517" w:rsidRPr="007347D2" w:rsidTr="00F90712">
        <w:trPr>
          <w:trHeight w:val="274"/>
        </w:trPr>
        <w:tc>
          <w:tcPr>
            <w:tcW w:w="204" w:type="dxa"/>
            <w:tcBorders>
              <w:top w:val="nil"/>
              <w:left w:val="single" w:sz="4" w:space="0" w:color="auto"/>
              <w:bottom w:val="nil"/>
              <w:right w:val="nil"/>
            </w:tcBorders>
            <w:shd w:val="clear" w:color="auto" w:fill="auto"/>
            <w:vAlign w:val="bottom"/>
            <w:hideMark/>
          </w:tcPr>
          <w:p w:rsidR="00386517" w:rsidRPr="007347D2" w:rsidRDefault="00386517" w:rsidP="00F90712">
            <w:pPr>
              <w:spacing w:line="240" w:lineRule="auto"/>
              <w:rPr>
                <w:rFonts w:ascii="Calibri" w:eastAsia="Times New Roman" w:hAnsi="Calibri" w:cs="Times New Roman"/>
                <w:color w:val="000000"/>
                <w:sz w:val="24"/>
                <w:szCs w:val="24"/>
                <w:lang w:eastAsia="sv-SE"/>
              </w:rPr>
            </w:pPr>
            <w:r w:rsidRPr="007347D2">
              <w:rPr>
                <w:rFonts w:ascii="Calibri" w:eastAsia="Times New Roman" w:hAnsi="Calibri" w:cs="Times New Roman"/>
                <w:color w:val="000000"/>
                <w:sz w:val="24"/>
                <w:szCs w:val="24"/>
                <w:lang w:eastAsia="sv-SE"/>
              </w:rPr>
              <w:t> </w:t>
            </w:r>
          </w:p>
        </w:tc>
        <w:tc>
          <w:tcPr>
            <w:tcW w:w="2920" w:type="dxa"/>
            <w:tcBorders>
              <w:top w:val="nil"/>
              <w:left w:val="nil"/>
              <w:bottom w:val="nil"/>
              <w:right w:val="nil"/>
            </w:tcBorders>
            <w:shd w:val="clear" w:color="auto" w:fill="auto"/>
            <w:vAlign w:val="bottom"/>
            <w:hideMark/>
          </w:tcPr>
          <w:p w:rsidR="00386517" w:rsidRPr="007347D2" w:rsidRDefault="00386517" w:rsidP="00F90712">
            <w:pPr>
              <w:spacing w:line="240" w:lineRule="auto"/>
              <w:rPr>
                <w:rFonts w:ascii="Calibri" w:eastAsia="Times New Roman" w:hAnsi="Calibri" w:cs="Times New Roman"/>
                <w:color w:val="000000"/>
                <w:sz w:val="24"/>
                <w:szCs w:val="24"/>
                <w:lang w:eastAsia="sv-SE"/>
              </w:rPr>
            </w:pPr>
            <w:r w:rsidRPr="007347D2">
              <w:rPr>
                <w:rFonts w:ascii="Calibri" w:eastAsia="Times New Roman" w:hAnsi="Calibri" w:cs="Times New Roman"/>
                <w:color w:val="000000"/>
                <w:sz w:val="24"/>
                <w:szCs w:val="24"/>
                <w:lang w:eastAsia="sv-SE"/>
              </w:rPr>
              <w:t>Finansnetto</w:t>
            </w:r>
          </w:p>
        </w:tc>
        <w:tc>
          <w:tcPr>
            <w:tcW w:w="992" w:type="dxa"/>
            <w:tcBorders>
              <w:top w:val="nil"/>
              <w:left w:val="nil"/>
              <w:bottom w:val="nil"/>
              <w:right w:val="nil"/>
            </w:tcBorders>
            <w:shd w:val="clear" w:color="auto" w:fill="auto"/>
            <w:vAlign w:val="bottom"/>
            <w:hideMark/>
          </w:tcPr>
          <w:p w:rsidR="00386517" w:rsidRPr="007347D2" w:rsidRDefault="00386517" w:rsidP="00F90712">
            <w:pPr>
              <w:spacing w:line="240" w:lineRule="auto"/>
              <w:jc w:val="right"/>
              <w:rPr>
                <w:rFonts w:ascii="Calibri" w:eastAsia="Times New Roman" w:hAnsi="Calibri" w:cs="Times New Roman"/>
                <w:color w:val="000000"/>
                <w:sz w:val="24"/>
                <w:szCs w:val="24"/>
                <w:lang w:eastAsia="sv-SE"/>
              </w:rPr>
            </w:pPr>
            <w:r w:rsidRPr="007347D2">
              <w:rPr>
                <w:rFonts w:ascii="Calibri" w:eastAsia="Times New Roman" w:hAnsi="Calibri" w:cs="Times New Roman"/>
                <w:color w:val="000000"/>
                <w:sz w:val="24"/>
                <w:szCs w:val="24"/>
                <w:lang w:eastAsia="sv-SE"/>
              </w:rPr>
              <w:t>224</w:t>
            </w:r>
          </w:p>
        </w:tc>
        <w:tc>
          <w:tcPr>
            <w:tcW w:w="1134" w:type="dxa"/>
            <w:tcBorders>
              <w:top w:val="nil"/>
              <w:left w:val="nil"/>
              <w:bottom w:val="nil"/>
              <w:right w:val="nil"/>
            </w:tcBorders>
            <w:shd w:val="clear" w:color="auto" w:fill="auto"/>
            <w:vAlign w:val="bottom"/>
            <w:hideMark/>
          </w:tcPr>
          <w:p w:rsidR="00386517" w:rsidRPr="007347D2" w:rsidRDefault="00386517" w:rsidP="00F90712">
            <w:pPr>
              <w:spacing w:line="240" w:lineRule="auto"/>
              <w:jc w:val="right"/>
              <w:rPr>
                <w:rFonts w:ascii="Calibri" w:eastAsia="Times New Roman" w:hAnsi="Calibri" w:cs="Times New Roman"/>
                <w:color w:val="000000"/>
                <w:sz w:val="24"/>
                <w:szCs w:val="24"/>
                <w:lang w:eastAsia="sv-SE"/>
              </w:rPr>
            </w:pPr>
            <w:r w:rsidRPr="007347D2">
              <w:rPr>
                <w:rFonts w:ascii="Calibri" w:eastAsia="Times New Roman" w:hAnsi="Calibri" w:cs="Times New Roman"/>
                <w:color w:val="000000"/>
                <w:sz w:val="24"/>
                <w:szCs w:val="24"/>
                <w:lang w:eastAsia="sv-SE"/>
              </w:rPr>
              <w:t>58</w:t>
            </w:r>
          </w:p>
        </w:tc>
        <w:tc>
          <w:tcPr>
            <w:tcW w:w="992" w:type="dxa"/>
            <w:tcBorders>
              <w:top w:val="nil"/>
              <w:left w:val="nil"/>
              <w:bottom w:val="nil"/>
              <w:right w:val="nil"/>
            </w:tcBorders>
            <w:shd w:val="clear" w:color="auto" w:fill="auto"/>
            <w:vAlign w:val="bottom"/>
            <w:hideMark/>
          </w:tcPr>
          <w:p w:rsidR="00386517" w:rsidRPr="007347D2" w:rsidRDefault="00386517" w:rsidP="00F90712">
            <w:pPr>
              <w:spacing w:line="240" w:lineRule="auto"/>
              <w:jc w:val="right"/>
              <w:rPr>
                <w:rFonts w:ascii="Calibri" w:eastAsia="Times New Roman" w:hAnsi="Calibri" w:cs="Times New Roman"/>
                <w:color w:val="000000"/>
                <w:sz w:val="24"/>
                <w:szCs w:val="24"/>
                <w:lang w:eastAsia="sv-SE"/>
              </w:rPr>
            </w:pPr>
            <w:r w:rsidRPr="007347D2">
              <w:rPr>
                <w:rFonts w:ascii="Calibri" w:eastAsia="Times New Roman" w:hAnsi="Calibri" w:cs="Times New Roman"/>
                <w:color w:val="000000"/>
                <w:sz w:val="24"/>
                <w:szCs w:val="24"/>
                <w:lang w:eastAsia="sv-SE"/>
              </w:rPr>
              <w:t>166</w:t>
            </w:r>
          </w:p>
        </w:tc>
        <w:tc>
          <w:tcPr>
            <w:tcW w:w="990" w:type="dxa"/>
            <w:tcBorders>
              <w:top w:val="nil"/>
              <w:left w:val="nil"/>
              <w:bottom w:val="nil"/>
              <w:right w:val="nil"/>
            </w:tcBorders>
            <w:shd w:val="clear" w:color="auto" w:fill="auto"/>
            <w:vAlign w:val="bottom"/>
            <w:hideMark/>
          </w:tcPr>
          <w:p w:rsidR="00386517" w:rsidRPr="007347D2" w:rsidRDefault="00BE074F" w:rsidP="00F90712">
            <w:pPr>
              <w:spacing w:line="240" w:lineRule="auto"/>
              <w:jc w:val="right"/>
              <w:rPr>
                <w:rFonts w:ascii="Calibri" w:eastAsia="Times New Roman" w:hAnsi="Calibri" w:cs="Times New Roman"/>
                <w:color w:val="000000"/>
                <w:sz w:val="24"/>
                <w:szCs w:val="24"/>
                <w:lang w:eastAsia="sv-SE"/>
              </w:rPr>
            </w:pPr>
            <w:r>
              <w:rPr>
                <w:rFonts w:ascii="Calibri" w:eastAsia="Times New Roman" w:hAnsi="Calibri" w:cs="Times New Roman"/>
                <w:color w:val="000000"/>
                <w:sz w:val="24"/>
                <w:szCs w:val="24"/>
                <w:lang w:eastAsia="sv-SE"/>
              </w:rPr>
              <w:t>60</w:t>
            </w:r>
          </w:p>
        </w:tc>
        <w:tc>
          <w:tcPr>
            <w:tcW w:w="213" w:type="dxa"/>
            <w:tcBorders>
              <w:top w:val="nil"/>
              <w:left w:val="nil"/>
              <w:bottom w:val="nil"/>
              <w:right w:val="single" w:sz="4" w:space="0" w:color="auto"/>
            </w:tcBorders>
            <w:shd w:val="clear" w:color="auto" w:fill="auto"/>
            <w:vAlign w:val="bottom"/>
            <w:hideMark/>
          </w:tcPr>
          <w:p w:rsidR="00386517" w:rsidRPr="007347D2" w:rsidRDefault="00386517" w:rsidP="00F90712">
            <w:pPr>
              <w:spacing w:line="240" w:lineRule="auto"/>
              <w:rPr>
                <w:rFonts w:ascii="Arial" w:eastAsia="Times New Roman" w:hAnsi="Arial" w:cs="Arial"/>
                <w:sz w:val="24"/>
                <w:szCs w:val="24"/>
                <w:lang w:eastAsia="sv-SE"/>
              </w:rPr>
            </w:pPr>
            <w:r w:rsidRPr="007347D2">
              <w:rPr>
                <w:rFonts w:ascii="Arial" w:eastAsia="Times New Roman" w:hAnsi="Arial" w:cs="Arial"/>
                <w:sz w:val="24"/>
                <w:szCs w:val="24"/>
                <w:lang w:eastAsia="sv-SE"/>
              </w:rPr>
              <w:t> </w:t>
            </w:r>
          </w:p>
        </w:tc>
      </w:tr>
      <w:tr w:rsidR="00386517" w:rsidRPr="007347D2" w:rsidTr="00F90712">
        <w:trPr>
          <w:trHeight w:val="274"/>
        </w:trPr>
        <w:tc>
          <w:tcPr>
            <w:tcW w:w="204" w:type="dxa"/>
            <w:tcBorders>
              <w:top w:val="nil"/>
              <w:left w:val="single" w:sz="4" w:space="0" w:color="auto"/>
              <w:bottom w:val="nil"/>
              <w:right w:val="nil"/>
            </w:tcBorders>
            <w:shd w:val="clear" w:color="auto" w:fill="auto"/>
            <w:vAlign w:val="bottom"/>
            <w:hideMark/>
          </w:tcPr>
          <w:p w:rsidR="00386517" w:rsidRPr="007347D2" w:rsidRDefault="00386517" w:rsidP="00F90712">
            <w:pPr>
              <w:spacing w:line="240" w:lineRule="auto"/>
              <w:rPr>
                <w:rFonts w:ascii="Calibri" w:eastAsia="Times New Roman" w:hAnsi="Calibri" w:cs="Times New Roman"/>
                <w:color w:val="000000"/>
                <w:sz w:val="24"/>
                <w:szCs w:val="24"/>
                <w:lang w:eastAsia="sv-SE"/>
              </w:rPr>
            </w:pPr>
            <w:r w:rsidRPr="007347D2">
              <w:rPr>
                <w:rFonts w:ascii="Calibri" w:eastAsia="Times New Roman" w:hAnsi="Calibri" w:cs="Times New Roman"/>
                <w:color w:val="000000"/>
                <w:sz w:val="24"/>
                <w:szCs w:val="24"/>
                <w:lang w:eastAsia="sv-SE"/>
              </w:rPr>
              <w:t> </w:t>
            </w:r>
          </w:p>
        </w:tc>
        <w:tc>
          <w:tcPr>
            <w:tcW w:w="2920" w:type="dxa"/>
            <w:tcBorders>
              <w:top w:val="nil"/>
              <w:left w:val="nil"/>
              <w:bottom w:val="nil"/>
              <w:right w:val="nil"/>
            </w:tcBorders>
            <w:shd w:val="clear" w:color="auto" w:fill="auto"/>
            <w:vAlign w:val="bottom"/>
            <w:hideMark/>
          </w:tcPr>
          <w:p w:rsidR="00386517" w:rsidRPr="007347D2" w:rsidRDefault="00386517" w:rsidP="00F90712">
            <w:pPr>
              <w:spacing w:line="240" w:lineRule="auto"/>
              <w:rPr>
                <w:rFonts w:ascii="Calibri" w:eastAsia="Times New Roman" w:hAnsi="Calibri" w:cs="Times New Roman"/>
                <w:color w:val="000000"/>
                <w:sz w:val="24"/>
                <w:szCs w:val="24"/>
                <w:lang w:eastAsia="sv-SE"/>
              </w:rPr>
            </w:pPr>
          </w:p>
        </w:tc>
        <w:tc>
          <w:tcPr>
            <w:tcW w:w="992" w:type="dxa"/>
            <w:tcBorders>
              <w:top w:val="nil"/>
              <w:left w:val="nil"/>
              <w:bottom w:val="nil"/>
              <w:right w:val="nil"/>
            </w:tcBorders>
            <w:shd w:val="clear" w:color="auto" w:fill="auto"/>
            <w:vAlign w:val="bottom"/>
            <w:hideMark/>
          </w:tcPr>
          <w:p w:rsidR="00386517" w:rsidRPr="007347D2" w:rsidRDefault="00386517" w:rsidP="00F90712">
            <w:pPr>
              <w:spacing w:line="240" w:lineRule="auto"/>
              <w:jc w:val="right"/>
              <w:rPr>
                <w:rFonts w:ascii="Calibri" w:eastAsia="Times New Roman" w:hAnsi="Calibri" w:cs="Times New Roman"/>
                <w:color w:val="000000"/>
                <w:sz w:val="24"/>
                <w:szCs w:val="24"/>
                <w:lang w:eastAsia="sv-SE"/>
              </w:rPr>
            </w:pPr>
          </w:p>
        </w:tc>
        <w:tc>
          <w:tcPr>
            <w:tcW w:w="1134" w:type="dxa"/>
            <w:tcBorders>
              <w:top w:val="nil"/>
              <w:left w:val="nil"/>
              <w:bottom w:val="nil"/>
              <w:right w:val="nil"/>
            </w:tcBorders>
            <w:shd w:val="clear" w:color="auto" w:fill="auto"/>
            <w:vAlign w:val="bottom"/>
            <w:hideMark/>
          </w:tcPr>
          <w:p w:rsidR="00386517" w:rsidRPr="007347D2" w:rsidRDefault="00386517" w:rsidP="00F90712">
            <w:pPr>
              <w:spacing w:line="240" w:lineRule="auto"/>
              <w:jc w:val="right"/>
              <w:rPr>
                <w:rFonts w:ascii="Calibri" w:eastAsia="Times New Roman" w:hAnsi="Calibri" w:cs="Times New Roman"/>
                <w:color w:val="000000"/>
                <w:sz w:val="24"/>
                <w:szCs w:val="24"/>
                <w:lang w:eastAsia="sv-SE"/>
              </w:rPr>
            </w:pPr>
          </w:p>
        </w:tc>
        <w:tc>
          <w:tcPr>
            <w:tcW w:w="992" w:type="dxa"/>
            <w:tcBorders>
              <w:top w:val="nil"/>
              <w:left w:val="nil"/>
              <w:bottom w:val="nil"/>
              <w:right w:val="nil"/>
            </w:tcBorders>
            <w:shd w:val="clear" w:color="auto" w:fill="auto"/>
            <w:vAlign w:val="bottom"/>
            <w:hideMark/>
          </w:tcPr>
          <w:p w:rsidR="00386517" w:rsidRPr="007347D2" w:rsidRDefault="00386517" w:rsidP="00F90712">
            <w:pPr>
              <w:spacing w:line="240" w:lineRule="auto"/>
              <w:jc w:val="right"/>
              <w:rPr>
                <w:rFonts w:ascii="Calibri" w:eastAsia="Times New Roman" w:hAnsi="Calibri" w:cs="Times New Roman"/>
                <w:color w:val="000000"/>
                <w:sz w:val="24"/>
                <w:szCs w:val="24"/>
                <w:lang w:eastAsia="sv-SE"/>
              </w:rPr>
            </w:pPr>
          </w:p>
        </w:tc>
        <w:tc>
          <w:tcPr>
            <w:tcW w:w="990" w:type="dxa"/>
            <w:tcBorders>
              <w:top w:val="nil"/>
              <w:left w:val="nil"/>
              <w:bottom w:val="nil"/>
              <w:right w:val="nil"/>
            </w:tcBorders>
            <w:shd w:val="clear" w:color="auto" w:fill="auto"/>
            <w:vAlign w:val="bottom"/>
            <w:hideMark/>
          </w:tcPr>
          <w:p w:rsidR="00386517" w:rsidRPr="007347D2" w:rsidRDefault="00386517" w:rsidP="00F90712">
            <w:pPr>
              <w:spacing w:line="240" w:lineRule="auto"/>
              <w:jc w:val="right"/>
              <w:rPr>
                <w:rFonts w:ascii="Calibri" w:eastAsia="Times New Roman" w:hAnsi="Calibri" w:cs="Times New Roman"/>
                <w:color w:val="000000"/>
                <w:sz w:val="24"/>
                <w:szCs w:val="24"/>
                <w:lang w:eastAsia="sv-SE"/>
              </w:rPr>
            </w:pPr>
          </w:p>
        </w:tc>
        <w:tc>
          <w:tcPr>
            <w:tcW w:w="213" w:type="dxa"/>
            <w:tcBorders>
              <w:top w:val="nil"/>
              <w:left w:val="nil"/>
              <w:bottom w:val="nil"/>
              <w:right w:val="single" w:sz="4" w:space="0" w:color="auto"/>
            </w:tcBorders>
            <w:shd w:val="clear" w:color="auto" w:fill="auto"/>
            <w:vAlign w:val="bottom"/>
            <w:hideMark/>
          </w:tcPr>
          <w:p w:rsidR="00386517" w:rsidRPr="007347D2" w:rsidRDefault="00386517" w:rsidP="00F90712">
            <w:pPr>
              <w:spacing w:line="240" w:lineRule="auto"/>
              <w:jc w:val="right"/>
              <w:rPr>
                <w:rFonts w:ascii="Calibri" w:eastAsia="Times New Roman" w:hAnsi="Calibri" w:cs="Times New Roman"/>
                <w:color w:val="000000"/>
                <w:sz w:val="24"/>
                <w:szCs w:val="24"/>
                <w:lang w:eastAsia="sv-SE"/>
              </w:rPr>
            </w:pPr>
            <w:r w:rsidRPr="007347D2">
              <w:rPr>
                <w:rFonts w:ascii="Calibri" w:eastAsia="Times New Roman" w:hAnsi="Calibri" w:cs="Times New Roman"/>
                <w:color w:val="000000"/>
                <w:sz w:val="24"/>
                <w:szCs w:val="24"/>
                <w:lang w:eastAsia="sv-SE"/>
              </w:rPr>
              <w:t> </w:t>
            </w:r>
          </w:p>
        </w:tc>
      </w:tr>
      <w:tr w:rsidR="00386517" w:rsidRPr="007347D2" w:rsidTr="00F90712">
        <w:trPr>
          <w:trHeight w:val="274"/>
        </w:trPr>
        <w:tc>
          <w:tcPr>
            <w:tcW w:w="204" w:type="dxa"/>
            <w:tcBorders>
              <w:top w:val="nil"/>
              <w:left w:val="single" w:sz="4" w:space="0" w:color="auto"/>
              <w:bottom w:val="nil"/>
              <w:right w:val="nil"/>
            </w:tcBorders>
            <w:shd w:val="clear" w:color="auto" w:fill="auto"/>
            <w:vAlign w:val="bottom"/>
            <w:hideMark/>
          </w:tcPr>
          <w:p w:rsidR="00386517" w:rsidRPr="007347D2" w:rsidRDefault="00386517" w:rsidP="00F90712">
            <w:pPr>
              <w:spacing w:line="240" w:lineRule="auto"/>
              <w:rPr>
                <w:rFonts w:ascii="Calibri" w:eastAsia="Times New Roman" w:hAnsi="Calibri" w:cs="Times New Roman"/>
                <w:b/>
                <w:bCs/>
                <w:color w:val="000000"/>
                <w:sz w:val="24"/>
                <w:szCs w:val="24"/>
                <w:lang w:eastAsia="sv-SE"/>
              </w:rPr>
            </w:pPr>
            <w:r w:rsidRPr="007347D2">
              <w:rPr>
                <w:rFonts w:ascii="Calibri" w:eastAsia="Times New Roman" w:hAnsi="Calibri" w:cs="Times New Roman"/>
                <w:b/>
                <w:bCs/>
                <w:color w:val="000000"/>
                <w:sz w:val="24"/>
                <w:szCs w:val="24"/>
                <w:lang w:eastAsia="sv-SE"/>
              </w:rPr>
              <w:t> </w:t>
            </w:r>
          </w:p>
        </w:tc>
        <w:tc>
          <w:tcPr>
            <w:tcW w:w="2920" w:type="dxa"/>
            <w:tcBorders>
              <w:top w:val="nil"/>
              <w:left w:val="nil"/>
              <w:bottom w:val="nil"/>
              <w:right w:val="nil"/>
            </w:tcBorders>
            <w:shd w:val="clear" w:color="auto" w:fill="auto"/>
            <w:vAlign w:val="bottom"/>
            <w:hideMark/>
          </w:tcPr>
          <w:p w:rsidR="00386517" w:rsidRPr="007347D2" w:rsidRDefault="00386517" w:rsidP="00F90712">
            <w:pPr>
              <w:spacing w:line="240" w:lineRule="auto"/>
              <w:rPr>
                <w:rFonts w:ascii="Calibri" w:eastAsia="Times New Roman" w:hAnsi="Calibri" w:cs="Times New Roman"/>
                <w:b/>
                <w:bCs/>
                <w:color w:val="000000"/>
                <w:sz w:val="24"/>
                <w:szCs w:val="24"/>
                <w:lang w:eastAsia="sv-SE"/>
              </w:rPr>
            </w:pPr>
            <w:r w:rsidRPr="007347D2">
              <w:rPr>
                <w:rFonts w:ascii="Calibri" w:eastAsia="Times New Roman" w:hAnsi="Calibri" w:cs="Times New Roman"/>
                <w:b/>
                <w:bCs/>
                <w:color w:val="000000"/>
                <w:sz w:val="24"/>
                <w:szCs w:val="24"/>
                <w:lang w:eastAsia="sv-SE"/>
              </w:rPr>
              <w:t>Årets resultat</w:t>
            </w:r>
          </w:p>
        </w:tc>
        <w:tc>
          <w:tcPr>
            <w:tcW w:w="992" w:type="dxa"/>
            <w:tcBorders>
              <w:top w:val="nil"/>
              <w:left w:val="nil"/>
              <w:bottom w:val="nil"/>
              <w:right w:val="nil"/>
            </w:tcBorders>
            <w:shd w:val="clear" w:color="auto" w:fill="auto"/>
            <w:vAlign w:val="bottom"/>
            <w:hideMark/>
          </w:tcPr>
          <w:p w:rsidR="00386517" w:rsidRPr="007347D2" w:rsidRDefault="00386517" w:rsidP="00F90712">
            <w:pPr>
              <w:spacing w:line="240" w:lineRule="auto"/>
              <w:jc w:val="right"/>
              <w:rPr>
                <w:rFonts w:ascii="Calibri" w:eastAsia="Times New Roman" w:hAnsi="Calibri" w:cs="Times New Roman"/>
                <w:b/>
                <w:bCs/>
                <w:color w:val="000000"/>
                <w:sz w:val="24"/>
                <w:szCs w:val="24"/>
                <w:lang w:eastAsia="sv-SE"/>
              </w:rPr>
            </w:pPr>
            <w:r w:rsidRPr="007347D2">
              <w:rPr>
                <w:rFonts w:ascii="Calibri" w:eastAsia="Times New Roman" w:hAnsi="Calibri" w:cs="Times New Roman"/>
                <w:b/>
                <w:bCs/>
                <w:color w:val="000000"/>
                <w:sz w:val="24"/>
                <w:szCs w:val="24"/>
                <w:lang w:eastAsia="sv-SE"/>
              </w:rPr>
              <w:t>529</w:t>
            </w:r>
          </w:p>
        </w:tc>
        <w:tc>
          <w:tcPr>
            <w:tcW w:w="1134" w:type="dxa"/>
            <w:tcBorders>
              <w:top w:val="nil"/>
              <w:left w:val="nil"/>
              <w:bottom w:val="nil"/>
              <w:right w:val="nil"/>
            </w:tcBorders>
            <w:shd w:val="clear" w:color="auto" w:fill="auto"/>
            <w:vAlign w:val="bottom"/>
            <w:hideMark/>
          </w:tcPr>
          <w:p w:rsidR="00386517" w:rsidRPr="007347D2" w:rsidRDefault="00386517" w:rsidP="00F90712">
            <w:pPr>
              <w:spacing w:line="240" w:lineRule="auto"/>
              <w:jc w:val="right"/>
              <w:rPr>
                <w:rFonts w:ascii="Calibri" w:eastAsia="Times New Roman" w:hAnsi="Calibri" w:cs="Times New Roman"/>
                <w:b/>
                <w:bCs/>
                <w:color w:val="000000"/>
                <w:sz w:val="24"/>
                <w:szCs w:val="24"/>
                <w:lang w:eastAsia="sv-SE"/>
              </w:rPr>
            </w:pPr>
            <w:r w:rsidRPr="007347D2">
              <w:rPr>
                <w:rFonts w:ascii="Calibri" w:eastAsia="Times New Roman" w:hAnsi="Calibri" w:cs="Times New Roman"/>
                <w:b/>
                <w:bCs/>
                <w:color w:val="000000"/>
                <w:sz w:val="24"/>
                <w:szCs w:val="24"/>
                <w:lang w:eastAsia="sv-SE"/>
              </w:rPr>
              <w:t>170</w:t>
            </w:r>
          </w:p>
        </w:tc>
        <w:tc>
          <w:tcPr>
            <w:tcW w:w="992" w:type="dxa"/>
            <w:tcBorders>
              <w:top w:val="nil"/>
              <w:left w:val="nil"/>
              <w:bottom w:val="nil"/>
              <w:right w:val="nil"/>
            </w:tcBorders>
            <w:shd w:val="clear" w:color="auto" w:fill="auto"/>
            <w:vAlign w:val="bottom"/>
            <w:hideMark/>
          </w:tcPr>
          <w:p w:rsidR="00386517" w:rsidRPr="007347D2" w:rsidRDefault="00386517" w:rsidP="00F90712">
            <w:pPr>
              <w:spacing w:line="240" w:lineRule="auto"/>
              <w:jc w:val="right"/>
              <w:rPr>
                <w:rFonts w:ascii="Calibri" w:eastAsia="Times New Roman" w:hAnsi="Calibri" w:cs="Times New Roman"/>
                <w:b/>
                <w:bCs/>
                <w:color w:val="000000"/>
                <w:sz w:val="24"/>
                <w:szCs w:val="24"/>
                <w:lang w:eastAsia="sv-SE"/>
              </w:rPr>
            </w:pPr>
            <w:r w:rsidRPr="007347D2">
              <w:rPr>
                <w:rFonts w:ascii="Calibri" w:eastAsia="Times New Roman" w:hAnsi="Calibri" w:cs="Times New Roman"/>
                <w:b/>
                <w:bCs/>
                <w:color w:val="000000"/>
                <w:sz w:val="24"/>
                <w:szCs w:val="24"/>
                <w:lang w:eastAsia="sv-SE"/>
              </w:rPr>
              <w:t>359</w:t>
            </w:r>
          </w:p>
        </w:tc>
        <w:tc>
          <w:tcPr>
            <w:tcW w:w="990" w:type="dxa"/>
            <w:tcBorders>
              <w:top w:val="nil"/>
              <w:left w:val="nil"/>
              <w:bottom w:val="nil"/>
              <w:right w:val="nil"/>
            </w:tcBorders>
            <w:shd w:val="clear" w:color="auto" w:fill="auto"/>
            <w:vAlign w:val="bottom"/>
            <w:hideMark/>
          </w:tcPr>
          <w:p w:rsidR="00386517" w:rsidRPr="007347D2" w:rsidRDefault="00BE074F" w:rsidP="00F90712">
            <w:pPr>
              <w:spacing w:line="240" w:lineRule="auto"/>
              <w:jc w:val="right"/>
              <w:rPr>
                <w:rFonts w:ascii="Calibri" w:eastAsia="Times New Roman" w:hAnsi="Calibri" w:cs="Times New Roman"/>
                <w:b/>
                <w:bCs/>
                <w:color w:val="000000"/>
                <w:sz w:val="24"/>
                <w:szCs w:val="24"/>
                <w:lang w:eastAsia="sv-SE"/>
              </w:rPr>
            </w:pPr>
            <w:r>
              <w:rPr>
                <w:rFonts w:ascii="Calibri" w:eastAsia="Times New Roman" w:hAnsi="Calibri" w:cs="Times New Roman"/>
                <w:b/>
                <w:bCs/>
                <w:color w:val="000000"/>
                <w:sz w:val="24"/>
                <w:szCs w:val="24"/>
                <w:lang w:eastAsia="sv-SE"/>
              </w:rPr>
              <w:t>344</w:t>
            </w:r>
          </w:p>
        </w:tc>
        <w:tc>
          <w:tcPr>
            <w:tcW w:w="213" w:type="dxa"/>
            <w:tcBorders>
              <w:top w:val="nil"/>
              <w:left w:val="nil"/>
              <w:bottom w:val="nil"/>
              <w:right w:val="single" w:sz="4" w:space="0" w:color="auto"/>
            </w:tcBorders>
            <w:shd w:val="clear" w:color="auto" w:fill="auto"/>
            <w:vAlign w:val="bottom"/>
            <w:hideMark/>
          </w:tcPr>
          <w:p w:rsidR="00386517" w:rsidRPr="007347D2" w:rsidRDefault="00386517" w:rsidP="00F90712">
            <w:pPr>
              <w:spacing w:line="240" w:lineRule="auto"/>
              <w:jc w:val="right"/>
              <w:rPr>
                <w:rFonts w:ascii="Calibri" w:eastAsia="Times New Roman" w:hAnsi="Calibri" w:cs="Times New Roman"/>
                <w:b/>
                <w:bCs/>
                <w:color w:val="000000"/>
                <w:sz w:val="24"/>
                <w:szCs w:val="24"/>
                <w:lang w:eastAsia="sv-SE"/>
              </w:rPr>
            </w:pPr>
            <w:r w:rsidRPr="007347D2">
              <w:rPr>
                <w:rFonts w:ascii="Calibri" w:eastAsia="Times New Roman" w:hAnsi="Calibri" w:cs="Times New Roman"/>
                <w:b/>
                <w:bCs/>
                <w:color w:val="000000"/>
                <w:sz w:val="24"/>
                <w:szCs w:val="24"/>
                <w:lang w:eastAsia="sv-SE"/>
              </w:rPr>
              <w:t> </w:t>
            </w:r>
          </w:p>
        </w:tc>
      </w:tr>
      <w:tr w:rsidR="00386517" w:rsidRPr="007347D2" w:rsidTr="00F90712">
        <w:trPr>
          <w:trHeight w:val="274"/>
        </w:trPr>
        <w:tc>
          <w:tcPr>
            <w:tcW w:w="204" w:type="dxa"/>
            <w:tcBorders>
              <w:top w:val="nil"/>
              <w:left w:val="single" w:sz="4" w:space="0" w:color="auto"/>
              <w:bottom w:val="single" w:sz="4" w:space="0" w:color="auto"/>
              <w:right w:val="nil"/>
            </w:tcBorders>
            <w:shd w:val="clear" w:color="auto" w:fill="auto"/>
            <w:vAlign w:val="bottom"/>
            <w:hideMark/>
          </w:tcPr>
          <w:p w:rsidR="00386517" w:rsidRPr="007347D2" w:rsidRDefault="00386517" w:rsidP="00F90712">
            <w:pPr>
              <w:spacing w:line="240" w:lineRule="auto"/>
              <w:rPr>
                <w:rFonts w:ascii="Calibri" w:eastAsia="Times New Roman" w:hAnsi="Calibri" w:cs="Times New Roman"/>
                <w:b/>
                <w:bCs/>
                <w:color w:val="000000"/>
                <w:sz w:val="24"/>
                <w:szCs w:val="24"/>
                <w:lang w:eastAsia="sv-SE"/>
              </w:rPr>
            </w:pPr>
            <w:r w:rsidRPr="007347D2">
              <w:rPr>
                <w:rFonts w:ascii="Calibri" w:eastAsia="Times New Roman" w:hAnsi="Calibri" w:cs="Times New Roman"/>
                <w:b/>
                <w:bCs/>
                <w:color w:val="000000"/>
                <w:sz w:val="24"/>
                <w:szCs w:val="24"/>
                <w:lang w:eastAsia="sv-SE"/>
              </w:rPr>
              <w:t> </w:t>
            </w:r>
          </w:p>
        </w:tc>
        <w:tc>
          <w:tcPr>
            <w:tcW w:w="2920" w:type="dxa"/>
            <w:tcBorders>
              <w:top w:val="nil"/>
              <w:left w:val="nil"/>
              <w:bottom w:val="single" w:sz="4" w:space="0" w:color="auto"/>
              <w:right w:val="nil"/>
            </w:tcBorders>
            <w:shd w:val="clear" w:color="auto" w:fill="auto"/>
            <w:vAlign w:val="bottom"/>
            <w:hideMark/>
          </w:tcPr>
          <w:p w:rsidR="00386517" w:rsidRPr="007347D2" w:rsidRDefault="00386517" w:rsidP="00F90712">
            <w:pPr>
              <w:spacing w:line="240" w:lineRule="auto"/>
              <w:rPr>
                <w:rFonts w:ascii="Calibri" w:eastAsia="Times New Roman" w:hAnsi="Calibri" w:cs="Times New Roman"/>
                <w:b/>
                <w:bCs/>
                <w:color w:val="000000"/>
                <w:sz w:val="24"/>
                <w:szCs w:val="24"/>
                <w:lang w:eastAsia="sv-SE"/>
              </w:rPr>
            </w:pPr>
            <w:r w:rsidRPr="007347D2">
              <w:rPr>
                <w:rFonts w:ascii="Calibri" w:eastAsia="Times New Roman" w:hAnsi="Calibri" w:cs="Times New Roman"/>
                <w:b/>
                <w:bCs/>
                <w:color w:val="000000"/>
                <w:sz w:val="24"/>
                <w:szCs w:val="24"/>
                <w:lang w:eastAsia="sv-SE"/>
              </w:rPr>
              <w:t> </w:t>
            </w:r>
          </w:p>
        </w:tc>
        <w:tc>
          <w:tcPr>
            <w:tcW w:w="992" w:type="dxa"/>
            <w:tcBorders>
              <w:top w:val="nil"/>
              <w:left w:val="nil"/>
              <w:bottom w:val="single" w:sz="4" w:space="0" w:color="auto"/>
              <w:right w:val="nil"/>
            </w:tcBorders>
            <w:shd w:val="clear" w:color="auto" w:fill="auto"/>
            <w:vAlign w:val="bottom"/>
            <w:hideMark/>
          </w:tcPr>
          <w:p w:rsidR="00386517" w:rsidRPr="007347D2" w:rsidRDefault="00386517" w:rsidP="00F90712">
            <w:pPr>
              <w:spacing w:line="240" w:lineRule="auto"/>
              <w:jc w:val="right"/>
              <w:rPr>
                <w:rFonts w:ascii="Calibri" w:eastAsia="Times New Roman" w:hAnsi="Calibri" w:cs="Times New Roman"/>
                <w:b/>
                <w:bCs/>
                <w:color w:val="000000"/>
                <w:sz w:val="24"/>
                <w:szCs w:val="24"/>
                <w:lang w:eastAsia="sv-SE"/>
              </w:rPr>
            </w:pPr>
            <w:r w:rsidRPr="007347D2">
              <w:rPr>
                <w:rFonts w:ascii="Calibri" w:eastAsia="Times New Roman" w:hAnsi="Calibri" w:cs="Times New Roman"/>
                <w:b/>
                <w:bCs/>
                <w:color w:val="000000"/>
                <w:sz w:val="24"/>
                <w:szCs w:val="24"/>
                <w:lang w:eastAsia="sv-SE"/>
              </w:rPr>
              <w:t> </w:t>
            </w:r>
          </w:p>
        </w:tc>
        <w:tc>
          <w:tcPr>
            <w:tcW w:w="1134" w:type="dxa"/>
            <w:tcBorders>
              <w:top w:val="nil"/>
              <w:left w:val="nil"/>
              <w:bottom w:val="single" w:sz="4" w:space="0" w:color="auto"/>
              <w:right w:val="nil"/>
            </w:tcBorders>
            <w:shd w:val="clear" w:color="auto" w:fill="auto"/>
            <w:vAlign w:val="bottom"/>
            <w:hideMark/>
          </w:tcPr>
          <w:p w:rsidR="00386517" w:rsidRPr="007347D2" w:rsidRDefault="00386517" w:rsidP="00F90712">
            <w:pPr>
              <w:spacing w:line="240" w:lineRule="auto"/>
              <w:jc w:val="right"/>
              <w:rPr>
                <w:rFonts w:ascii="Calibri" w:eastAsia="Times New Roman" w:hAnsi="Calibri" w:cs="Times New Roman"/>
                <w:b/>
                <w:bCs/>
                <w:color w:val="000000"/>
                <w:sz w:val="24"/>
                <w:szCs w:val="24"/>
                <w:lang w:eastAsia="sv-SE"/>
              </w:rPr>
            </w:pPr>
            <w:r w:rsidRPr="007347D2">
              <w:rPr>
                <w:rFonts w:ascii="Calibri" w:eastAsia="Times New Roman" w:hAnsi="Calibri" w:cs="Times New Roman"/>
                <w:b/>
                <w:bCs/>
                <w:color w:val="000000"/>
                <w:sz w:val="24"/>
                <w:szCs w:val="24"/>
                <w:lang w:eastAsia="sv-SE"/>
              </w:rPr>
              <w:t> </w:t>
            </w:r>
          </w:p>
        </w:tc>
        <w:tc>
          <w:tcPr>
            <w:tcW w:w="992" w:type="dxa"/>
            <w:tcBorders>
              <w:top w:val="nil"/>
              <w:left w:val="nil"/>
              <w:bottom w:val="single" w:sz="4" w:space="0" w:color="auto"/>
              <w:right w:val="nil"/>
            </w:tcBorders>
            <w:shd w:val="clear" w:color="auto" w:fill="auto"/>
            <w:vAlign w:val="bottom"/>
            <w:hideMark/>
          </w:tcPr>
          <w:p w:rsidR="00386517" w:rsidRPr="007347D2" w:rsidRDefault="00386517" w:rsidP="00F90712">
            <w:pPr>
              <w:spacing w:line="240" w:lineRule="auto"/>
              <w:jc w:val="right"/>
              <w:rPr>
                <w:rFonts w:ascii="Calibri" w:eastAsia="Times New Roman" w:hAnsi="Calibri" w:cs="Times New Roman"/>
                <w:b/>
                <w:bCs/>
                <w:color w:val="000000"/>
                <w:sz w:val="24"/>
                <w:szCs w:val="24"/>
                <w:lang w:eastAsia="sv-SE"/>
              </w:rPr>
            </w:pPr>
            <w:r w:rsidRPr="007347D2">
              <w:rPr>
                <w:rFonts w:ascii="Calibri" w:eastAsia="Times New Roman" w:hAnsi="Calibri" w:cs="Times New Roman"/>
                <w:b/>
                <w:bCs/>
                <w:color w:val="000000"/>
                <w:sz w:val="24"/>
                <w:szCs w:val="24"/>
                <w:lang w:eastAsia="sv-SE"/>
              </w:rPr>
              <w:t> </w:t>
            </w:r>
          </w:p>
        </w:tc>
        <w:tc>
          <w:tcPr>
            <w:tcW w:w="990" w:type="dxa"/>
            <w:tcBorders>
              <w:top w:val="nil"/>
              <w:left w:val="nil"/>
              <w:bottom w:val="single" w:sz="4" w:space="0" w:color="auto"/>
              <w:right w:val="nil"/>
            </w:tcBorders>
            <w:shd w:val="clear" w:color="auto" w:fill="auto"/>
            <w:vAlign w:val="bottom"/>
            <w:hideMark/>
          </w:tcPr>
          <w:p w:rsidR="00386517" w:rsidRPr="007347D2" w:rsidRDefault="00386517" w:rsidP="00F90712">
            <w:pPr>
              <w:spacing w:line="240" w:lineRule="auto"/>
              <w:jc w:val="right"/>
              <w:rPr>
                <w:rFonts w:ascii="Calibri" w:eastAsia="Times New Roman" w:hAnsi="Calibri" w:cs="Times New Roman"/>
                <w:b/>
                <w:bCs/>
                <w:color w:val="000000"/>
                <w:sz w:val="24"/>
                <w:szCs w:val="24"/>
                <w:lang w:eastAsia="sv-SE"/>
              </w:rPr>
            </w:pPr>
            <w:r w:rsidRPr="007347D2">
              <w:rPr>
                <w:rFonts w:ascii="Calibri" w:eastAsia="Times New Roman" w:hAnsi="Calibri" w:cs="Times New Roman"/>
                <w:b/>
                <w:bCs/>
                <w:color w:val="000000"/>
                <w:sz w:val="24"/>
                <w:szCs w:val="24"/>
                <w:lang w:eastAsia="sv-SE"/>
              </w:rPr>
              <w:t> </w:t>
            </w:r>
          </w:p>
        </w:tc>
        <w:tc>
          <w:tcPr>
            <w:tcW w:w="213" w:type="dxa"/>
            <w:tcBorders>
              <w:top w:val="nil"/>
              <w:left w:val="nil"/>
              <w:bottom w:val="single" w:sz="4" w:space="0" w:color="auto"/>
              <w:right w:val="single" w:sz="4" w:space="0" w:color="auto"/>
            </w:tcBorders>
            <w:shd w:val="clear" w:color="auto" w:fill="auto"/>
            <w:vAlign w:val="bottom"/>
            <w:hideMark/>
          </w:tcPr>
          <w:p w:rsidR="00386517" w:rsidRPr="007347D2" w:rsidRDefault="00386517" w:rsidP="00F90712">
            <w:pPr>
              <w:spacing w:line="240" w:lineRule="auto"/>
              <w:jc w:val="right"/>
              <w:rPr>
                <w:rFonts w:ascii="Calibri" w:eastAsia="Times New Roman" w:hAnsi="Calibri" w:cs="Times New Roman"/>
                <w:b/>
                <w:bCs/>
                <w:color w:val="000000"/>
                <w:sz w:val="24"/>
                <w:szCs w:val="24"/>
                <w:lang w:eastAsia="sv-SE"/>
              </w:rPr>
            </w:pPr>
            <w:r w:rsidRPr="007347D2">
              <w:rPr>
                <w:rFonts w:ascii="Calibri" w:eastAsia="Times New Roman" w:hAnsi="Calibri" w:cs="Times New Roman"/>
                <w:b/>
                <w:bCs/>
                <w:color w:val="000000"/>
                <w:sz w:val="24"/>
                <w:szCs w:val="24"/>
                <w:lang w:eastAsia="sv-SE"/>
              </w:rPr>
              <w:t> </w:t>
            </w:r>
          </w:p>
        </w:tc>
      </w:tr>
    </w:tbl>
    <w:p w:rsidR="00386517" w:rsidRDefault="00386517" w:rsidP="00386517">
      <w:pPr>
        <w:spacing w:after="120" w:line="240" w:lineRule="auto"/>
      </w:pPr>
      <w:r>
        <w:t>*Exklusive realisationsvinster och exploatering</w:t>
      </w:r>
      <w:r w:rsidR="00F90712">
        <w:t xml:space="preserve">. </w:t>
      </w:r>
    </w:p>
    <w:p w:rsidR="00386517" w:rsidRPr="008C0B80" w:rsidRDefault="00386517" w:rsidP="00386517">
      <w:pPr>
        <w:spacing w:before="120" w:after="120" w:line="240" w:lineRule="auto"/>
      </w:pPr>
      <w:r w:rsidRPr="008C0B80">
        <w:t>Nämnderna resultat blev ett underskott om -101 mnkr främst orsakat av ett stort underskott inom individ- och familjenämnden med -154 mnkr samt inom utbildnings- och arbetsmarknadsnämnden med -40 mnkr. Överskott på centrala poster täcker underskott i nämnderna.</w:t>
      </w:r>
    </w:p>
    <w:p w:rsidR="00386517" w:rsidRDefault="00386517" w:rsidP="00386517">
      <w:pPr>
        <w:spacing w:after="120" w:line="240" w:lineRule="auto"/>
      </w:pPr>
      <w:r>
        <w:rPr>
          <w:noProof/>
          <w:lang w:eastAsia="sv-SE"/>
        </w:rPr>
        <w:lastRenderedPageBreak/>
        <w:drawing>
          <wp:inline distT="0" distB="0" distL="0" distR="0" wp14:anchorId="4E72F647" wp14:editId="2B5ED0B2">
            <wp:extent cx="4686300" cy="3299460"/>
            <wp:effectExtent l="0" t="0" r="19050" b="1524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86517" w:rsidRDefault="00386517" w:rsidP="00386517">
      <w:pPr>
        <w:spacing w:after="120" w:line="240" w:lineRule="auto"/>
      </w:pPr>
      <w:r>
        <w:t xml:space="preserve">Tabellen visar utvecklingen av verksamhetens resultat de senaste åren totalt samt exklusive realisationsvinster och exploateringsöverskott. </w:t>
      </w:r>
    </w:p>
    <w:p w:rsidR="00386517" w:rsidRDefault="00386517" w:rsidP="00386517">
      <w:pPr>
        <w:pStyle w:val="Rubrik2"/>
      </w:pPr>
      <w:bookmarkStart w:id="2" w:name="_Toc31010351"/>
      <w:r>
        <w:t>Verksamhetens nettokostnader</w:t>
      </w:r>
      <w:bookmarkEnd w:id="2"/>
    </w:p>
    <w:p w:rsidR="00386517" w:rsidRPr="009B1131" w:rsidRDefault="00386517" w:rsidP="00386517">
      <w:pPr>
        <w:pStyle w:val="Kommentarer"/>
        <w:spacing w:before="120" w:after="120"/>
        <w:rPr>
          <w:sz w:val="22"/>
          <w:szCs w:val="22"/>
        </w:rPr>
      </w:pPr>
      <w:r w:rsidRPr="009B1131">
        <w:rPr>
          <w:sz w:val="22"/>
          <w:szCs w:val="22"/>
        </w:rPr>
        <w:t xml:space="preserve">Nettokostnaderna över tid ska inte öka mer än skatteintäkterna. För god ekonomisk hushållning bör nettokostnaderna inte överstiga 98 % av skatteintäkterna. Verksamhetens nettokostnader 2019 var 177 mnkr lägre än budget, men ökade ändå med 3,7 % 2019. I flera nämnder ökade nettokostnaderna betydligt mer. I individ- och familjenämnden ökade kostnaderna med 6,2 %, en förbättring mot 2018 då </w:t>
      </w:r>
      <w:r>
        <w:rPr>
          <w:sz w:val="22"/>
          <w:szCs w:val="22"/>
        </w:rPr>
        <w:t>de ökade</w:t>
      </w:r>
      <w:r w:rsidRPr="009B1131">
        <w:rPr>
          <w:sz w:val="22"/>
          <w:szCs w:val="22"/>
        </w:rPr>
        <w:t xml:space="preserve"> 10,4 %. </w:t>
      </w:r>
    </w:p>
    <w:p w:rsidR="00386517" w:rsidRDefault="00386517" w:rsidP="00386517">
      <w:pPr>
        <w:spacing w:line="240" w:lineRule="auto"/>
      </w:pPr>
      <w:r>
        <w:rPr>
          <w:noProof/>
          <w:lang w:eastAsia="sv-SE"/>
        </w:rPr>
        <w:drawing>
          <wp:inline distT="0" distB="0" distL="0" distR="0" wp14:anchorId="6F78FA67" wp14:editId="0F2B3509">
            <wp:extent cx="4663440" cy="2263140"/>
            <wp:effectExtent l="0" t="0" r="22860" b="22860"/>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86517" w:rsidRDefault="00386517" w:rsidP="00386517">
      <w:pPr>
        <w:spacing w:after="120" w:line="240" w:lineRule="auto"/>
      </w:pPr>
      <w:r>
        <w:lastRenderedPageBreak/>
        <w:t>Tabellen illustrerar hur skatteintäkterna har utvecklats jämfört med verksamhetens nettokostnader. En procentenhet motsvarar ca 85 mnkr.</w:t>
      </w:r>
    </w:p>
    <w:p w:rsidR="00386517" w:rsidRDefault="00386517" w:rsidP="00386517">
      <w:pPr>
        <w:pStyle w:val="Rubrik2"/>
      </w:pPr>
      <w:bookmarkStart w:id="3" w:name="_Toc31010352"/>
      <w:r>
        <w:t>Finansiella mål</w:t>
      </w:r>
      <w:bookmarkEnd w:id="3"/>
    </w:p>
    <w:p w:rsidR="00386517" w:rsidRPr="008C0B80" w:rsidRDefault="00386517" w:rsidP="00386517">
      <w:pPr>
        <w:spacing w:before="120" w:after="120" w:line="240" w:lineRule="auto"/>
      </w:pPr>
      <w:r w:rsidRPr="008C0B80">
        <w:t>Kommunfullmäktige har ett långsiktigt ekonomiskt mål att resultatet, exklusive jämförelsestörande poster, ska vara 2,5 % av skatteintäkter och generella statsbidrag. Syftet är att finansiera investeringar och pensionskostnader.</w:t>
      </w:r>
    </w:p>
    <w:p w:rsidR="00386517" w:rsidRPr="008C0B80" w:rsidRDefault="00386517" w:rsidP="00386517">
      <w:pPr>
        <w:spacing w:before="120" w:after="120" w:line="240" w:lineRule="auto"/>
      </w:pPr>
      <w:r w:rsidRPr="008C0B80">
        <w:t>Budgeten 2019 på 170 mnkr motsvarar 2 % av skatter och generella bidrag. Årets resultat exklusive jämförelsestörande poster innebär 1,7 %. En orsak till den lägre summan är att utdelning från Stadshus AB som fanns i budgeten inte gjordes.</w:t>
      </w:r>
    </w:p>
    <w:p w:rsidR="00386517" w:rsidRPr="008C0B80" w:rsidRDefault="00386517" w:rsidP="00386517">
      <w:pPr>
        <w:spacing w:before="120" w:after="120" w:line="240" w:lineRule="auto"/>
      </w:pPr>
      <w:r w:rsidRPr="008C0B80">
        <w:t xml:space="preserve">För en hållbar ekonomi är det viktigt att resultatet kommande år når upp till det långsiktiga ekonomiska målet för att kunna finansiera kommande investeringar. </w:t>
      </w:r>
    </w:p>
    <w:p w:rsidR="00386517" w:rsidRPr="008C0B80" w:rsidRDefault="00386517" w:rsidP="00386517">
      <w:pPr>
        <w:spacing w:before="120" w:after="120" w:line="240" w:lineRule="auto"/>
      </w:pPr>
      <w:r w:rsidRPr="008C0B80">
        <w:t xml:space="preserve">Stadens soliditet ska vara över 40 % vilket uppnåddes 2019 då den var 53,1 %. </w:t>
      </w:r>
    </w:p>
    <w:p w:rsidR="00386517" w:rsidRPr="008C0B80" w:rsidRDefault="00386517" w:rsidP="00386517">
      <w:pPr>
        <w:spacing w:before="120" w:after="120" w:line="240" w:lineRule="auto"/>
      </w:pPr>
      <w:r w:rsidRPr="008C0B80">
        <w:t>Även under 2019 finansierades årets investeringar av egna medel, vilket innebär att det tredje finansiella målet uppnåddes.</w:t>
      </w:r>
    </w:p>
    <w:p w:rsidR="00386517" w:rsidRDefault="00386517" w:rsidP="00386517">
      <w:pPr>
        <w:spacing w:after="120" w:line="240" w:lineRule="auto"/>
      </w:pPr>
      <w:r>
        <w:rPr>
          <w:noProof/>
          <w:lang w:eastAsia="sv-SE"/>
        </w:rPr>
        <w:drawing>
          <wp:inline distT="0" distB="0" distL="0" distR="0" wp14:anchorId="079E583D" wp14:editId="60ABD7F4">
            <wp:extent cx="4572000" cy="2743200"/>
            <wp:effectExtent l="0" t="0" r="19050" b="1905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Style w:val="Kommentarsreferens"/>
        </w:rPr>
        <w:t xml:space="preserve"> </w:t>
      </w:r>
      <w:r>
        <w:t xml:space="preserve">Tabellen visar hur årets resultat i förhållande till skatteintäkter har sett ut de senaste åren jämfört med kommunfullmäktiges långsiktiga mål om 2,5 %. Årets resultat är exklusive jämförelsestörande poster. </w:t>
      </w:r>
    </w:p>
    <w:p w:rsidR="00386517" w:rsidRDefault="00386517" w:rsidP="00386517">
      <w:pPr>
        <w:pStyle w:val="Rubrik2"/>
      </w:pPr>
      <w:bookmarkStart w:id="4" w:name="_Toc31010353"/>
      <w:r>
        <w:t>Skatteintäkter, utjämning och bidrag</w:t>
      </w:r>
      <w:bookmarkEnd w:id="4"/>
    </w:p>
    <w:p w:rsidR="00386517" w:rsidRPr="00C001D2" w:rsidRDefault="00386517" w:rsidP="00386517">
      <w:pPr>
        <w:spacing w:after="120" w:line="240" w:lineRule="auto"/>
        <w:rPr>
          <w:bCs/>
          <w:shd w:val="clear" w:color="auto" w:fill="FFFFFF"/>
        </w:rPr>
      </w:pPr>
      <w:r>
        <w:rPr>
          <w:bCs/>
          <w:shd w:val="clear" w:color="auto" w:fill="FFFFFF"/>
        </w:rPr>
        <w:t>S</w:t>
      </w:r>
      <w:r w:rsidRPr="00306868">
        <w:rPr>
          <w:bCs/>
          <w:shd w:val="clear" w:color="auto" w:fill="FFFFFF"/>
        </w:rPr>
        <w:t>katteintäkter, utjämning och generella stats</w:t>
      </w:r>
      <w:r>
        <w:rPr>
          <w:bCs/>
          <w:shd w:val="clear" w:color="auto" w:fill="FFFFFF"/>
        </w:rPr>
        <w:t xml:space="preserve">bidrag uppgår sammantaget till </w:t>
      </w:r>
      <w:r>
        <w:rPr>
          <w:bCs/>
          <w:shd w:val="clear" w:color="auto" w:fill="FFFFFF"/>
        </w:rPr>
        <w:br/>
        <w:t xml:space="preserve">8 461 </w:t>
      </w:r>
      <w:r w:rsidRPr="00306868">
        <w:rPr>
          <w:bCs/>
          <w:shd w:val="clear" w:color="auto" w:fill="FFFFFF"/>
        </w:rPr>
        <w:t>mnkr</w:t>
      </w:r>
      <w:r>
        <w:rPr>
          <w:bCs/>
          <w:shd w:val="clear" w:color="auto" w:fill="FFFFFF"/>
        </w:rPr>
        <w:t> vilket är</w:t>
      </w:r>
      <w:r w:rsidRPr="00306868">
        <w:rPr>
          <w:bCs/>
          <w:shd w:val="clear" w:color="auto" w:fill="FFFFFF"/>
        </w:rPr>
        <w:t xml:space="preserve"> </w:t>
      </w:r>
      <w:r>
        <w:rPr>
          <w:bCs/>
          <w:shd w:val="clear" w:color="auto" w:fill="FFFFFF"/>
        </w:rPr>
        <w:t>16</w:t>
      </w:r>
      <w:r w:rsidRPr="00306868">
        <w:rPr>
          <w:bCs/>
          <w:shd w:val="clear" w:color="auto" w:fill="FFFFFF"/>
        </w:rPr>
        <w:t xml:space="preserve"> mnkr </w:t>
      </w:r>
      <w:r w:rsidRPr="009E73FF">
        <w:rPr>
          <w:bCs/>
          <w:shd w:val="clear" w:color="auto" w:fill="FFFFFF"/>
        </w:rPr>
        <w:t>högre</w:t>
      </w:r>
      <w:r w:rsidRPr="00306868">
        <w:rPr>
          <w:bCs/>
          <w:shd w:val="clear" w:color="auto" w:fill="FFFFFF"/>
        </w:rPr>
        <w:t xml:space="preserve"> än budgeterat.</w:t>
      </w:r>
      <w:r>
        <w:rPr>
          <w:bCs/>
          <w:shd w:val="clear" w:color="auto" w:fill="FFFFFF"/>
        </w:rPr>
        <w:t xml:space="preserve"> Orsaken beror framför allt på att kommunerna kompenserades för utökat grundavdrag för personer som fyllt 65 år, </w:t>
      </w:r>
      <w:r>
        <w:t xml:space="preserve">samtidigt som byggbonusen beräknad till 25 mnkr avvecklades. </w:t>
      </w:r>
    </w:p>
    <w:p w:rsidR="00386517" w:rsidRDefault="00386517" w:rsidP="00386517">
      <w:pPr>
        <w:pStyle w:val="Rubrik2"/>
      </w:pPr>
      <w:bookmarkStart w:id="5" w:name="_Toc31010354"/>
      <w:r>
        <w:lastRenderedPageBreak/>
        <w:t>Finansnetto</w:t>
      </w:r>
      <w:bookmarkEnd w:id="5"/>
    </w:p>
    <w:p w:rsidR="00386517" w:rsidRDefault="00386517" w:rsidP="00386517">
      <w:pPr>
        <w:spacing w:before="120" w:after="120" w:line="240" w:lineRule="auto"/>
      </w:pPr>
      <w:r>
        <w:t xml:space="preserve">Stadens finansnetto var för 2019 en nettovinst på 224 mnkr. Detta beror på att enligt den nya redovisningslagen ska aktier och fonder som innehas för värdestegring värderas till marknadsvärde. För att jämföra med årets budgeterade finansnetto på 58 mnkr måste marknadsvärderade poster på sammanlagt </w:t>
      </w:r>
      <w:r>
        <w:br/>
        <w:t xml:space="preserve">187 mnkr räknas bort. Övrigt finansnetto är 37 mnkr. En orsak till den lägre summan är att </w:t>
      </w:r>
      <w:r w:rsidRPr="00650A92">
        <w:t>utdelning från Stadshus AB</w:t>
      </w:r>
      <w:r>
        <w:t xml:space="preserve"> som fanns i budgeten inte gjordes.</w:t>
      </w:r>
    </w:p>
    <w:p w:rsidR="00386517" w:rsidRDefault="00386517" w:rsidP="00386517">
      <w:pPr>
        <w:rPr>
          <w:rStyle w:val="Rubrik1Char"/>
        </w:rPr>
      </w:pPr>
      <w:r>
        <w:rPr>
          <w:noProof/>
          <w:lang w:eastAsia="sv-SE"/>
        </w:rPr>
        <w:drawing>
          <wp:inline distT="0" distB="0" distL="0" distR="0" wp14:anchorId="3B888388" wp14:editId="7F2AD4B7">
            <wp:extent cx="4678680" cy="2720340"/>
            <wp:effectExtent l="0" t="0" r="26670" b="2286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86517" w:rsidRPr="009B1131" w:rsidRDefault="00386517" w:rsidP="00386517">
      <w:pPr>
        <w:pStyle w:val="Rubrik2"/>
      </w:pPr>
      <w:bookmarkStart w:id="6" w:name="_Toc31010355"/>
      <w:r>
        <w:t>Resultaträkning</w:t>
      </w:r>
      <w:bookmarkEnd w:id="6"/>
    </w:p>
    <w:tbl>
      <w:tblPr>
        <w:tblW w:w="7407" w:type="dxa"/>
        <w:tblInd w:w="65" w:type="dxa"/>
        <w:tblCellMar>
          <w:left w:w="70" w:type="dxa"/>
          <w:right w:w="70" w:type="dxa"/>
        </w:tblCellMar>
        <w:tblLook w:val="04A0" w:firstRow="1" w:lastRow="0" w:firstColumn="1" w:lastColumn="0" w:noHBand="0" w:noVBand="1"/>
      </w:tblPr>
      <w:tblGrid>
        <w:gridCol w:w="3673"/>
        <w:gridCol w:w="847"/>
        <w:gridCol w:w="965"/>
        <w:gridCol w:w="1092"/>
        <w:gridCol w:w="830"/>
      </w:tblGrid>
      <w:tr w:rsidR="00386517" w:rsidRPr="009A0249" w:rsidTr="00F90712">
        <w:trPr>
          <w:trHeight w:val="569"/>
        </w:trPr>
        <w:tc>
          <w:tcPr>
            <w:tcW w:w="3673" w:type="dxa"/>
            <w:tcBorders>
              <w:top w:val="single" w:sz="4" w:space="0" w:color="auto"/>
              <w:left w:val="single" w:sz="4" w:space="0" w:color="auto"/>
              <w:bottom w:val="nil"/>
              <w:right w:val="single" w:sz="4" w:space="0" w:color="CCCCCC"/>
            </w:tcBorders>
            <w:shd w:val="clear" w:color="000000" w:fill="8DB4E2"/>
            <w:vAlign w:val="bottom"/>
            <w:hideMark/>
          </w:tcPr>
          <w:p w:rsidR="00386517" w:rsidRPr="009A0249" w:rsidRDefault="00386517" w:rsidP="00F90712">
            <w:pPr>
              <w:spacing w:line="240" w:lineRule="auto"/>
              <w:rPr>
                <w:rFonts w:ascii="Arial" w:eastAsia="Times New Roman" w:hAnsi="Arial" w:cs="Arial"/>
                <w:b/>
                <w:color w:val="000000"/>
                <w:sz w:val="24"/>
                <w:szCs w:val="24"/>
                <w:lang w:eastAsia="sv-SE"/>
              </w:rPr>
            </w:pPr>
            <w:r w:rsidRPr="009A0249">
              <w:rPr>
                <w:rFonts w:ascii="Arial" w:eastAsia="Times New Roman" w:hAnsi="Arial" w:cs="Arial"/>
                <w:b/>
                <w:color w:val="000000"/>
                <w:sz w:val="24"/>
                <w:szCs w:val="24"/>
                <w:lang w:eastAsia="sv-SE"/>
              </w:rPr>
              <w:t>Resultaträkning 2019, mnkr</w:t>
            </w:r>
          </w:p>
        </w:tc>
        <w:tc>
          <w:tcPr>
            <w:tcW w:w="847" w:type="dxa"/>
            <w:tcBorders>
              <w:top w:val="single" w:sz="4" w:space="0" w:color="auto"/>
              <w:left w:val="nil"/>
              <w:bottom w:val="nil"/>
              <w:right w:val="single" w:sz="4" w:space="0" w:color="CCCCCC"/>
            </w:tcBorders>
            <w:shd w:val="clear" w:color="000000" w:fill="8DB4E2"/>
            <w:vAlign w:val="bottom"/>
            <w:hideMark/>
          </w:tcPr>
          <w:p w:rsidR="00386517" w:rsidRPr="009A0249" w:rsidRDefault="00386517" w:rsidP="00F90712">
            <w:pPr>
              <w:spacing w:line="240" w:lineRule="auto"/>
              <w:jc w:val="right"/>
              <w:rPr>
                <w:rFonts w:ascii="Calibri" w:eastAsia="Times New Roman" w:hAnsi="Calibri" w:cs="Times New Roman"/>
                <w:b/>
                <w:color w:val="000000"/>
                <w:sz w:val="24"/>
                <w:szCs w:val="24"/>
                <w:lang w:eastAsia="sv-SE"/>
              </w:rPr>
            </w:pPr>
            <w:r w:rsidRPr="009A0249">
              <w:rPr>
                <w:rFonts w:ascii="Calibri" w:eastAsia="Times New Roman" w:hAnsi="Calibri" w:cs="Times New Roman"/>
                <w:b/>
                <w:color w:val="000000"/>
                <w:sz w:val="24"/>
                <w:szCs w:val="24"/>
                <w:lang w:eastAsia="sv-SE"/>
              </w:rPr>
              <w:t>Utfall 2019</w:t>
            </w:r>
          </w:p>
        </w:tc>
        <w:tc>
          <w:tcPr>
            <w:tcW w:w="965" w:type="dxa"/>
            <w:tcBorders>
              <w:top w:val="single" w:sz="4" w:space="0" w:color="auto"/>
              <w:left w:val="nil"/>
              <w:bottom w:val="nil"/>
              <w:right w:val="single" w:sz="4" w:space="0" w:color="CCCCCC"/>
            </w:tcBorders>
            <w:shd w:val="clear" w:color="000000" w:fill="8DB4E2"/>
            <w:vAlign w:val="bottom"/>
            <w:hideMark/>
          </w:tcPr>
          <w:p w:rsidR="00386517" w:rsidRPr="009A0249" w:rsidRDefault="00386517" w:rsidP="00F90712">
            <w:pPr>
              <w:spacing w:line="240" w:lineRule="auto"/>
              <w:jc w:val="right"/>
              <w:rPr>
                <w:rFonts w:ascii="Calibri" w:eastAsia="Times New Roman" w:hAnsi="Calibri" w:cs="Times New Roman"/>
                <w:b/>
                <w:color w:val="000000"/>
                <w:sz w:val="24"/>
                <w:szCs w:val="24"/>
                <w:lang w:eastAsia="sv-SE"/>
              </w:rPr>
            </w:pPr>
            <w:r w:rsidRPr="009A0249">
              <w:rPr>
                <w:rFonts w:ascii="Calibri" w:eastAsia="Times New Roman" w:hAnsi="Calibri" w:cs="Times New Roman"/>
                <w:b/>
                <w:color w:val="000000"/>
                <w:sz w:val="24"/>
                <w:szCs w:val="24"/>
                <w:lang w:eastAsia="sv-SE"/>
              </w:rPr>
              <w:t>Budget 2019</w:t>
            </w:r>
          </w:p>
        </w:tc>
        <w:tc>
          <w:tcPr>
            <w:tcW w:w="1092" w:type="dxa"/>
            <w:tcBorders>
              <w:top w:val="single" w:sz="4" w:space="0" w:color="auto"/>
              <w:left w:val="nil"/>
              <w:bottom w:val="nil"/>
              <w:right w:val="single" w:sz="4" w:space="0" w:color="CCCCCC"/>
            </w:tcBorders>
            <w:shd w:val="clear" w:color="000000" w:fill="8DB4E2"/>
            <w:vAlign w:val="bottom"/>
            <w:hideMark/>
          </w:tcPr>
          <w:p w:rsidR="00386517" w:rsidRPr="009A0249" w:rsidRDefault="00386517" w:rsidP="00F90712">
            <w:pPr>
              <w:spacing w:line="240" w:lineRule="auto"/>
              <w:jc w:val="right"/>
              <w:rPr>
                <w:rFonts w:ascii="Calibri" w:eastAsia="Times New Roman" w:hAnsi="Calibri" w:cs="Times New Roman"/>
                <w:b/>
                <w:color w:val="000000"/>
                <w:sz w:val="24"/>
                <w:szCs w:val="24"/>
                <w:lang w:eastAsia="sv-SE"/>
              </w:rPr>
            </w:pPr>
            <w:r w:rsidRPr="009A0249">
              <w:rPr>
                <w:rFonts w:ascii="Calibri" w:eastAsia="Times New Roman" w:hAnsi="Calibri" w:cs="Times New Roman"/>
                <w:b/>
                <w:color w:val="000000"/>
                <w:sz w:val="24"/>
                <w:szCs w:val="24"/>
                <w:lang w:eastAsia="sv-SE"/>
              </w:rPr>
              <w:t xml:space="preserve">Avvikelse </w:t>
            </w:r>
          </w:p>
        </w:tc>
        <w:tc>
          <w:tcPr>
            <w:tcW w:w="830" w:type="dxa"/>
            <w:tcBorders>
              <w:top w:val="single" w:sz="4" w:space="0" w:color="auto"/>
              <w:left w:val="nil"/>
              <w:bottom w:val="nil"/>
              <w:right w:val="single" w:sz="4" w:space="0" w:color="auto"/>
            </w:tcBorders>
            <w:shd w:val="clear" w:color="000000" w:fill="8DB4E2"/>
            <w:vAlign w:val="bottom"/>
            <w:hideMark/>
          </w:tcPr>
          <w:p w:rsidR="00386517" w:rsidRPr="009A0249" w:rsidRDefault="00386517" w:rsidP="00F90712">
            <w:pPr>
              <w:spacing w:line="240" w:lineRule="auto"/>
              <w:jc w:val="right"/>
              <w:rPr>
                <w:rFonts w:ascii="Calibri" w:eastAsia="Times New Roman" w:hAnsi="Calibri" w:cs="Times New Roman"/>
                <w:b/>
                <w:color w:val="000000"/>
                <w:sz w:val="24"/>
                <w:szCs w:val="24"/>
                <w:lang w:eastAsia="sv-SE"/>
              </w:rPr>
            </w:pPr>
            <w:r w:rsidRPr="009A0249">
              <w:rPr>
                <w:rFonts w:ascii="Calibri" w:eastAsia="Times New Roman" w:hAnsi="Calibri" w:cs="Times New Roman"/>
                <w:b/>
                <w:color w:val="000000"/>
                <w:sz w:val="24"/>
                <w:szCs w:val="24"/>
                <w:lang w:eastAsia="sv-SE"/>
              </w:rPr>
              <w:t>Utfall 2018</w:t>
            </w:r>
          </w:p>
        </w:tc>
      </w:tr>
      <w:tr w:rsidR="00386517" w:rsidRPr="00146B78" w:rsidTr="00F90712">
        <w:trPr>
          <w:trHeight w:val="175"/>
        </w:trPr>
        <w:tc>
          <w:tcPr>
            <w:tcW w:w="3673" w:type="dxa"/>
            <w:tcBorders>
              <w:top w:val="nil"/>
              <w:left w:val="single" w:sz="4" w:space="0" w:color="auto"/>
              <w:bottom w:val="nil"/>
              <w:right w:val="nil"/>
            </w:tcBorders>
            <w:shd w:val="clear" w:color="auto" w:fill="auto"/>
            <w:vAlign w:val="bottom"/>
            <w:hideMark/>
          </w:tcPr>
          <w:p w:rsidR="00386517" w:rsidRPr="00146B78" w:rsidRDefault="00386517" w:rsidP="00F90712">
            <w:pPr>
              <w:spacing w:line="240" w:lineRule="auto"/>
              <w:rPr>
                <w:rFonts w:ascii="Calibri" w:eastAsia="Times New Roman" w:hAnsi="Calibri" w:cs="Times New Roman"/>
                <w:color w:val="000000"/>
                <w:sz w:val="24"/>
                <w:szCs w:val="24"/>
                <w:lang w:eastAsia="sv-SE"/>
              </w:rPr>
            </w:pPr>
            <w:r w:rsidRPr="00146B78">
              <w:rPr>
                <w:rFonts w:ascii="Calibri" w:eastAsia="Times New Roman" w:hAnsi="Calibri" w:cs="Times New Roman"/>
                <w:color w:val="000000"/>
                <w:sz w:val="24"/>
                <w:szCs w:val="24"/>
                <w:lang w:eastAsia="sv-SE"/>
              </w:rPr>
              <w:t> </w:t>
            </w:r>
          </w:p>
        </w:tc>
        <w:tc>
          <w:tcPr>
            <w:tcW w:w="847" w:type="dxa"/>
            <w:tcBorders>
              <w:top w:val="nil"/>
              <w:left w:val="nil"/>
              <w:bottom w:val="nil"/>
              <w:right w:val="nil"/>
            </w:tcBorders>
            <w:shd w:val="clear" w:color="auto" w:fill="auto"/>
            <w:vAlign w:val="bottom"/>
            <w:hideMark/>
          </w:tcPr>
          <w:p w:rsidR="00386517" w:rsidRPr="00146B78" w:rsidRDefault="00386517" w:rsidP="00F90712">
            <w:pPr>
              <w:spacing w:line="240" w:lineRule="auto"/>
              <w:rPr>
                <w:rFonts w:ascii="Calibri" w:eastAsia="Times New Roman" w:hAnsi="Calibri" w:cs="Times New Roman"/>
                <w:color w:val="000000"/>
                <w:sz w:val="24"/>
                <w:szCs w:val="24"/>
                <w:lang w:eastAsia="sv-SE"/>
              </w:rPr>
            </w:pPr>
          </w:p>
        </w:tc>
        <w:tc>
          <w:tcPr>
            <w:tcW w:w="965" w:type="dxa"/>
            <w:tcBorders>
              <w:top w:val="nil"/>
              <w:left w:val="nil"/>
              <w:bottom w:val="nil"/>
              <w:right w:val="nil"/>
            </w:tcBorders>
            <w:shd w:val="clear" w:color="auto" w:fill="auto"/>
            <w:vAlign w:val="bottom"/>
            <w:hideMark/>
          </w:tcPr>
          <w:p w:rsidR="00386517" w:rsidRPr="00146B78" w:rsidRDefault="00386517" w:rsidP="00F90712">
            <w:pPr>
              <w:spacing w:line="240" w:lineRule="auto"/>
              <w:rPr>
                <w:rFonts w:ascii="Calibri" w:eastAsia="Times New Roman" w:hAnsi="Calibri" w:cs="Times New Roman"/>
                <w:color w:val="000000"/>
                <w:sz w:val="24"/>
                <w:szCs w:val="24"/>
                <w:lang w:eastAsia="sv-SE"/>
              </w:rPr>
            </w:pPr>
          </w:p>
        </w:tc>
        <w:tc>
          <w:tcPr>
            <w:tcW w:w="1092" w:type="dxa"/>
            <w:tcBorders>
              <w:top w:val="nil"/>
              <w:left w:val="nil"/>
              <w:bottom w:val="nil"/>
              <w:right w:val="nil"/>
            </w:tcBorders>
            <w:shd w:val="clear" w:color="auto" w:fill="auto"/>
            <w:vAlign w:val="bottom"/>
            <w:hideMark/>
          </w:tcPr>
          <w:p w:rsidR="00386517" w:rsidRPr="00146B78" w:rsidRDefault="00386517" w:rsidP="00F90712">
            <w:pPr>
              <w:spacing w:line="240" w:lineRule="auto"/>
              <w:rPr>
                <w:rFonts w:ascii="Calibri" w:eastAsia="Times New Roman" w:hAnsi="Calibri" w:cs="Times New Roman"/>
                <w:color w:val="000000"/>
                <w:sz w:val="24"/>
                <w:szCs w:val="24"/>
                <w:lang w:eastAsia="sv-SE"/>
              </w:rPr>
            </w:pPr>
          </w:p>
        </w:tc>
        <w:tc>
          <w:tcPr>
            <w:tcW w:w="830" w:type="dxa"/>
            <w:tcBorders>
              <w:top w:val="nil"/>
              <w:left w:val="nil"/>
              <w:bottom w:val="nil"/>
              <w:right w:val="single" w:sz="4" w:space="0" w:color="auto"/>
            </w:tcBorders>
            <w:shd w:val="clear" w:color="auto" w:fill="auto"/>
            <w:vAlign w:val="bottom"/>
            <w:hideMark/>
          </w:tcPr>
          <w:p w:rsidR="00386517" w:rsidRPr="00146B78" w:rsidRDefault="00386517" w:rsidP="00F90712">
            <w:pPr>
              <w:spacing w:line="240" w:lineRule="auto"/>
              <w:rPr>
                <w:rFonts w:ascii="Calibri" w:eastAsia="Times New Roman" w:hAnsi="Calibri" w:cs="Times New Roman"/>
                <w:color w:val="000000"/>
                <w:sz w:val="24"/>
                <w:szCs w:val="24"/>
                <w:lang w:eastAsia="sv-SE"/>
              </w:rPr>
            </w:pPr>
            <w:r w:rsidRPr="00146B78">
              <w:rPr>
                <w:rFonts w:ascii="Calibri" w:eastAsia="Times New Roman" w:hAnsi="Calibri" w:cs="Times New Roman"/>
                <w:color w:val="000000"/>
                <w:sz w:val="24"/>
                <w:szCs w:val="24"/>
                <w:lang w:eastAsia="sv-SE"/>
              </w:rPr>
              <w:t> </w:t>
            </w:r>
          </w:p>
        </w:tc>
      </w:tr>
      <w:tr w:rsidR="00386517" w:rsidRPr="00146B78" w:rsidTr="00F90712">
        <w:trPr>
          <w:trHeight w:val="284"/>
        </w:trPr>
        <w:tc>
          <w:tcPr>
            <w:tcW w:w="3673" w:type="dxa"/>
            <w:tcBorders>
              <w:top w:val="nil"/>
              <w:left w:val="single" w:sz="4" w:space="0" w:color="auto"/>
              <w:bottom w:val="nil"/>
              <w:right w:val="nil"/>
            </w:tcBorders>
            <w:shd w:val="clear" w:color="auto" w:fill="auto"/>
            <w:vAlign w:val="bottom"/>
            <w:hideMark/>
          </w:tcPr>
          <w:p w:rsidR="00386517" w:rsidRPr="00146B78" w:rsidRDefault="00386517" w:rsidP="00F90712">
            <w:pPr>
              <w:spacing w:line="240" w:lineRule="auto"/>
              <w:rPr>
                <w:rFonts w:ascii="Calibri" w:eastAsia="Times New Roman" w:hAnsi="Calibri" w:cs="Times New Roman"/>
                <w:color w:val="000000"/>
                <w:sz w:val="24"/>
                <w:szCs w:val="24"/>
                <w:lang w:eastAsia="sv-SE"/>
              </w:rPr>
            </w:pPr>
            <w:r w:rsidRPr="00146B78">
              <w:rPr>
                <w:rFonts w:ascii="Calibri" w:eastAsia="Times New Roman" w:hAnsi="Calibri" w:cs="Times New Roman"/>
                <w:color w:val="000000"/>
                <w:sz w:val="24"/>
                <w:szCs w:val="24"/>
                <w:lang w:eastAsia="sv-SE"/>
              </w:rPr>
              <w:t>Summa Intäkter</w:t>
            </w:r>
          </w:p>
        </w:tc>
        <w:tc>
          <w:tcPr>
            <w:tcW w:w="847" w:type="dxa"/>
            <w:tcBorders>
              <w:top w:val="nil"/>
              <w:left w:val="nil"/>
              <w:bottom w:val="nil"/>
              <w:right w:val="nil"/>
            </w:tcBorders>
            <w:shd w:val="clear" w:color="auto" w:fill="auto"/>
            <w:vAlign w:val="bottom"/>
            <w:hideMark/>
          </w:tcPr>
          <w:p w:rsidR="00386517" w:rsidRPr="00146B78" w:rsidRDefault="00386517" w:rsidP="00F90712">
            <w:pPr>
              <w:spacing w:line="240" w:lineRule="auto"/>
              <w:jc w:val="right"/>
              <w:rPr>
                <w:rFonts w:ascii="Calibri" w:eastAsia="Times New Roman" w:hAnsi="Calibri" w:cs="Times New Roman"/>
                <w:color w:val="000000"/>
                <w:sz w:val="24"/>
                <w:szCs w:val="24"/>
                <w:lang w:eastAsia="sv-SE"/>
              </w:rPr>
            </w:pPr>
            <w:r w:rsidRPr="00146B78">
              <w:rPr>
                <w:rFonts w:ascii="Calibri" w:eastAsia="Times New Roman" w:hAnsi="Calibri" w:cs="Times New Roman"/>
                <w:color w:val="000000"/>
                <w:sz w:val="24"/>
                <w:szCs w:val="24"/>
                <w:lang w:eastAsia="sv-SE"/>
              </w:rPr>
              <w:t>2 138</w:t>
            </w:r>
          </w:p>
        </w:tc>
        <w:tc>
          <w:tcPr>
            <w:tcW w:w="965" w:type="dxa"/>
            <w:tcBorders>
              <w:top w:val="nil"/>
              <w:left w:val="nil"/>
              <w:bottom w:val="nil"/>
              <w:right w:val="nil"/>
            </w:tcBorders>
            <w:shd w:val="clear" w:color="auto" w:fill="auto"/>
            <w:vAlign w:val="bottom"/>
            <w:hideMark/>
          </w:tcPr>
          <w:p w:rsidR="00386517" w:rsidRPr="00146B78" w:rsidRDefault="00386517" w:rsidP="00F90712">
            <w:pPr>
              <w:spacing w:line="240" w:lineRule="auto"/>
              <w:jc w:val="right"/>
              <w:rPr>
                <w:rFonts w:ascii="Calibri" w:eastAsia="Times New Roman" w:hAnsi="Calibri" w:cs="Times New Roman"/>
                <w:color w:val="000000"/>
                <w:sz w:val="24"/>
                <w:szCs w:val="24"/>
                <w:lang w:eastAsia="sv-SE"/>
              </w:rPr>
            </w:pPr>
            <w:r w:rsidRPr="00146B78">
              <w:rPr>
                <w:rFonts w:ascii="Calibri" w:eastAsia="Times New Roman" w:hAnsi="Calibri" w:cs="Times New Roman"/>
                <w:color w:val="000000"/>
                <w:sz w:val="24"/>
                <w:szCs w:val="24"/>
                <w:lang w:eastAsia="sv-SE"/>
              </w:rPr>
              <w:t>1 993</w:t>
            </w:r>
          </w:p>
        </w:tc>
        <w:tc>
          <w:tcPr>
            <w:tcW w:w="1092" w:type="dxa"/>
            <w:tcBorders>
              <w:top w:val="nil"/>
              <w:left w:val="nil"/>
              <w:bottom w:val="nil"/>
              <w:right w:val="nil"/>
            </w:tcBorders>
            <w:shd w:val="clear" w:color="auto" w:fill="auto"/>
            <w:vAlign w:val="bottom"/>
            <w:hideMark/>
          </w:tcPr>
          <w:p w:rsidR="00386517" w:rsidRPr="00146B78" w:rsidRDefault="00386517" w:rsidP="00F90712">
            <w:pPr>
              <w:spacing w:line="240" w:lineRule="auto"/>
              <w:jc w:val="right"/>
              <w:rPr>
                <w:rFonts w:ascii="Calibri" w:eastAsia="Times New Roman" w:hAnsi="Calibri" w:cs="Times New Roman"/>
                <w:color w:val="000000"/>
                <w:sz w:val="24"/>
                <w:szCs w:val="24"/>
                <w:lang w:eastAsia="sv-SE"/>
              </w:rPr>
            </w:pPr>
            <w:r w:rsidRPr="00146B78">
              <w:rPr>
                <w:rFonts w:ascii="Calibri" w:eastAsia="Times New Roman" w:hAnsi="Calibri" w:cs="Times New Roman"/>
                <w:color w:val="000000"/>
                <w:sz w:val="24"/>
                <w:szCs w:val="24"/>
                <w:lang w:eastAsia="sv-SE"/>
              </w:rPr>
              <w:t>145</w:t>
            </w:r>
          </w:p>
        </w:tc>
        <w:tc>
          <w:tcPr>
            <w:tcW w:w="830" w:type="dxa"/>
            <w:tcBorders>
              <w:top w:val="nil"/>
              <w:left w:val="nil"/>
              <w:bottom w:val="nil"/>
              <w:right w:val="single" w:sz="4" w:space="0" w:color="auto"/>
            </w:tcBorders>
            <w:shd w:val="clear" w:color="auto" w:fill="auto"/>
            <w:vAlign w:val="bottom"/>
            <w:hideMark/>
          </w:tcPr>
          <w:p w:rsidR="00386517" w:rsidRPr="00146B78" w:rsidRDefault="00386517" w:rsidP="00F90712">
            <w:pPr>
              <w:spacing w:line="240" w:lineRule="auto"/>
              <w:jc w:val="right"/>
              <w:rPr>
                <w:rFonts w:ascii="Calibri" w:eastAsia="Times New Roman" w:hAnsi="Calibri" w:cs="Times New Roman"/>
                <w:color w:val="000000"/>
                <w:sz w:val="24"/>
                <w:szCs w:val="24"/>
                <w:lang w:eastAsia="sv-SE"/>
              </w:rPr>
            </w:pPr>
            <w:r w:rsidRPr="00146B78">
              <w:rPr>
                <w:rFonts w:ascii="Calibri" w:eastAsia="Times New Roman" w:hAnsi="Calibri" w:cs="Times New Roman"/>
                <w:color w:val="000000"/>
                <w:sz w:val="24"/>
                <w:szCs w:val="24"/>
                <w:lang w:eastAsia="sv-SE"/>
              </w:rPr>
              <w:t>2 407</w:t>
            </w:r>
          </w:p>
        </w:tc>
      </w:tr>
      <w:tr w:rsidR="00386517" w:rsidRPr="00146B78" w:rsidTr="00F90712">
        <w:trPr>
          <w:trHeight w:val="284"/>
        </w:trPr>
        <w:tc>
          <w:tcPr>
            <w:tcW w:w="3673" w:type="dxa"/>
            <w:tcBorders>
              <w:top w:val="nil"/>
              <w:left w:val="single" w:sz="4" w:space="0" w:color="auto"/>
              <w:bottom w:val="nil"/>
              <w:right w:val="nil"/>
            </w:tcBorders>
            <w:shd w:val="clear" w:color="auto" w:fill="auto"/>
            <w:vAlign w:val="bottom"/>
            <w:hideMark/>
          </w:tcPr>
          <w:p w:rsidR="00386517" w:rsidRPr="00146B78" w:rsidRDefault="00386517" w:rsidP="00F90712">
            <w:pPr>
              <w:spacing w:line="240" w:lineRule="auto"/>
              <w:rPr>
                <w:rFonts w:ascii="Calibri" w:eastAsia="Times New Roman" w:hAnsi="Calibri" w:cs="Times New Roman"/>
                <w:color w:val="000000"/>
                <w:sz w:val="24"/>
                <w:szCs w:val="24"/>
                <w:lang w:eastAsia="sv-SE"/>
              </w:rPr>
            </w:pPr>
            <w:r w:rsidRPr="00146B78">
              <w:rPr>
                <w:rFonts w:ascii="Calibri" w:eastAsia="Times New Roman" w:hAnsi="Calibri" w:cs="Times New Roman"/>
                <w:color w:val="000000"/>
                <w:sz w:val="24"/>
                <w:szCs w:val="24"/>
                <w:lang w:eastAsia="sv-SE"/>
              </w:rPr>
              <w:t>Summa Kostnader</w:t>
            </w:r>
          </w:p>
        </w:tc>
        <w:tc>
          <w:tcPr>
            <w:tcW w:w="847" w:type="dxa"/>
            <w:tcBorders>
              <w:top w:val="nil"/>
              <w:left w:val="nil"/>
              <w:bottom w:val="nil"/>
              <w:right w:val="nil"/>
            </w:tcBorders>
            <w:shd w:val="clear" w:color="auto" w:fill="auto"/>
            <w:vAlign w:val="bottom"/>
            <w:hideMark/>
          </w:tcPr>
          <w:p w:rsidR="00386517" w:rsidRPr="00146B78" w:rsidRDefault="00386517" w:rsidP="00F90712">
            <w:pPr>
              <w:spacing w:line="240" w:lineRule="auto"/>
              <w:jc w:val="right"/>
              <w:rPr>
                <w:rFonts w:ascii="Calibri" w:eastAsia="Times New Roman" w:hAnsi="Calibri" w:cs="Times New Roman"/>
                <w:color w:val="000000"/>
                <w:sz w:val="24"/>
                <w:szCs w:val="24"/>
                <w:lang w:eastAsia="sv-SE"/>
              </w:rPr>
            </w:pPr>
            <w:proofErr w:type="gramStart"/>
            <w:r w:rsidRPr="00146B78">
              <w:rPr>
                <w:rFonts w:ascii="Calibri" w:eastAsia="Times New Roman" w:hAnsi="Calibri" w:cs="Times New Roman"/>
                <w:color w:val="000000"/>
                <w:sz w:val="24"/>
                <w:szCs w:val="24"/>
                <w:lang w:eastAsia="sv-SE"/>
              </w:rPr>
              <w:t>-</w:t>
            </w:r>
            <w:proofErr w:type="gramEnd"/>
            <w:r w:rsidRPr="00146B78">
              <w:rPr>
                <w:rFonts w:ascii="Calibri" w:eastAsia="Times New Roman" w:hAnsi="Calibri" w:cs="Times New Roman"/>
                <w:color w:val="000000"/>
                <w:sz w:val="24"/>
                <w:szCs w:val="24"/>
                <w:lang w:eastAsia="sv-SE"/>
              </w:rPr>
              <w:t>9 975</w:t>
            </w:r>
          </w:p>
        </w:tc>
        <w:tc>
          <w:tcPr>
            <w:tcW w:w="965" w:type="dxa"/>
            <w:tcBorders>
              <w:top w:val="nil"/>
              <w:left w:val="nil"/>
              <w:bottom w:val="nil"/>
              <w:right w:val="nil"/>
            </w:tcBorders>
            <w:shd w:val="clear" w:color="auto" w:fill="auto"/>
            <w:vAlign w:val="bottom"/>
            <w:hideMark/>
          </w:tcPr>
          <w:p w:rsidR="00386517" w:rsidRPr="00146B78" w:rsidRDefault="00386517" w:rsidP="00F90712">
            <w:pPr>
              <w:spacing w:line="240" w:lineRule="auto"/>
              <w:jc w:val="right"/>
              <w:rPr>
                <w:rFonts w:ascii="Calibri" w:eastAsia="Times New Roman" w:hAnsi="Calibri" w:cs="Times New Roman"/>
                <w:color w:val="000000"/>
                <w:sz w:val="24"/>
                <w:szCs w:val="24"/>
                <w:lang w:eastAsia="sv-SE"/>
              </w:rPr>
            </w:pPr>
            <w:proofErr w:type="gramStart"/>
            <w:r w:rsidRPr="00146B78">
              <w:rPr>
                <w:rFonts w:ascii="Calibri" w:eastAsia="Times New Roman" w:hAnsi="Calibri" w:cs="Times New Roman"/>
                <w:color w:val="000000"/>
                <w:sz w:val="24"/>
                <w:szCs w:val="24"/>
                <w:lang w:eastAsia="sv-SE"/>
              </w:rPr>
              <w:t>-</w:t>
            </w:r>
            <w:proofErr w:type="gramEnd"/>
            <w:r w:rsidRPr="00146B78">
              <w:rPr>
                <w:rFonts w:ascii="Calibri" w:eastAsia="Times New Roman" w:hAnsi="Calibri" w:cs="Times New Roman"/>
                <w:color w:val="000000"/>
                <w:sz w:val="24"/>
                <w:szCs w:val="24"/>
                <w:lang w:eastAsia="sv-SE"/>
              </w:rPr>
              <w:t>10 028</w:t>
            </w:r>
          </w:p>
        </w:tc>
        <w:tc>
          <w:tcPr>
            <w:tcW w:w="1092" w:type="dxa"/>
            <w:tcBorders>
              <w:top w:val="nil"/>
              <w:left w:val="nil"/>
              <w:bottom w:val="nil"/>
              <w:right w:val="nil"/>
            </w:tcBorders>
            <w:shd w:val="clear" w:color="auto" w:fill="auto"/>
            <w:vAlign w:val="bottom"/>
            <w:hideMark/>
          </w:tcPr>
          <w:p w:rsidR="00386517" w:rsidRPr="00146B78" w:rsidRDefault="00386517" w:rsidP="00F90712">
            <w:pPr>
              <w:spacing w:line="240" w:lineRule="auto"/>
              <w:jc w:val="right"/>
              <w:rPr>
                <w:rFonts w:ascii="Calibri" w:eastAsia="Times New Roman" w:hAnsi="Calibri" w:cs="Times New Roman"/>
                <w:color w:val="000000"/>
                <w:sz w:val="24"/>
                <w:szCs w:val="24"/>
                <w:lang w:eastAsia="sv-SE"/>
              </w:rPr>
            </w:pPr>
            <w:r w:rsidRPr="00146B78">
              <w:rPr>
                <w:rFonts w:ascii="Calibri" w:eastAsia="Times New Roman" w:hAnsi="Calibri" w:cs="Times New Roman"/>
                <w:color w:val="000000"/>
                <w:sz w:val="24"/>
                <w:szCs w:val="24"/>
                <w:lang w:eastAsia="sv-SE"/>
              </w:rPr>
              <w:t>53</w:t>
            </w:r>
          </w:p>
        </w:tc>
        <w:tc>
          <w:tcPr>
            <w:tcW w:w="830" w:type="dxa"/>
            <w:tcBorders>
              <w:top w:val="nil"/>
              <w:left w:val="nil"/>
              <w:bottom w:val="nil"/>
              <w:right w:val="single" w:sz="4" w:space="0" w:color="auto"/>
            </w:tcBorders>
            <w:shd w:val="clear" w:color="auto" w:fill="auto"/>
            <w:vAlign w:val="bottom"/>
            <w:hideMark/>
          </w:tcPr>
          <w:p w:rsidR="00386517" w:rsidRPr="00146B78" w:rsidRDefault="00386517" w:rsidP="00F90712">
            <w:pPr>
              <w:spacing w:line="240" w:lineRule="auto"/>
              <w:jc w:val="right"/>
              <w:rPr>
                <w:rFonts w:ascii="Calibri" w:eastAsia="Times New Roman" w:hAnsi="Calibri" w:cs="Times New Roman"/>
                <w:color w:val="000000"/>
                <w:sz w:val="24"/>
                <w:szCs w:val="24"/>
                <w:lang w:eastAsia="sv-SE"/>
              </w:rPr>
            </w:pPr>
            <w:proofErr w:type="gramStart"/>
            <w:r w:rsidRPr="00146B78">
              <w:rPr>
                <w:rFonts w:ascii="Calibri" w:eastAsia="Times New Roman" w:hAnsi="Calibri" w:cs="Times New Roman"/>
                <w:color w:val="000000"/>
                <w:sz w:val="24"/>
                <w:szCs w:val="24"/>
                <w:lang w:eastAsia="sv-SE"/>
              </w:rPr>
              <w:t>-</w:t>
            </w:r>
            <w:proofErr w:type="gramEnd"/>
            <w:r w:rsidRPr="00146B78">
              <w:rPr>
                <w:rFonts w:ascii="Calibri" w:eastAsia="Times New Roman" w:hAnsi="Calibri" w:cs="Times New Roman"/>
                <w:color w:val="000000"/>
                <w:sz w:val="24"/>
                <w:szCs w:val="24"/>
                <w:lang w:eastAsia="sv-SE"/>
              </w:rPr>
              <w:t>9 925</w:t>
            </w:r>
          </w:p>
        </w:tc>
      </w:tr>
      <w:tr w:rsidR="00386517" w:rsidRPr="00146B78" w:rsidTr="00F90712">
        <w:trPr>
          <w:trHeight w:val="296"/>
        </w:trPr>
        <w:tc>
          <w:tcPr>
            <w:tcW w:w="3673" w:type="dxa"/>
            <w:tcBorders>
              <w:top w:val="nil"/>
              <w:left w:val="single" w:sz="4" w:space="0" w:color="auto"/>
              <w:bottom w:val="nil"/>
              <w:right w:val="nil"/>
            </w:tcBorders>
            <w:shd w:val="clear" w:color="auto" w:fill="auto"/>
            <w:vAlign w:val="bottom"/>
            <w:hideMark/>
          </w:tcPr>
          <w:p w:rsidR="00386517" w:rsidRPr="00146B78" w:rsidRDefault="00386517" w:rsidP="00F90712">
            <w:pPr>
              <w:spacing w:line="240" w:lineRule="auto"/>
              <w:rPr>
                <w:rFonts w:ascii="Calibri" w:eastAsia="Times New Roman" w:hAnsi="Calibri" w:cs="Times New Roman"/>
                <w:color w:val="000000"/>
                <w:sz w:val="24"/>
                <w:szCs w:val="24"/>
                <w:lang w:eastAsia="sv-SE"/>
              </w:rPr>
            </w:pPr>
            <w:r w:rsidRPr="00146B78">
              <w:rPr>
                <w:rFonts w:ascii="Calibri" w:eastAsia="Times New Roman" w:hAnsi="Calibri" w:cs="Times New Roman"/>
                <w:color w:val="000000"/>
                <w:sz w:val="24"/>
                <w:szCs w:val="24"/>
                <w:lang w:eastAsia="sv-SE"/>
              </w:rPr>
              <w:t>Avskrivningar</w:t>
            </w:r>
          </w:p>
        </w:tc>
        <w:tc>
          <w:tcPr>
            <w:tcW w:w="847" w:type="dxa"/>
            <w:tcBorders>
              <w:top w:val="nil"/>
              <w:left w:val="nil"/>
              <w:bottom w:val="nil"/>
              <w:right w:val="nil"/>
            </w:tcBorders>
            <w:shd w:val="clear" w:color="auto" w:fill="auto"/>
            <w:vAlign w:val="bottom"/>
            <w:hideMark/>
          </w:tcPr>
          <w:p w:rsidR="00386517" w:rsidRPr="00146B78" w:rsidRDefault="00386517" w:rsidP="00F90712">
            <w:pPr>
              <w:spacing w:line="240" w:lineRule="auto"/>
              <w:jc w:val="right"/>
              <w:rPr>
                <w:rFonts w:ascii="Calibri" w:eastAsia="Times New Roman" w:hAnsi="Calibri" w:cs="Times New Roman"/>
                <w:color w:val="000000"/>
                <w:sz w:val="24"/>
                <w:szCs w:val="24"/>
                <w:lang w:eastAsia="sv-SE"/>
              </w:rPr>
            </w:pPr>
            <w:proofErr w:type="gramStart"/>
            <w:r w:rsidRPr="00146B78">
              <w:rPr>
                <w:rFonts w:ascii="Calibri" w:eastAsia="Times New Roman" w:hAnsi="Calibri" w:cs="Times New Roman"/>
                <w:color w:val="000000"/>
                <w:sz w:val="24"/>
                <w:szCs w:val="24"/>
                <w:lang w:eastAsia="sv-SE"/>
              </w:rPr>
              <w:t>-</w:t>
            </w:r>
            <w:proofErr w:type="gramEnd"/>
            <w:r w:rsidRPr="00146B78">
              <w:rPr>
                <w:rFonts w:ascii="Calibri" w:eastAsia="Times New Roman" w:hAnsi="Calibri" w:cs="Times New Roman"/>
                <w:color w:val="000000"/>
                <w:sz w:val="24"/>
                <w:szCs w:val="24"/>
                <w:lang w:eastAsia="sv-SE"/>
              </w:rPr>
              <w:t>318</w:t>
            </w:r>
          </w:p>
        </w:tc>
        <w:tc>
          <w:tcPr>
            <w:tcW w:w="965" w:type="dxa"/>
            <w:tcBorders>
              <w:top w:val="nil"/>
              <w:left w:val="nil"/>
              <w:bottom w:val="nil"/>
              <w:right w:val="nil"/>
            </w:tcBorders>
            <w:shd w:val="clear" w:color="auto" w:fill="auto"/>
            <w:vAlign w:val="bottom"/>
            <w:hideMark/>
          </w:tcPr>
          <w:p w:rsidR="00386517" w:rsidRPr="00146B78" w:rsidRDefault="00386517" w:rsidP="00F90712">
            <w:pPr>
              <w:spacing w:line="240" w:lineRule="auto"/>
              <w:jc w:val="right"/>
              <w:rPr>
                <w:rFonts w:ascii="Calibri" w:eastAsia="Times New Roman" w:hAnsi="Calibri" w:cs="Times New Roman"/>
                <w:color w:val="000000"/>
                <w:sz w:val="24"/>
                <w:szCs w:val="24"/>
                <w:lang w:eastAsia="sv-SE"/>
              </w:rPr>
            </w:pPr>
            <w:proofErr w:type="gramStart"/>
            <w:r w:rsidRPr="00146B78">
              <w:rPr>
                <w:rFonts w:ascii="Calibri" w:eastAsia="Times New Roman" w:hAnsi="Calibri" w:cs="Times New Roman"/>
                <w:color w:val="000000"/>
                <w:sz w:val="24"/>
                <w:szCs w:val="24"/>
                <w:lang w:eastAsia="sv-SE"/>
              </w:rPr>
              <w:t>-</w:t>
            </w:r>
            <w:proofErr w:type="gramEnd"/>
            <w:r w:rsidRPr="00146B78">
              <w:rPr>
                <w:rFonts w:ascii="Calibri" w:eastAsia="Times New Roman" w:hAnsi="Calibri" w:cs="Times New Roman"/>
                <w:color w:val="000000"/>
                <w:sz w:val="24"/>
                <w:szCs w:val="24"/>
                <w:lang w:eastAsia="sv-SE"/>
              </w:rPr>
              <w:t>298</w:t>
            </w:r>
          </w:p>
        </w:tc>
        <w:tc>
          <w:tcPr>
            <w:tcW w:w="1092" w:type="dxa"/>
            <w:tcBorders>
              <w:top w:val="nil"/>
              <w:left w:val="nil"/>
              <w:bottom w:val="nil"/>
              <w:right w:val="nil"/>
            </w:tcBorders>
            <w:shd w:val="clear" w:color="auto" w:fill="auto"/>
            <w:vAlign w:val="bottom"/>
            <w:hideMark/>
          </w:tcPr>
          <w:p w:rsidR="00386517" w:rsidRPr="00146B78" w:rsidRDefault="00386517" w:rsidP="00F90712">
            <w:pPr>
              <w:spacing w:line="240" w:lineRule="auto"/>
              <w:jc w:val="right"/>
              <w:rPr>
                <w:rFonts w:ascii="Calibri" w:eastAsia="Times New Roman" w:hAnsi="Calibri" w:cs="Times New Roman"/>
                <w:color w:val="000000"/>
                <w:sz w:val="24"/>
                <w:szCs w:val="24"/>
                <w:lang w:eastAsia="sv-SE"/>
              </w:rPr>
            </w:pPr>
            <w:proofErr w:type="gramStart"/>
            <w:r w:rsidRPr="00146B78">
              <w:rPr>
                <w:rFonts w:ascii="Calibri" w:eastAsia="Times New Roman" w:hAnsi="Calibri" w:cs="Times New Roman"/>
                <w:color w:val="000000"/>
                <w:sz w:val="24"/>
                <w:szCs w:val="24"/>
                <w:lang w:eastAsia="sv-SE"/>
              </w:rPr>
              <w:t>-</w:t>
            </w:r>
            <w:proofErr w:type="gramEnd"/>
            <w:r w:rsidRPr="00146B78">
              <w:rPr>
                <w:rFonts w:ascii="Calibri" w:eastAsia="Times New Roman" w:hAnsi="Calibri" w:cs="Times New Roman"/>
                <w:color w:val="000000"/>
                <w:sz w:val="24"/>
                <w:szCs w:val="24"/>
                <w:lang w:eastAsia="sv-SE"/>
              </w:rPr>
              <w:t>21</w:t>
            </w:r>
          </w:p>
        </w:tc>
        <w:tc>
          <w:tcPr>
            <w:tcW w:w="830" w:type="dxa"/>
            <w:tcBorders>
              <w:top w:val="nil"/>
              <w:left w:val="nil"/>
              <w:bottom w:val="nil"/>
              <w:right w:val="single" w:sz="4" w:space="0" w:color="auto"/>
            </w:tcBorders>
            <w:shd w:val="clear" w:color="auto" w:fill="auto"/>
            <w:vAlign w:val="bottom"/>
            <w:hideMark/>
          </w:tcPr>
          <w:p w:rsidR="00386517" w:rsidRPr="00146B78" w:rsidRDefault="00386517" w:rsidP="00F90712">
            <w:pPr>
              <w:spacing w:line="240" w:lineRule="auto"/>
              <w:jc w:val="right"/>
              <w:rPr>
                <w:rFonts w:ascii="Calibri" w:eastAsia="Times New Roman" w:hAnsi="Calibri" w:cs="Times New Roman"/>
                <w:color w:val="000000"/>
                <w:sz w:val="24"/>
                <w:szCs w:val="24"/>
                <w:lang w:eastAsia="sv-SE"/>
              </w:rPr>
            </w:pPr>
            <w:proofErr w:type="gramStart"/>
            <w:r w:rsidRPr="00146B78">
              <w:rPr>
                <w:rFonts w:ascii="Calibri" w:eastAsia="Times New Roman" w:hAnsi="Calibri" w:cs="Times New Roman"/>
                <w:color w:val="000000"/>
                <w:sz w:val="24"/>
                <w:szCs w:val="24"/>
                <w:lang w:eastAsia="sv-SE"/>
              </w:rPr>
              <w:t>-</w:t>
            </w:r>
            <w:proofErr w:type="gramEnd"/>
            <w:r w:rsidRPr="00146B78">
              <w:rPr>
                <w:rFonts w:ascii="Calibri" w:eastAsia="Times New Roman" w:hAnsi="Calibri" w:cs="Times New Roman"/>
                <w:color w:val="000000"/>
                <w:sz w:val="24"/>
                <w:szCs w:val="24"/>
                <w:lang w:eastAsia="sv-SE"/>
              </w:rPr>
              <w:t>268</w:t>
            </w:r>
          </w:p>
        </w:tc>
      </w:tr>
      <w:tr w:rsidR="00386517" w:rsidRPr="00146B78" w:rsidTr="00F90712">
        <w:trPr>
          <w:trHeight w:val="284"/>
        </w:trPr>
        <w:tc>
          <w:tcPr>
            <w:tcW w:w="3673" w:type="dxa"/>
            <w:tcBorders>
              <w:top w:val="nil"/>
              <w:left w:val="single" w:sz="4" w:space="0" w:color="auto"/>
              <w:bottom w:val="nil"/>
              <w:right w:val="nil"/>
            </w:tcBorders>
            <w:shd w:val="clear" w:color="auto" w:fill="auto"/>
            <w:vAlign w:val="bottom"/>
            <w:hideMark/>
          </w:tcPr>
          <w:p w:rsidR="00386517" w:rsidRPr="00146B78" w:rsidRDefault="00386517" w:rsidP="00F90712">
            <w:pPr>
              <w:spacing w:line="240" w:lineRule="auto"/>
              <w:rPr>
                <w:rFonts w:ascii="Calibri" w:eastAsia="Times New Roman" w:hAnsi="Calibri" w:cs="Times New Roman"/>
                <w:b/>
                <w:bCs/>
                <w:color w:val="000000"/>
                <w:sz w:val="24"/>
                <w:szCs w:val="24"/>
                <w:lang w:eastAsia="sv-SE"/>
              </w:rPr>
            </w:pPr>
            <w:r w:rsidRPr="00146B78">
              <w:rPr>
                <w:rFonts w:ascii="Calibri" w:eastAsia="Times New Roman" w:hAnsi="Calibri" w:cs="Times New Roman"/>
                <w:b/>
                <w:bCs/>
                <w:color w:val="000000"/>
                <w:sz w:val="24"/>
                <w:szCs w:val="24"/>
                <w:lang w:eastAsia="sv-SE"/>
              </w:rPr>
              <w:t>Verksamhetens nettokostnader</w:t>
            </w:r>
          </w:p>
        </w:tc>
        <w:tc>
          <w:tcPr>
            <w:tcW w:w="847" w:type="dxa"/>
            <w:tcBorders>
              <w:top w:val="nil"/>
              <w:left w:val="nil"/>
              <w:bottom w:val="nil"/>
              <w:right w:val="nil"/>
            </w:tcBorders>
            <w:shd w:val="clear" w:color="auto" w:fill="auto"/>
            <w:vAlign w:val="bottom"/>
            <w:hideMark/>
          </w:tcPr>
          <w:p w:rsidR="00386517" w:rsidRPr="00146B78" w:rsidRDefault="00386517" w:rsidP="00F90712">
            <w:pPr>
              <w:spacing w:line="240" w:lineRule="auto"/>
              <w:jc w:val="right"/>
              <w:rPr>
                <w:rFonts w:ascii="Calibri" w:eastAsia="Times New Roman" w:hAnsi="Calibri" w:cs="Times New Roman"/>
                <w:b/>
                <w:bCs/>
                <w:color w:val="000000"/>
                <w:sz w:val="24"/>
                <w:szCs w:val="24"/>
                <w:lang w:eastAsia="sv-SE"/>
              </w:rPr>
            </w:pPr>
            <w:proofErr w:type="gramStart"/>
            <w:r w:rsidRPr="00146B78">
              <w:rPr>
                <w:rFonts w:ascii="Calibri" w:eastAsia="Times New Roman" w:hAnsi="Calibri" w:cs="Times New Roman"/>
                <w:b/>
                <w:bCs/>
                <w:color w:val="000000"/>
                <w:sz w:val="24"/>
                <w:szCs w:val="24"/>
                <w:lang w:eastAsia="sv-SE"/>
              </w:rPr>
              <w:t>-</w:t>
            </w:r>
            <w:proofErr w:type="gramEnd"/>
            <w:r w:rsidRPr="00146B78">
              <w:rPr>
                <w:rFonts w:ascii="Calibri" w:eastAsia="Times New Roman" w:hAnsi="Calibri" w:cs="Times New Roman"/>
                <w:b/>
                <w:bCs/>
                <w:color w:val="000000"/>
                <w:sz w:val="24"/>
                <w:szCs w:val="24"/>
                <w:lang w:eastAsia="sv-SE"/>
              </w:rPr>
              <w:t>8 156</w:t>
            </w:r>
          </w:p>
        </w:tc>
        <w:tc>
          <w:tcPr>
            <w:tcW w:w="965" w:type="dxa"/>
            <w:tcBorders>
              <w:top w:val="nil"/>
              <w:left w:val="nil"/>
              <w:bottom w:val="nil"/>
              <w:right w:val="nil"/>
            </w:tcBorders>
            <w:shd w:val="clear" w:color="auto" w:fill="auto"/>
            <w:vAlign w:val="bottom"/>
            <w:hideMark/>
          </w:tcPr>
          <w:p w:rsidR="00386517" w:rsidRPr="00146B78" w:rsidRDefault="00386517" w:rsidP="00F90712">
            <w:pPr>
              <w:spacing w:line="240" w:lineRule="auto"/>
              <w:jc w:val="right"/>
              <w:rPr>
                <w:rFonts w:ascii="Calibri" w:eastAsia="Times New Roman" w:hAnsi="Calibri" w:cs="Times New Roman"/>
                <w:b/>
                <w:bCs/>
                <w:color w:val="000000"/>
                <w:sz w:val="24"/>
                <w:szCs w:val="24"/>
                <w:lang w:eastAsia="sv-SE"/>
              </w:rPr>
            </w:pPr>
            <w:proofErr w:type="gramStart"/>
            <w:r w:rsidRPr="00146B78">
              <w:rPr>
                <w:rFonts w:ascii="Calibri" w:eastAsia="Times New Roman" w:hAnsi="Calibri" w:cs="Times New Roman"/>
                <w:b/>
                <w:bCs/>
                <w:color w:val="000000"/>
                <w:sz w:val="24"/>
                <w:szCs w:val="24"/>
                <w:lang w:eastAsia="sv-SE"/>
              </w:rPr>
              <w:t>-</w:t>
            </w:r>
            <w:proofErr w:type="gramEnd"/>
            <w:r w:rsidRPr="00146B78">
              <w:rPr>
                <w:rFonts w:ascii="Calibri" w:eastAsia="Times New Roman" w:hAnsi="Calibri" w:cs="Times New Roman"/>
                <w:b/>
                <w:bCs/>
                <w:color w:val="000000"/>
                <w:sz w:val="24"/>
                <w:szCs w:val="24"/>
                <w:lang w:eastAsia="sv-SE"/>
              </w:rPr>
              <w:t>8 333</w:t>
            </w:r>
          </w:p>
        </w:tc>
        <w:tc>
          <w:tcPr>
            <w:tcW w:w="1092" w:type="dxa"/>
            <w:tcBorders>
              <w:top w:val="nil"/>
              <w:left w:val="nil"/>
              <w:bottom w:val="nil"/>
              <w:right w:val="nil"/>
            </w:tcBorders>
            <w:shd w:val="clear" w:color="auto" w:fill="auto"/>
            <w:vAlign w:val="bottom"/>
            <w:hideMark/>
          </w:tcPr>
          <w:p w:rsidR="00386517" w:rsidRPr="00146B78" w:rsidRDefault="00386517" w:rsidP="00F90712">
            <w:pPr>
              <w:spacing w:line="240" w:lineRule="auto"/>
              <w:jc w:val="right"/>
              <w:rPr>
                <w:rFonts w:ascii="Calibri" w:eastAsia="Times New Roman" w:hAnsi="Calibri" w:cs="Times New Roman"/>
                <w:b/>
                <w:bCs/>
                <w:color w:val="000000"/>
                <w:sz w:val="24"/>
                <w:szCs w:val="24"/>
                <w:lang w:eastAsia="sv-SE"/>
              </w:rPr>
            </w:pPr>
            <w:r w:rsidRPr="00146B78">
              <w:rPr>
                <w:rFonts w:ascii="Calibri" w:eastAsia="Times New Roman" w:hAnsi="Calibri" w:cs="Times New Roman"/>
                <w:b/>
                <w:bCs/>
                <w:color w:val="000000"/>
                <w:sz w:val="24"/>
                <w:szCs w:val="24"/>
                <w:lang w:eastAsia="sv-SE"/>
              </w:rPr>
              <w:t>177</w:t>
            </w:r>
          </w:p>
        </w:tc>
        <w:tc>
          <w:tcPr>
            <w:tcW w:w="830" w:type="dxa"/>
            <w:tcBorders>
              <w:top w:val="nil"/>
              <w:left w:val="nil"/>
              <w:bottom w:val="nil"/>
              <w:right w:val="single" w:sz="4" w:space="0" w:color="auto"/>
            </w:tcBorders>
            <w:shd w:val="clear" w:color="auto" w:fill="auto"/>
            <w:vAlign w:val="bottom"/>
            <w:hideMark/>
          </w:tcPr>
          <w:p w:rsidR="00386517" w:rsidRPr="00146B78" w:rsidRDefault="00386517" w:rsidP="00F90712">
            <w:pPr>
              <w:spacing w:line="240" w:lineRule="auto"/>
              <w:jc w:val="right"/>
              <w:rPr>
                <w:rFonts w:ascii="Calibri" w:eastAsia="Times New Roman" w:hAnsi="Calibri" w:cs="Times New Roman"/>
                <w:b/>
                <w:bCs/>
                <w:color w:val="000000"/>
                <w:sz w:val="24"/>
                <w:szCs w:val="24"/>
                <w:lang w:eastAsia="sv-SE"/>
              </w:rPr>
            </w:pPr>
            <w:proofErr w:type="gramStart"/>
            <w:r w:rsidRPr="00146B78">
              <w:rPr>
                <w:rFonts w:ascii="Calibri" w:eastAsia="Times New Roman" w:hAnsi="Calibri" w:cs="Times New Roman"/>
                <w:b/>
                <w:bCs/>
                <w:color w:val="000000"/>
                <w:sz w:val="24"/>
                <w:szCs w:val="24"/>
                <w:lang w:eastAsia="sv-SE"/>
              </w:rPr>
              <w:t>-</w:t>
            </w:r>
            <w:proofErr w:type="gramEnd"/>
            <w:r w:rsidRPr="00146B78">
              <w:rPr>
                <w:rFonts w:ascii="Calibri" w:eastAsia="Times New Roman" w:hAnsi="Calibri" w:cs="Times New Roman"/>
                <w:b/>
                <w:bCs/>
                <w:color w:val="000000"/>
                <w:sz w:val="24"/>
                <w:szCs w:val="24"/>
                <w:lang w:eastAsia="sv-SE"/>
              </w:rPr>
              <w:t>7 786</w:t>
            </w:r>
          </w:p>
        </w:tc>
      </w:tr>
      <w:tr w:rsidR="00386517" w:rsidRPr="00146B78" w:rsidTr="00F90712">
        <w:trPr>
          <w:trHeight w:val="175"/>
        </w:trPr>
        <w:tc>
          <w:tcPr>
            <w:tcW w:w="3673" w:type="dxa"/>
            <w:tcBorders>
              <w:top w:val="nil"/>
              <w:left w:val="single" w:sz="4" w:space="0" w:color="auto"/>
              <w:bottom w:val="nil"/>
              <w:right w:val="nil"/>
            </w:tcBorders>
            <w:shd w:val="clear" w:color="auto" w:fill="auto"/>
            <w:vAlign w:val="bottom"/>
            <w:hideMark/>
          </w:tcPr>
          <w:p w:rsidR="00386517" w:rsidRPr="00146B78" w:rsidRDefault="00386517" w:rsidP="00F90712">
            <w:pPr>
              <w:spacing w:line="240" w:lineRule="auto"/>
              <w:rPr>
                <w:rFonts w:ascii="Calibri" w:eastAsia="Times New Roman" w:hAnsi="Calibri" w:cs="Times New Roman"/>
                <w:color w:val="000000"/>
                <w:sz w:val="24"/>
                <w:szCs w:val="24"/>
                <w:lang w:eastAsia="sv-SE"/>
              </w:rPr>
            </w:pPr>
            <w:r w:rsidRPr="00146B78">
              <w:rPr>
                <w:rFonts w:ascii="Calibri" w:eastAsia="Times New Roman" w:hAnsi="Calibri" w:cs="Times New Roman"/>
                <w:color w:val="000000"/>
                <w:sz w:val="24"/>
                <w:szCs w:val="24"/>
                <w:lang w:eastAsia="sv-SE"/>
              </w:rPr>
              <w:t> </w:t>
            </w:r>
          </w:p>
        </w:tc>
        <w:tc>
          <w:tcPr>
            <w:tcW w:w="847" w:type="dxa"/>
            <w:tcBorders>
              <w:top w:val="nil"/>
              <w:left w:val="nil"/>
              <w:bottom w:val="nil"/>
              <w:right w:val="nil"/>
            </w:tcBorders>
            <w:shd w:val="clear" w:color="auto" w:fill="auto"/>
            <w:vAlign w:val="bottom"/>
            <w:hideMark/>
          </w:tcPr>
          <w:p w:rsidR="00386517" w:rsidRPr="00146B78" w:rsidRDefault="00386517" w:rsidP="00F90712">
            <w:pPr>
              <w:spacing w:line="240" w:lineRule="auto"/>
              <w:rPr>
                <w:rFonts w:ascii="Calibri" w:eastAsia="Times New Roman" w:hAnsi="Calibri" w:cs="Times New Roman"/>
                <w:color w:val="000000"/>
                <w:sz w:val="24"/>
                <w:szCs w:val="24"/>
                <w:lang w:eastAsia="sv-SE"/>
              </w:rPr>
            </w:pPr>
          </w:p>
        </w:tc>
        <w:tc>
          <w:tcPr>
            <w:tcW w:w="965" w:type="dxa"/>
            <w:tcBorders>
              <w:top w:val="nil"/>
              <w:left w:val="nil"/>
              <w:bottom w:val="nil"/>
              <w:right w:val="nil"/>
            </w:tcBorders>
            <w:shd w:val="clear" w:color="auto" w:fill="auto"/>
            <w:vAlign w:val="bottom"/>
            <w:hideMark/>
          </w:tcPr>
          <w:p w:rsidR="00386517" w:rsidRPr="00146B78" w:rsidRDefault="00386517" w:rsidP="00F90712">
            <w:pPr>
              <w:spacing w:line="240" w:lineRule="auto"/>
              <w:rPr>
                <w:rFonts w:ascii="Calibri" w:eastAsia="Times New Roman" w:hAnsi="Calibri" w:cs="Times New Roman"/>
                <w:color w:val="000000"/>
                <w:sz w:val="24"/>
                <w:szCs w:val="24"/>
                <w:lang w:eastAsia="sv-SE"/>
              </w:rPr>
            </w:pPr>
          </w:p>
        </w:tc>
        <w:tc>
          <w:tcPr>
            <w:tcW w:w="1092" w:type="dxa"/>
            <w:tcBorders>
              <w:top w:val="nil"/>
              <w:left w:val="nil"/>
              <w:bottom w:val="nil"/>
              <w:right w:val="nil"/>
            </w:tcBorders>
            <w:shd w:val="clear" w:color="auto" w:fill="auto"/>
            <w:vAlign w:val="bottom"/>
            <w:hideMark/>
          </w:tcPr>
          <w:p w:rsidR="00386517" w:rsidRPr="00146B78" w:rsidRDefault="00386517" w:rsidP="00F90712">
            <w:pPr>
              <w:spacing w:line="240" w:lineRule="auto"/>
              <w:rPr>
                <w:rFonts w:ascii="Calibri" w:eastAsia="Times New Roman" w:hAnsi="Calibri" w:cs="Times New Roman"/>
                <w:color w:val="000000"/>
                <w:sz w:val="24"/>
                <w:szCs w:val="24"/>
                <w:lang w:eastAsia="sv-SE"/>
              </w:rPr>
            </w:pPr>
          </w:p>
        </w:tc>
        <w:tc>
          <w:tcPr>
            <w:tcW w:w="830" w:type="dxa"/>
            <w:tcBorders>
              <w:top w:val="nil"/>
              <w:left w:val="nil"/>
              <w:bottom w:val="nil"/>
              <w:right w:val="single" w:sz="4" w:space="0" w:color="auto"/>
            </w:tcBorders>
            <w:shd w:val="clear" w:color="auto" w:fill="auto"/>
            <w:vAlign w:val="bottom"/>
            <w:hideMark/>
          </w:tcPr>
          <w:p w:rsidR="00386517" w:rsidRPr="00146B78" w:rsidRDefault="00386517" w:rsidP="00F90712">
            <w:pPr>
              <w:spacing w:line="240" w:lineRule="auto"/>
              <w:rPr>
                <w:rFonts w:ascii="Calibri" w:eastAsia="Times New Roman" w:hAnsi="Calibri" w:cs="Times New Roman"/>
                <w:color w:val="000000"/>
                <w:sz w:val="24"/>
                <w:szCs w:val="24"/>
                <w:lang w:eastAsia="sv-SE"/>
              </w:rPr>
            </w:pPr>
            <w:r w:rsidRPr="00146B78">
              <w:rPr>
                <w:rFonts w:ascii="Calibri" w:eastAsia="Times New Roman" w:hAnsi="Calibri" w:cs="Times New Roman"/>
                <w:color w:val="000000"/>
                <w:sz w:val="24"/>
                <w:szCs w:val="24"/>
                <w:lang w:eastAsia="sv-SE"/>
              </w:rPr>
              <w:t> </w:t>
            </w:r>
          </w:p>
        </w:tc>
      </w:tr>
      <w:tr w:rsidR="00386517" w:rsidRPr="00146B78" w:rsidTr="00F90712">
        <w:trPr>
          <w:trHeight w:val="284"/>
        </w:trPr>
        <w:tc>
          <w:tcPr>
            <w:tcW w:w="3673" w:type="dxa"/>
            <w:tcBorders>
              <w:top w:val="nil"/>
              <w:left w:val="single" w:sz="4" w:space="0" w:color="auto"/>
              <w:bottom w:val="nil"/>
              <w:right w:val="nil"/>
            </w:tcBorders>
            <w:shd w:val="clear" w:color="auto" w:fill="auto"/>
            <w:vAlign w:val="bottom"/>
            <w:hideMark/>
          </w:tcPr>
          <w:p w:rsidR="00386517" w:rsidRPr="00146B78" w:rsidRDefault="00386517" w:rsidP="00F90712">
            <w:pPr>
              <w:spacing w:line="240" w:lineRule="auto"/>
              <w:rPr>
                <w:rFonts w:ascii="Calibri" w:eastAsia="Times New Roman" w:hAnsi="Calibri" w:cs="Times New Roman"/>
                <w:color w:val="000000"/>
                <w:sz w:val="24"/>
                <w:szCs w:val="24"/>
                <w:lang w:eastAsia="sv-SE"/>
              </w:rPr>
            </w:pPr>
            <w:r w:rsidRPr="00146B78">
              <w:rPr>
                <w:rFonts w:ascii="Calibri" w:eastAsia="Times New Roman" w:hAnsi="Calibri" w:cs="Times New Roman"/>
                <w:color w:val="000000"/>
                <w:sz w:val="24"/>
                <w:szCs w:val="24"/>
                <w:lang w:eastAsia="sv-SE"/>
              </w:rPr>
              <w:t>Skatteintäkter</w:t>
            </w:r>
          </w:p>
        </w:tc>
        <w:tc>
          <w:tcPr>
            <w:tcW w:w="847" w:type="dxa"/>
            <w:tcBorders>
              <w:top w:val="nil"/>
              <w:left w:val="nil"/>
              <w:bottom w:val="nil"/>
              <w:right w:val="nil"/>
            </w:tcBorders>
            <w:shd w:val="clear" w:color="auto" w:fill="auto"/>
            <w:vAlign w:val="bottom"/>
            <w:hideMark/>
          </w:tcPr>
          <w:p w:rsidR="00386517" w:rsidRPr="00146B78" w:rsidRDefault="00386517" w:rsidP="00F90712">
            <w:pPr>
              <w:spacing w:line="240" w:lineRule="auto"/>
              <w:jc w:val="right"/>
              <w:rPr>
                <w:rFonts w:ascii="Calibri" w:eastAsia="Times New Roman" w:hAnsi="Calibri" w:cs="Times New Roman"/>
                <w:color w:val="000000"/>
                <w:sz w:val="24"/>
                <w:szCs w:val="24"/>
                <w:lang w:eastAsia="sv-SE"/>
              </w:rPr>
            </w:pPr>
            <w:r w:rsidRPr="00146B78">
              <w:rPr>
                <w:rFonts w:ascii="Calibri" w:eastAsia="Times New Roman" w:hAnsi="Calibri" w:cs="Times New Roman"/>
                <w:color w:val="000000"/>
                <w:sz w:val="24"/>
                <w:szCs w:val="24"/>
                <w:lang w:eastAsia="sv-SE"/>
              </w:rPr>
              <w:t>7 087</w:t>
            </w:r>
          </w:p>
        </w:tc>
        <w:tc>
          <w:tcPr>
            <w:tcW w:w="965" w:type="dxa"/>
            <w:tcBorders>
              <w:top w:val="nil"/>
              <w:left w:val="nil"/>
              <w:bottom w:val="nil"/>
              <w:right w:val="nil"/>
            </w:tcBorders>
            <w:shd w:val="clear" w:color="auto" w:fill="auto"/>
            <w:vAlign w:val="bottom"/>
            <w:hideMark/>
          </w:tcPr>
          <w:p w:rsidR="00386517" w:rsidRPr="00146B78" w:rsidRDefault="00386517" w:rsidP="00F90712">
            <w:pPr>
              <w:spacing w:line="240" w:lineRule="auto"/>
              <w:jc w:val="right"/>
              <w:rPr>
                <w:rFonts w:ascii="Calibri" w:eastAsia="Times New Roman" w:hAnsi="Calibri" w:cs="Times New Roman"/>
                <w:color w:val="000000"/>
                <w:sz w:val="24"/>
                <w:szCs w:val="24"/>
                <w:lang w:eastAsia="sv-SE"/>
              </w:rPr>
            </w:pPr>
            <w:r w:rsidRPr="00146B78">
              <w:rPr>
                <w:rFonts w:ascii="Calibri" w:eastAsia="Times New Roman" w:hAnsi="Calibri" w:cs="Times New Roman"/>
                <w:color w:val="000000"/>
                <w:sz w:val="24"/>
                <w:szCs w:val="24"/>
                <w:lang w:eastAsia="sv-SE"/>
              </w:rPr>
              <w:t>7 085</w:t>
            </w:r>
          </w:p>
        </w:tc>
        <w:tc>
          <w:tcPr>
            <w:tcW w:w="1092" w:type="dxa"/>
            <w:tcBorders>
              <w:top w:val="nil"/>
              <w:left w:val="nil"/>
              <w:bottom w:val="nil"/>
              <w:right w:val="nil"/>
            </w:tcBorders>
            <w:shd w:val="clear" w:color="auto" w:fill="auto"/>
            <w:vAlign w:val="bottom"/>
            <w:hideMark/>
          </w:tcPr>
          <w:p w:rsidR="00386517" w:rsidRPr="00146B78" w:rsidRDefault="00386517" w:rsidP="00F90712">
            <w:pPr>
              <w:spacing w:line="240" w:lineRule="auto"/>
              <w:jc w:val="right"/>
              <w:rPr>
                <w:rFonts w:ascii="Calibri" w:eastAsia="Times New Roman" w:hAnsi="Calibri" w:cs="Times New Roman"/>
                <w:color w:val="000000"/>
                <w:sz w:val="24"/>
                <w:szCs w:val="24"/>
                <w:lang w:eastAsia="sv-SE"/>
              </w:rPr>
            </w:pPr>
            <w:r w:rsidRPr="00146B78">
              <w:rPr>
                <w:rFonts w:ascii="Calibri" w:eastAsia="Times New Roman" w:hAnsi="Calibri" w:cs="Times New Roman"/>
                <w:color w:val="000000"/>
                <w:sz w:val="24"/>
                <w:szCs w:val="24"/>
                <w:lang w:eastAsia="sv-SE"/>
              </w:rPr>
              <w:t>3</w:t>
            </w:r>
          </w:p>
        </w:tc>
        <w:tc>
          <w:tcPr>
            <w:tcW w:w="830" w:type="dxa"/>
            <w:tcBorders>
              <w:top w:val="nil"/>
              <w:left w:val="nil"/>
              <w:bottom w:val="nil"/>
              <w:right w:val="single" w:sz="4" w:space="0" w:color="auto"/>
            </w:tcBorders>
            <w:shd w:val="clear" w:color="auto" w:fill="auto"/>
            <w:vAlign w:val="bottom"/>
            <w:hideMark/>
          </w:tcPr>
          <w:p w:rsidR="00386517" w:rsidRPr="00146B78" w:rsidRDefault="00386517" w:rsidP="00F90712">
            <w:pPr>
              <w:spacing w:line="240" w:lineRule="auto"/>
              <w:jc w:val="right"/>
              <w:rPr>
                <w:rFonts w:ascii="Calibri" w:eastAsia="Times New Roman" w:hAnsi="Calibri" w:cs="Times New Roman"/>
                <w:color w:val="000000"/>
                <w:sz w:val="24"/>
                <w:szCs w:val="24"/>
                <w:lang w:eastAsia="sv-SE"/>
              </w:rPr>
            </w:pPr>
            <w:r w:rsidRPr="00146B78">
              <w:rPr>
                <w:rFonts w:ascii="Calibri" w:eastAsia="Times New Roman" w:hAnsi="Calibri" w:cs="Times New Roman"/>
                <w:color w:val="000000"/>
                <w:sz w:val="24"/>
                <w:szCs w:val="24"/>
                <w:lang w:eastAsia="sv-SE"/>
              </w:rPr>
              <w:t>6 843</w:t>
            </w:r>
          </w:p>
        </w:tc>
      </w:tr>
      <w:tr w:rsidR="00386517" w:rsidRPr="00146B78" w:rsidTr="00F90712">
        <w:trPr>
          <w:trHeight w:val="284"/>
        </w:trPr>
        <w:tc>
          <w:tcPr>
            <w:tcW w:w="3673" w:type="dxa"/>
            <w:tcBorders>
              <w:top w:val="nil"/>
              <w:left w:val="single" w:sz="4" w:space="0" w:color="auto"/>
              <w:bottom w:val="nil"/>
              <w:right w:val="nil"/>
            </w:tcBorders>
            <w:shd w:val="clear" w:color="auto" w:fill="auto"/>
            <w:vAlign w:val="bottom"/>
            <w:hideMark/>
          </w:tcPr>
          <w:p w:rsidR="00386517" w:rsidRPr="00146B78" w:rsidRDefault="00386517" w:rsidP="00F90712">
            <w:pPr>
              <w:spacing w:line="240" w:lineRule="auto"/>
              <w:rPr>
                <w:rFonts w:ascii="Calibri" w:eastAsia="Times New Roman" w:hAnsi="Calibri" w:cs="Times New Roman"/>
                <w:color w:val="000000"/>
                <w:sz w:val="24"/>
                <w:szCs w:val="24"/>
                <w:lang w:eastAsia="sv-SE"/>
              </w:rPr>
            </w:pPr>
            <w:r w:rsidRPr="00146B78">
              <w:rPr>
                <w:rFonts w:ascii="Calibri" w:eastAsia="Times New Roman" w:hAnsi="Calibri" w:cs="Times New Roman"/>
                <w:color w:val="000000"/>
                <w:sz w:val="24"/>
                <w:szCs w:val="24"/>
                <w:lang w:eastAsia="sv-SE"/>
              </w:rPr>
              <w:t>Generella bidrag och utjämning</w:t>
            </w:r>
          </w:p>
        </w:tc>
        <w:tc>
          <w:tcPr>
            <w:tcW w:w="847" w:type="dxa"/>
            <w:tcBorders>
              <w:top w:val="nil"/>
              <w:left w:val="nil"/>
              <w:bottom w:val="nil"/>
              <w:right w:val="nil"/>
            </w:tcBorders>
            <w:shd w:val="clear" w:color="auto" w:fill="auto"/>
            <w:vAlign w:val="bottom"/>
            <w:hideMark/>
          </w:tcPr>
          <w:p w:rsidR="00386517" w:rsidRPr="00146B78" w:rsidRDefault="00386517" w:rsidP="00F90712">
            <w:pPr>
              <w:spacing w:line="240" w:lineRule="auto"/>
              <w:jc w:val="right"/>
              <w:rPr>
                <w:rFonts w:ascii="Calibri" w:eastAsia="Times New Roman" w:hAnsi="Calibri" w:cs="Times New Roman"/>
                <w:color w:val="000000"/>
                <w:sz w:val="24"/>
                <w:szCs w:val="24"/>
                <w:lang w:eastAsia="sv-SE"/>
              </w:rPr>
            </w:pPr>
            <w:r w:rsidRPr="00146B78">
              <w:rPr>
                <w:rFonts w:ascii="Calibri" w:eastAsia="Times New Roman" w:hAnsi="Calibri" w:cs="Times New Roman"/>
                <w:color w:val="000000"/>
                <w:sz w:val="24"/>
                <w:szCs w:val="24"/>
                <w:lang w:eastAsia="sv-SE"/>
              </w:rPr>
              <w:t>1 374</w:t>
            </w:r>
          </w:p>
        </w:tc>
        <w:tc>
          <w:tcPr>
            <w:tcW w:w="965" w:type="dxa"/>
            <w:tcBorders>
              <w:top w:val="nil"/>
              <w:left w:val="nil"/>
              <w:bottom w:val="nil"/>
              <w:right w:val="nil"/>
            </w:tcBorders>
            <w:shd w:val="clear" w:color="auto" w:fill="auto"/>
            <w:vAlign w:val="bottom"/>
            <w:hideMark/>
          </w:tcPr>
          <w:p w:rsidR="00386517" w:rsidRPr="00146B78" w:rsidRDefault="00386517" w:rsidP="00F90712">
            <w:pPr>
              <w:spacing w:line="240" w:lineRule="auto"/>
              <w:jc w:val="right"/>
              <w:rPr>
                <w:rFonts w:ascii="Calibri" w:eastAsia="Times New Roman" w:hAnsi="Calibri" w:cs="Times New Roman"/>
                <w:color w:val="000000"/>
                <w:sz w:val="24"/>
                <w:szCs w:val="24"/>
                <w:lang w:eastAsia="sv-SE"/>
              </w:rPr>
            </w:pPr>
            <w:r w:rsidRPr="00146B78">
              <w:rPr>
                <w:rFonts w:ascii="Calibri" w:eastAsia="Times New Roman" w:hAnsi="Calibri" w:cs="Times New Roman"/>
                <w:color w:val="000000"/>
                <w:sz w:val="24"/>
                <w:szCs w:val="24"/>
                <w:lang w:eastAsia="sv-SE"/>
              </w:rPr>
              <w:t>1 360</w:t>
            </w:r>
          </w:p>
        </w:tc>
        <w:tc>
          <w:tcPr>
            <w:tcW w:w="1092" w:type="dxa"/>
            <w:tcBorders>
              <w:top w:val="nil"/>
              <w:left w:val="nil"/>
              <w:bottom w:val="nil"/>
              <w:right w:val="nil"/>
            </w:tcBorders>
            <w:shd w:val="clear" w:color="auto" w:fill="auto"/>
            <w:vAlign w:val="bottom"/>
            <w:hideMark/>
          </w:tcPr>
          <w:p w:rsidR="00386517" w:rsidRPr="00146B78" w:rsidRDefault="00386517" w:rsidP="00F90712">
            <w:pPr>
              <w:spacing w:line="240" w:lineRule="auto"/>
              <w:jc w:val="right"/>
              <w:rPr>
                <w:rFonts w:ascii="Calibri" w:eastAsia="Times New Roman" w:hAnsi="Calibri" w:cs="Times New Roman"/>
                <w:color w:val="000000"/>
                <w:sz w:val="24"/>
                <w:szCs w:val="24"/>
                <w:lang w:eastAsia="sv-SE"/>
              </w:rPr>
            </w:pPr>
            <w:r w:rsidRPr="00146B78">
              <w:rPr>
                <w:rFonts w:ascii="Calibri" w:eastAsia="Times New Roman" w:hAnsi="Calibri" w:cs="Times New Roman"/>
                <w:color w:val="000000"/>
                <w:sz w:val="24"/>
                <w:szCs w:val="24"/>
                <w:lang w:eastAsia="sv-SE"/>
              </w:rPr>
              <w:t>13</w:t>
            </w:r>
          </w:p>
        </w:tc>
        <w:tc>
          <w:tcPr>
            <w:tcW w:w="830" w:type="dxa"/>
            <w:tcBorders>
              <w:top w:val="nil"/>
              <w:left w:val="nil"/>
              <w:bottom w:val="nil"/>
              <w:right w:val="single" w:sz="4" w:space="0" w:color="auto"/>
            </w:tcBorders>
            <w:shd w:val="clear" w:color="auto" w:fill="auto"/>
            <w:vAlign w:val="bottom"/>
            <w:hideMark/>
          </w:tcPr>
          <w:p w:rsidR="00386517" w:rsidRPr="00146B78" w:rsidRDefault="00386517" w:rsidP="00F90712">
            <w:pPr>
              <w:spacing w:line="240" w:lineRule="auto"/>
              <w:jc w:val="right"/>
              <w:rPr>
                <w:rFonts w:ascii="Calibri" w:eastAsia="Times New Roman" w:hAnsi="Calibri" w:cs="Times New Roman"/>
                <w:color w:val="000000"/>
                <w:sz w:val="24"/>
                <w:szCs w:val="24"/>
                <w:lang w:eastAsia="sv-SE"/>
              </w:rPr>
            </w:pPr>
            <w:r w:rsidRPr="00146B78">
              <w:rPr>
                <w:rFonts w:ascii="Calibri" w:eastAsia="Times New Roman" w:hAnsi="Calibri" w:cs="Times New Roman"/>
                <w:color w:val="000000"/>
                <w:sz w:val="24"/>
                <w:szCs w:val="24"/>
                <w:lang w:eastAsia="sv-SE"/>
              </w:rPr>
              <w:t>1 227</w:t>
            </w:r>
          </w:p>
        </w:tc>
      </w:tr>
      <w:tr w:rsidR="00386517" w:rsidRPr="00146B78" w:rsidTr="00F90712">
        <w:trPr>
          <w:trHeight w:val="284"/>
        </w:trPr>
        <w:tc>
          <w:tcPr>
            <w:tcW w:w="3673" w:type="dxa"/>
            <w:tcBorders>
              <w:top w:val="nil"/>
              <w:left w:val="single" w:sz="4" w:space="0" w:color="auto"/>
              <w:bottom w:val="nil"/>
              <w:right w:val="nil"/>
            </w:tcBorders>
            <w:shd w:val="clear" w:color="auto" w:fill="auto"/>
            <w:vAlign w:val="bottom"/>
            <w:hideMark/>
          </w:tcPr>
          <w:p w:rsidR="00386517" w:rsidRPr="00146B78" w:rsidRDefault="00386517" w:rsidP="00F90712">
            <w:pPr>
              <w:spacing w:line="240" w:lineRule="auto"/>
              <w:rPr>
                <w:rFonts w:ascii="Calibri" w:eastAsia="Times New Roman" w:hAnsi="Calibri" w:cs="Times New Roman"/>
                <w:b/>
                <w:bCs/>
                <w:color w:val="000000"/>
                <w:sz w:val="24"/>
                <w:szCs w:val="24"/>
                <w:lang w:eastAsia="sv-SE"/>
              </w:rPr>
            </w:pPr>
            <w:r w:rsidRPr="00146B78">
              <w:rPr>
                <w:rFonts w:ascii="Calibri" w:eastAsia="Times New Roman" w:hAnsi="Calibri" w:cs="Times New Roman"/>
                <w:b/>
                <w:bCs/>
                <w:color w:val="000000"/>
                <w:sz w:val="24"/>
                <w:szCs w:val="24"/>
                <w:lang w:eastAsia="sv-SE"/>
              </w:rPr>
              <w:t>Verksamhetens resultat</w:t>
            </w:r>
          </w:p>
        </w:tc>
        <w:tc>
          <w:tcPr>
            <w:tcW w:w="847" w:type="dxa"/>
            <w:tcBorders>
              <w:top w:val="nil"/>
              <w:left w:val="nil"/>
              <w:bottom w:val="nil"/>
              <w:right w:val="nil"/>
            </w:tcBorders>
            <w:shd w:val="clear" w:color="auto" w:fill="auto"/>
            <w:vAlign w:val="bottom"/>
            <w:hideMark/>
          </w:tcPr>
          <w:p w:rsidR="00386517" w:rsidRPr="00146B78" w:rsidRDefault="00386517" w:rsidP="00F90712">
            <w:pPr>
              <w:spacing w:line="240" w:lineRule="auto"/>
              <w:jc w:val="right"/>
              <w:rPr>
                <w:rFonts w:ascii="Calibri" w:eastAsia="Times New Roman" w:hAnsi="Calibri" w:cs="Times New Roman"/>
                <w:b/>
                <w:bCs/>
                <w:color w:val="000000"/>
                <w:sz w:val="24"/>
                <w:szCs w:val="24"/>
                <w:lang w:eastAsia="sv-SE"/>
              </w:rPr>
            </w:pPr>
            <w:r w:rsidRPr="00146B78">
              <w:rPr>
                <w:rFonts w:ascii="Calibri" w:eastAsia="Times New Roman" w:hAnsi="Calibri" w:cs="Times New Roman"/>
                <w:b/>
                <w:bCs/>
                <w:color w:val="000000"/>
                <w:sz w:val="24"/>
                <w:szCs w:val="24"/>
                <w:lang w:eastAsia="sv-SE"/>
              </w:rPr>
              <w:t>305</w:t>
            </w:r>
          </w:p>
        </w:tc>
        <w:tc>
          <w:tcPr>
            <w:tcW w:w="965" w:type="dxa"/>
            <w:tcBorders>
              <w:top w:val="nil"/>
              <w:left w:val="nil"/>
              <w:bottom w:val="nil"/>
              <w:right w:val="nil"/>
            </w:tcBorders>
            <w:shd w:val="clear" w:color="auto" w:fill="auto"/>
            <w:vAlign w:val="bottom"/>
            <w:hideMark/>
          </w:tcPr>
          <w:p w:rsidR="00386517" w:rsidRPr="00146B78" w:rsidRDefault="00386517" w:rsidP="00F90712">
            <w:pPr>
              <w:spacing w:line="240" w:lineRule="auto"/>
              <w:jc w:val="right"/>
              <w:rPr>
                <w:rFonts w:ascii="Calibri" w:eastAsia="Times New Roman" w:hAnsi="Calibri" w:cs="Times New Roman"/>
                <w:b/>
                <w:bCs/>
                <w:color w:val="000000"/>
                <w:sz w:val="24"/>
                <w:szCs w:val="24"/>
                <w:lang w:eastAsia="sv-SE"/>
              </w:rPr>
            </w:pPr>
            <w:r w:rsidRPr="00146B78">
              <w:rPr>
                <w:rFonts w:ascii="Calibri" w:eastAsia="Times New Roman" w:hAnsi="Calibri" w:cs="Times New Roman"/>
                <w:b/>
                <w:bCs/>
                <w:color w:val="000000"/>
                <w:sz w:val="24"/>
                <w:szCs w:val="24"/>
                <w:lang w:eastAsia="sv-SE"/>
              </w:rPr>
              <w:t>112</w:t>
            </w:r>
          </w:p>
        </w:tc>
        <w:tc>
          <w:tcPr>
            <w:tcW w:w="1092" w:type="dxa"/>
            <w:tcBorders>
              <w:top w:val="nil"/>
              <w:left w:val="nil"/>
              <w:bottom w:val="nil"/>
              <w:right w:val="nil"/>
            </w:tcBorders>
            <w:shd w:val="clear" w:color="auto" w:fill="auto"/>
            <w:vAlign w:val="bottom"/>
            <w:hideMark/>
          </w:tcPr>
          <w:p w:rsidR="00386517" w:rsidRPr="00146B78" w:rsidRDefault="00386517" w:rsidP="00F90712">
            <w:pPr>
              <w:spacing w:line="240" w:lineRule="auto"/>
              <w:jc w:val="right"/>
              <w:rPr>
                <w:rFonts w:ascii="Calibri" w:eastAsia="Times New Roman" w:hAnsi="Calibri" w:cs="Times New Roman"/>
                <w:b/>
                <w:bCs/>
                <w:color w:val="000000"/>
                <w:sz w:val="24"/>
                <w:szCs w:val="24"/>
                <w:lang w:eastAsia="sv-SE"/>
              </w:rPr>
            </w:pPr>
            <w:r w:rsidRPr="00146B78">
              <w:rPr>
                <w:rFonts w:ascii="Calibri" w:eastAsia="Times New Roman" w:hAnsi="Calibri" w:cs="Times New Roman"/>
                <w:b/>
                <w:bCs/>
                <w:color w:val="000000"/>
                <w:sz w:val="24"/>
                <w:szCs w:val="24"/>
                <w:lang w:eastAsia="sv-SE"/>
              </w:rPr>
              <w:t>193</w:t>
            </w:r>
          </w:p>
        </w:tc>
        <w:tc>
          <w:tcPr>
            <w:tcW w:w="830" w:type="dxa"/>
            <w:tcBorders>
              <w:top w:val="nil"/>
              <w:left w:val="nil"/>
              <w:bottom w:val="nil"/>
              <w:right w:val="single" w:sz="4" w:space="0" w:color="auto"/>
            </w:tcBorders>
            <w:shd w:val="clear" w:color="auto" w:fill="auto"/>
            <w:vAlign w:val="bottom"/>
            <w:hideMark/>
          </w:tcPr>
          <w:p w:rsidR="00386517" w:rsidRPr="00146B78" w:rsidRDefault="00386517" w:rsidP="00F90712">
            <w:pPr>
              <w:spacing w:line="240" w:lineRule="auto"/>
              <w:jc w:val="right"/>
              <w:rPr>
                <w:rFonts w:ascii="Calibri" w:eastAsia="Times New Roman" w:hAnsi="Calibri" w:cs="Times New Roman"/>
                <w:b/>
                <w:bCs/>
                <w:color w:val="000000"/>
                <w:sz w:val="24"/>
                <w:szCs w:val="24"/>
                <w:lang w:eastAsia="sv-SE"/>
              </w:rPr>
            </w:pPr>
            <w:r w:rsidRPr="00146B78">
              <w:rPr>
                <w:rFonts w:ascii="Calibri" w:eastAsia="Times New Roman" w:hAnsi="Calibri" w:cs="Times New Roman"/>
                <w:b/>
                <w:bCs/>
                <w:color w:val="000000"/>
                <w:sz w:val="24"/>
                <w:szCs w:val="24"/>
                <w:lang w:eastAsia="sv-SE"/>
              </w:rPr>
              <w:t>284</w:t>
            </w:r>
          </w:p>
        </w:tc>
      </w:tr>
      <w:tr w:rsidR="00386517" w:rsidRPr="00146B78" w:rsidTr="00F90712">
        <w:trPr>
          <w:trHeight w:val="175"/>
        </w:trPr>
        <w:tc>
          <w:tcPr>
            <w:tcW w:w="3673" w:type="dxa"/>
            <w:tcBorders>
              <w:top w:val="nil"/>
              <w:left w:val="single" w:sz="4" w:space="0" w:color="auto"/>
              <w:bottom w:val="nil"/>
              <w:right w:val="nil"/>
            </w:tcBorders>
            <w:shd w:val="clear" w:color="auto" w:fill="auto"/>
            <w:vAlign w:val="bottom"/>
            <w:hideMark/>
          </w:tcPr>
          <w:p w:rsidR="00386517" w:rsidRPr="00146B78" w:rsidRDefault="00386517" w:rsidP="00F90712">
            <w:pPr>
              <w:spacing w:line="240" w:lineRule="auto"/>
              <w:rPr>
                <w:rFonts w:ascii="Calibri" w:eastAsia="Times New Roman" w:hAnsi="Calibri" w:cs="Times New Roman"/>
                <w:color w:val="000000"/>
                <w:sz w:val="24"/>
                <w:szCs w:val="24"/>
                <w:lang w:eastAsia="sv-SE"/>
              </w:rPr>
            </w:pPr>
            <w:r w:rsidRPr="00146B78">
              <w:rPr>
                <w:rFonts w:ascii="Calibri" w:eastAsia="Times New Roman" w:hAnsi="Calibri" w:cs="Times New Roman"/>
                <w:color w:val="000000"/>
                <w:sz w:val="24"/>
                <w:szCs w:val="24"/>
                <w:lang w:eastAsia="sv-SE"/>
              </w:rPr>
              <w:t> </w:t>
            </w:r>
          </w:p>
        </w:tc>
        <w:tc>
          <w:tcPr>
            <w:tcW w:w="847" w:type="dxa"/>
            <w:tcBorders>
              <w:top w:val="nil"/>
              <w:left w:val="nil"/>
              <w:bottom w:val="nil"/>
              <w:right w:val="nil"/>
            </w:tcBorders>
            <w:shd w:val="clear" w:color="auto" w:fill="auto"/>
            <w:vAlign w:val="bottom"/>
            <w:hideMark/>
          </w:tcPr>
          <w:p w:rsidR="00386517" w:rsidRPr="00146B78" w:rsidRDefault="00386517" w:rsidP="00F90712">
            <w:pPr>
              <w:spacing w:line="240" w:lineRule="auto"/>
              <w:rPr>
                <w:rFonts w:ascii="Calibri" w:eastAsia="Times New Roman" w:hAnsi="Calibri" w:cs="Times New Roman"/>
                <w:color w:val="000000"/>
                <w:sz w:val="24"/>
                <w:szCs w:val="24"/>
                <w:lang w:eastAsia="sv-SE"/>
              </w:rPr>
            </w:pPr>
          </w:p>
        </w:tc>
        <w:tc>
          <w:tcPr>
            <w:tcW w:w="965" w:type="dxa"/>
            <w:tcBorders>
              <w:top w:val="nil"/>
              <w:left w:val="nil"/>
              <w:bottom w:val="nil"/>
              <w:right w:val="nil"/>
            </w:tcBorders>
            <w:shd w:val="clear" w:color="auto" w:fill="auto"/>
            <w:vAlign w:val="bottom"/>
            <w:hideMark/>
          </w:tcPr>
          <w:p w:rsidR="00386517" w:rsidRPr="00146B78" w:rsidRDefault="00386517" w:rsidP="00F90712">
            <w:pPr>
              <w:spacing w:line="240" w:lineRule="auto"/>
              <w:rPr>
                <w:rFonts w:ascii="Calibri" w:eastAsia="Times New Roman" w:hAnsi="Calibri" w:cs="Times New Roman"/>
                <w:color w:val="000000"/>
                <w:sz w:val="24"/>
                <w:szCs w:val="24"/>
                <w:lang w:eastAsia="sv-SE"/>
              </w:rPr>
            </w:pPr>
          </w:p>
        </w:tc>
        <w:tc>
          <w:tcPr>
            <w:tcW w:w="1092" w:type="dxa"/>
            <w:tcBorders>
              <w:top w:val="nil"/>
              <w:left w:val="nil"/>
              <w:bottom w:val="nil"/>
              <w:right w:val="nil"/>
            </w:tcBorders>
            <w:shd w:val="clear" w:color="auto" w:fill="auto"/>
            <w:vAlign w:val="bottom"/>
            <w:hideMark/>
          </w:tcPr>
          <w:p w:rsidR="00386517" w:rsidRPr="00146B78" w:rsidRDefault="00386517" w:rsidP="00F90712">
            <w:pPr>
              <w:spacing w:line="240" w:lineRule="auto"/>
              <w:rPr>
                <w:rFonts w:ascii="Calibri" w:eastAsia="Times New Roman" w:hAnsi="Calibri" w:cs="Times New Roman"/>
                <w:color w:val="000000"/>
                <w:sz w:val="24"/>
                <w:szCs w:val="24"/>
                <w:lang w:eastAsia="sv-SE"/>
              </w:rPr>
            </w:pPr>
          </w:p>
        </w:tc>
        <w:tc>
          <w:tcPr>
            <w:tcW w:w="830" w:type="dxa"/>
            <w:tcBorders>
              <w:top w:val="nil"/>
              <w:left w:val="nil"/>
              <w:bottom w:val="nil"/>
              <w:right w:val="single" w:sz="4" w:space="0" w:color="auto"/>
            </w:tcBorders>
            <w:shd w:val="clear" w:color="auto" w:fill="auto"/>
            <w:vAlign w:val="bottom"/>
            <w:hideMark/>
          </w:tcPr>
          <w:p w:rsidR="00386517" w:rsidRPr="00146B78" w:rsidRDefault="00386517" w:rsidP="00F90712">
            <w:pPr>
              <w:spacing w:line="240" w:lineRule="auto"/>
              <w:rPr>
                <w:rFonts w:ascii="Calibri" w:eastAsia="Times New Roman" w:hAnsi="Calibri" w:cs="Times New Roman"/>
                <w:color w:val="000000"/>
                <w:sz w:val="24"/>
                <w:szCs w:val="24"/>
                <w:lang w:eastAsia="sv-SE"/>
              </w:rPr>
            </w:pPr>
            <w:r w:rsidRPr="00146B78">
              <w:rPr>
                <w:rFonts w:ascii="Calibri" w:eastAsia="Times New Roman" w:hAnsi="Calibri" w:cs="Times New Roman"/>
                <w:color w:val="000000"/>
                <w:sz w:val="24"/>
                <w:szCs w:val="24"/>
                <w:lang w:eastAsia="sv-SE"/>
              </w:rPr>
              <w:t> </w:t>
            </w:r>
          </w:p>
        </w:tc>
      </w:tr>
      <w:tr w:rsidR="00386517" w:rsidRPr="00146B78" w:rsidTr="00F90712">
        <w:trPr>
          <w:trHeight w:val="284"/>
        </w:trPr>
        <w:tc>
          <w:tcPr>
            <w:tcW w:w="3673" w:type="dxa"/>
            <w:tcBorders>
              <w:top w:val="nil"/>
              <w:left w:val="single" w:sz="4" w:space="0" w:color="auto"/>
              <w:bottom w:val="nil"/>
              <w:right w:val="nil"/>
            </w:tcBorders>
            <w:shd w:val="clear" w:color="auto" w:fill="auto"/>
            <w:vAlign w:val="bottom"/>
            <w:hideMark/>
          </w:tcPr>
          <w:p w:rsidR="00386517" w:rsidRPr="00146B78" w:rsidRDefault="00386517" w:rsidP="00F90712">
            <w:pPr>
              <w:spacing w:line="240" w:lineRule="auto"/>
              <w:rPr>
                <w:rFonts w:ascii="Calibri" w:eastAsia="Times New Roman" w:hAnsi="Calibri" w:cs="Times New Roman"/>
                <w:color w:val="000000"/>
                <w:sz w:val="24"/>
                <w:szCs w:val="24"/>
                <w:lang w:eastAsia="sv-SE"/>
              </w:rPr>
            </w:pPr>
            <w:r w:rsidRPr="00146B78">
              <w:rPr>
                <w:rFonts w:ascii="Calibri" w:eastAsia="Times New Roman" w:hAnsi="Calibri" w:cs="Times New Roman"/>
                <w:color w:val="000000"/>
                <w:sz w:val="24"/>
                <w:szCs w:val="24"/>
                <w:lang w:eastAsia="sv-SE"/>
              </w:rPr>
              <w:t>Finansiella intäkter</w:t>
            </w:r>
          </w:p>
        </w:tc>
        <w:tc>
          <w:tcPr>
            <w:tcW w:w="847" w:type="dxa"/>
            <w:tcBorders>
              <w:top w:val="nil"/>
              <w:left w:val="nil"/>
              <w:bottom w:val="nil"/>
              <w:right w:val="nil"/>
            </w:tcBorders>
            <w:shd w:val="clear" w:color="auto" w:fill="auto"/>
            <w:vAlign w:val="bottom"/>
            <w:hideMark/>
          </w:tcPr>
          <w:p w:rsidR="00386517" w:rsidRPr="00146B78" w:rsidRDefault="00386517" w:rsidP="00F90712">
            <w:pPr>
              <w:spacing w:line="240" w:lineRule="auto"/>
              <w:jc w:val="right"/>
              <w:rPr>
                <w:rFonts w:ascii="Calibri" w:eastAsia="Times New Roman" w:hAnsi="Calibri" w:cs="Times New Roman"/>
                <w:color w:val="000000"/>
                <w:sz w:val="24"/>
                <w:szCs w:val="24"/>
                <w:lang w:eastAsia="sv-SE"/>
              </w:rPr>
            </w:pPr>
            <w:r w:rsidRPr="00146B78">
              <w:rPr>
                <w:rFonts w:ascii="Calibri" w:eastAsia="Times New Roman" w:hAnsi="Calibri" w:cs="Times New Roman"/>
                <w:color w:val="000000"/>
                <w:sz w:val="24"/>
                <w:szCs w:val="24"/>
                <w:lang w:eastAsia="sv-SE"/>
              </w:rPr>
              <w:t>626</w:t>
            </w:r>
          </w:p>
        </w:tc>
        <w:tc>
          <w:tcPr>
            <w:tcW w:w="965" w:type="dxa"/>
            <w:tcBorders>
              <w:top w:val="nil"/>
              <w:left w:val="nil"/>
              <w:bottom w:val="nil"/>
              <w:right w:val="nil"/>
            </w:tcBorders>
            <w:shd w:val="clear" w:color="auto" w:fill="auto"/>
            <w:vAlign w:val="bottom"/>
            <w:hideMark/>
          </w:tcPr>
          <w:p w:rsidR="00386517" w:rsidRPr="00146B78" w:rsidRDefault="00386517" w:rsidP="00F90712">
            <w:pPr>
              <w:spacing w:line="240" w:lineRule="auto"/>
              <w:jc w:val="right"/>
              <w:rPr>
                <w:rFonts w:ascii="Calibri" w:eastAsia="Times New Roman" w:hAnsi="Calibri" w:cs="Times New Roman"/>
                <w:color w:val="000000"/>
                <w:sz w:val="24"/>
                <w:szCs w:val="24"/>
                <w:lang w:eastAsia="sv-SE"/>
              </w:rPr>
            </w:pPr>
            <w:r w:rsidRPr="00146B78">
              <w:rPr>
                <w:rFonts w:ascii="Calibri" w:eastAsia="Times New Roman" w:hAnsi="Calibri" w:cs="Times New Roman"/>
                <w:color w:val="000000"/>
                <w:sz w:val="24"/>
                <w:szCs w:val="24"/>
                <w:lang w:eastAsia="sv-SE"/>
              </w:rPr>
              <w:t>176</w:t>
            </w:r>
          </w:p>
        </w:tc>
        <w:tc>
          <w:tcPr>
            <w:tcW w:w="1092" w:type="dxa"/>
            <w:tcBorders>
              <w:top w:val="nil"/>
              <w:left w:val="nil"/>
              <w:bottom w:val="nil"/>
              <w:right w:val="nil"/>
            </w:tcBorders>
            <w:shd w:val="clear" w:color="auto" w:fill="auto"/>
            <w:vAlign w:val="bottom"/>
            <w:hideMark/>
          </w:tcPr>
          <w:p w:rsidR="00386517" w:rsidRPr="00146B78" w:rsidRDefault="00386517" w:rsidP="00F90712">
            <w:pPr>
              <w:spacing w:line="240" w:lineRule="auto"/>
              <w:jc w:val="right"/>
              <w:rPr>
                <w:rFonts w:ascii="Calibri" w:eastAsia="Times New Roman" w:hAnsi="Calibri" w:cs="Times New Roman"/>
                <w:color w:val="000000"/>
                <w:sz w:val="24"/>
                <w:szCs w:val="24"/>
                <w:lang w:eastAsia="sv-SE"/>
              </w:rPr>
            </w:pPr>
            <w:r w:rsidRPr="00146B78">
              <w:rPr>
                <w:rFonts w:ascii="Calibri" w:eastAsia="Times New Roman" w:hAnsi="Calibri" w:cs="Times New Roman"/>
                <w:color w:val="000000"/>
                <w:sz w:val="24"/>
                <w:szCs w:val="24"/>
                <w:lang w:eastAsia="sv-SE"/>
              </w:rPr>
              <w:t>450</w:t>
            </w:r>
          </w:p>
        </w:tc>
        <w:tc>
          <w:tcPr>
            <w:tcW w:w="830" w:type="dxa"/>
            <w:tcBorders>
              <w:top w:val="nil"/>
              <w:left w:val="nil"/>
              <w:bottom w:val="nil"/>
              <w:right w:val="single" w:sz="4" w:space="0" w:color="auto"/>
            </w:tcBorders>
            <w:shd w:val="clear" w:color="auto" w:fill="auto"/>
            <w:vAlign w:val="bottom"/>
            <w:hideMark/>
          </w:tcPr>
          <w:p w:rsidR="00386517" w:rsidRPr="00146B78" w:rsidRDefault="00386517" w:rsidP="00F90712">
            <w:pPr>
              <w:spacing w:line="240" w:lineRule="auto"/>
              <w:jc w:val="right"/>
              <w:rPr>
                <w:rFonts w:ascii="Calibri" w:eastAsia="Times New Roman" w:hAnsi="Calibri" w:cs="Times New Roman"/>
                <w:color w:val="000000"/>
                <w:sz w:val="24"/>
                <w:szCs w:val="24"/>
                <w:lang w:eastAsia="sv-SE"/>
              </w:rPr>
            </w:pPr>
            <w:r w:rsidRPr="00146B78">
              <w:rPr>
                <w:rFonts w:ascii="Calibri" w:eastAsia="Times New Roman" w:hAnsi="Calibri" w:cs="Times New Roman"/>
                <w:color w:val="000000"/>
                <w:sz w:val="24"/>
                <w:szCs w:val="24"/>
                <w:lang w:eastAsia="sv-SE"/>
              </w:rPr>
              <w:t>110</w:t>
            </w:r>
          </w:p>
        </w:tc>
      </w:tr>
      <w:tr w:rsidR="00386517" w:rsidRPr="00146B78" w:rsidTr="00F90712">
        <w:trPr>
          <w:trHeight w:val="284"/>
        </w:trPr>
        <w:tc>
          <w:tcPr>
            <w:tcW w:w="3673" w:type="dxa"/>
            <w:tcBorders>
              <w:top w:val="nil"/>
              <w:left w:val="single" w:sz="4" w:space="0" w:color="auto"/>
              <w:bottom w:val="nil"/>
              <w:right w:val="nil"/>
            </w:tcBorders>
            <w:shd w:val="clear" w:color="auto" w:fill="auto"/>
            <w:vAlign w:val="bottom"/>
            <w:hideMark/>
          </w:tcPr>
          <w:p w:rsidR="00386517" w:rsidRPr="00146B78" w:rsidRDefault="00386517" w:rsidP="00F90712">
            <w:pPr>
              <w:spacing w:line="240" w:lineRule="auto"/>
              <w:rPr>
                <w:rFonts w:ascii="Calibri" w:eastAsia="Times New Roman" w:hAnsi="Calibri" w:cs="Times New Roman"/>
                <w:color w:val="000000"/>
                <w:sz w:val="24"/>
                <w:szCs w:val="24"/>
                <w:lang w:eastAsia="sv-SE"/>
              </w:rPr>
            </w:pPr>
            <w:r w:rsidRPr="00146B78">
              <w:rPr>
                <w:rFonts w:ascii="Calibri" w:eastAsia="Times New Roman" w:hAnsi="Calibri" w:cs="Times New Roman"/>
                <w:color w:val="000000"/>
                <w:sz w:val="24"/>
                <w:szCs w:val="24"/>
                <w:lang w:eastAsia="sv-SE"/>
              </w:rPr>
              <w:t>Finansiella kostnader</w:t>
            </w:r>
          </w:p>
        </w:tc>
        <w:tc>
          <w:tcPr>
            <w:tcW w:w="847" w:type="dxa"/>
            <w:tcBorders>
              <w:top w:val="nil"/>
              <w:left w:val="nil"/>
              <w:bottom w:val="nil"/>
              <w:right w:val="nil"/>
            </w:tcBorders>
            <w:shd w:val="clear" w:color="auto" w:fill="auto"/>
            <w:vAlign w:val="bottom"/>
            <w:hideMark/>
          </w:tcPr>
          <w:p w:rsidR="00386517" w:rsidRPr="00146B78" w:rsidRDefault="00386517" w:rsidP="00F90712">
            <w:pPr>
              <w:spacing w:line="240" w:lineRule="auto"/>
              <w:jc w:val="right"/>
              <w:rPr>
                <w:rFonts w:ascii="Calibri" w:eastAsia="Times New Roman" w:hAnsi="Calibri" w:cs="Times New Roman"/>
                <w:color w:val="000000"/>
                <w:sz w:val="24"/>
                <w:szCs w:val="24"/>
                <w:lang w:eastAsia="sv-SE"/>
              </w:rPr>
            </w:pPr>
            <w:proofErr w:type="gramStart"/>
            <w:r w:rsidRPr="00146B78">
              <w:rPr>
                <w:rFonts w:ascii="Calibri" w:eastAsia="Times New Roman" w:hAnsi="Calibri" w:cs="Times New Roman"/>
                <w:color w:val="000000"/>
                <w:sz w:val="24"/>
                <w:szCs w:val="24"/>
                <w:lang w:eastAsia="sv-SE"/>
              </w:rPr>
              <w:t>-</w:t>
            </w:r>
            <w:proofErr w:type="gramEnd"/>
            <w:r w:rsidRPr="00146B78">
              <w:rPr>
                <w:rFonts w:ascii="Calibri" w:eastAsia="Times New Roman" w:hAnsi="Calibri" w:cs="Times New Roman"/>
                <w:color w:val="000000"/>
                <w:sz w:val="24"/>
                <w:szCs w:val="24"/>
                <w:lang w:eastAsia="sv-SE"/>
              </w:rPr>
              <w:t>402</w:t>
            </w:r>
          </w:p>
        </w:tc>
        <w:tc>
          <w:tcPr>
            <w:tcW w:w="965" w:type="dxa"/>
            <w:tcBorders>
              <w:top w:val="nil"/>
              <w:left w:val="nil"/>
              <w:bottom w:val="nil"/>
              <w:right w:val="nil"/>
            </w:tcBorders>
            <w:shd w:val="clear" w:color="auto" w:fill="auto"/>
            <w:vAlign w:val="bottom"/>
            <w:hideMark/>
          </w:tcPr>
          <w:p w:rsidR="00386517" w:rsidRPr="00146B78" w:rsidRDefault="00386517" w:rsidP="00F90712">
            <w:pPr>
              <w:spacing w:line="240" w:lineRule="auto"/>
              <w:jc w:val="right"/>
              <w:rPr>
                <w:rFonts w:ascii="Calibri" w:eastAsia="Times New Roman" w:hAnsi="Calibri" w:cs="Times New Roman"/>
                <w:color w:val="000000"/>
                <w:sz w:val="24"/>
                <w:szCs w:val="24"/>
                <w:lang w:eastAsia="sv-SE"/>
              </w:rPr>
            </w:pPr>
            <w:proofErr w:type="gramStart"/>
            <w:r w:rsidRPr="00146B78">
              <w:rPr>
                <w:rFonts w:ascii="Calibri" w:eastAsia="Times New Roman" w:hAnsi="Calibri" w:cs="Times New Roman"/>
                <w:color w:val="000000"/>
                <w:sz w:val="24"/>
                <w:szCs w:val="24"/>
                <w:lang w:eastAsia="sv-SE"/>
              </w:rPr>
              <w:t>-</w:t>
            </w:r>
            <w:proofErr w:type="gramEnd"/>
            <w:r w:rsidRPr="00146B78">
              <w:rPr>
                <w:rFonts w:ascii="Calibri" w:eastAsia="Times New Roman" w:hAnsi="Calibri" w:cs="Times New Roman"/>
                <w:color w:val="000000"/>
                <w:sz w:val="24"/>
                <w:szCs w:val="24"/>
                <w:lang w:eastAsia="sv-SE"/>
              </w:rPr>
              <w:t>118</w:t>
            </w:r>
          </w:p>
        </w:tc>
        <w:tc>
          <w:tcPr>
            <w:tcW w:w="1092" w:type="dxa"/>
            <w:tcBorders>
              <w:top w:val="nil"/>
              <w:left w:val="nil"/>
              <w:bottom w:val="nil"/>
              <w:right w:val="nil"/>
            </w:tcBorders>
            <w:shd w:val="clear" w:color="auto" w:fill="auto"/>
            <w:vAlign w:val="bottom"/>
            <w:hideMark/>
          </w:tcPr>
          <w:p w:rsidR="00386517" w:rsidRPr="00146B78" w:rsidRDefault="00386517" w:rsidP="00F90712">
            <w:pPr>
              <w:spacing w:line="240" w:lineRule="auto"/>
              <w:jc w:val="right"/>
              <w:rPr>
                <w:rFonts w:ascii="Calibri" w:eastAsia="Times New Roman" w:hAnsi="Calibri" w:cs="Times New Roman"/>
                <w:color w:val="000000"/>
                <w:sz w:val="24"/>
                <w:szCs w:val="24"/>
                <w:lang w:eastAsia="sv-SE"/>
              </w:rPr>
            </w:pPr>
            <w:proofErr w:type="gramStart"/>
            <w:r w:rsidRPr="00146B78">
              <w:rPr>
                <w:rFonts w:ascii="Calibri" w:eastAsia="Times New Roman" w:hAnsi="Calibri" w:cs="Times New Roman"/>
                <w:color w:val="000000"/>
                <w:sz w:val="24"/>
                <w:szCs w:val="24"/>
                <w:lang w:eastAsia="sv-SE"/>
              </w:rPr>
              <w:t>-</w:t>
            </w:r>
            <w:proofErr w:type="gramEnd"/>
            <w:r w:rsidRPr="00146B78">
              <w:rPr>
                <w:rFonts w:ascii="Calibri" w:eastAsia="Times New Roman" w:hAnsi="Calibri" w:cs="Times New Roman"/>
                <w:color w:val="000000"/>
                <w:sz w:val="24"/>
                <w:szCs w:val="24"/>
                <w:lang w:eastAsia="sv-SE"/>
              </w:rPr>
              <w:t>284</w:t>
            </w:r>
          </w:p>
        </w:tc>
        <w:tc>
          <w:tcPr>
            <w:tcW w:w="830" w:type="dxa"/>
            <w:tcBorders>
              <w:top w:val="nil"/>
              <w:left w:val="nil"/>
              <w:bottom w:val="nil"/>
              <w:right w:val="single" w:sz="4" w:space="0" w:color="auto"/>
            </w:tcBorders>
            <w:shd w:val="clear" w:color="auto" w:fill="auto"/>
            <w:vAlign w:val="bottom"/>
            <w:hideMark/>
          </w:tcPr>
          <w:p w:rsidR="00386517" w:rsidRPr="00146B78" w:rsidRDefault="00386517" w:rsidP="00F90712">
            <w:pPr>
              <w:spacing w:line="240" w:lineRule="auto"/>
              <w:jc w:val="right"/>
              <w:rPr>
                <w:rFonts w:ascii="Calibri" w:eastAsia="Times New Roman" w:hAnsi="Calibri" w:cs="Times New Roman"/>
                <w:color w:val="000000"/>
                <w:sz w:val="24"/>
                <w:szCs w:val="24"/>
                <w:lang w:eastAsia="sv-SE"/>
              </w:rPr>
            </w:pPr>
            <w:proofErr w:type="gramStart"/>
            <w:r w:rsidRPr="00146B78">
              <w:rPr>
                <w:rFonts w:ascii="Calibri" w:eastAsia="Times New Roman" w:hAnsi="Calibri" w:cs="Times New Roman"/>
                <w:color w:val="000000"/>
                <w:sz w:val="24"/>
                <w:szCs w:val="24"/>
                <w:lang w:eastAsia="sv-SE"/>
              </w:rPr>
              <w:t>-</w:t>
            </w:r>
            <w:proofErr w:type="gramEnd"/>
            <w:r w:rsidRPr="00146B78">
              <w:rPr>
                <w:rFonts w:ascii="Calibri" w:eastAsia="Times New Roman" w:hAnsi="Calibri" w:cs="Times New Roman"/>
                <w:color w:val="000000"/>
                <w:sz w:val="24"/>
                <w:szCs w:val="24"/>
                <w:lang w:eastAsia="sv-SE"/>
              </w:rPr>
              <w:t>88</w:t>
            </w:r>
          </w:p>
        </w:tc>
      </w:tr>
      <w:tr w:rsidR="00386517" w:rsidRPr="00146B78" w:rsidTr="00F90712">
        <w:trPr>
          <w:trHeight w:val="284"/>
        </w:trPr>
        <w:tc>
          <w:tcPr>
            <w:tcW w:w="3673" w:type="dxa"/>
            <w:tcBorders>
              <w:top w:val="nil"/>
              <w:left w:val="single" w:sz="4" w:space="0" w:color="auto"/>
              <w:bottom w:val="nil"/>
              <w:right w:val="nil"/>
            </w:tcBorders>
            <w:shd w:val="clear" w:color="auto" w:fill="auto"/>
            <w:vAlign w:val="bottom"/>
            <w:hideMark/>
          </w:tcPr>
          <w:p w:rsidR="00386517" w:rsidRPr="00146B78" w:rsidRDefault="00386517" w:rsidP="00F90712">
            <w:pPr>
              <w:spacing w:line="240" w:lineRule="auto"/>
              <w:rPr>
                <w:rFonts w:ascii="Calibri" w:eastAsia="Times New Roman" w:hAnsi="Calibri" w:cs="Times New Roman"/>
                <w:b/>
                <w:bCs/>
                <w:color w:val="000000"/>
                <w:sz w:val="24"/>
                <w:szCs w:val="24"/>
                <w:lang w:eastAsia="sv-SE"/>
              </w:rPr>
            </w:pPr>
            <w:r w:rsidRPr="00146B78">
              <w:rPr>
                <w:rFonts w:ascii="Calibri" w:eastAsia="Times New Roman" w:hAnsi="Calibri" w:cs="Times New Roman"/>
                <w:b/>
                <w:bCs/>
                <w:color w:val="000000"/>
                <w:sz w:val="24"/>
                <w:szCs w:val="24"/>
                <w:lang w:eastAsia="sv-SE"/>
              </w:rPr>
              <w:t>Årets Resultat</w:t>
            </w:r>
          </w:p>
        </w:tc>
        <w:tc>
          <w:tcPr>
            <w:tcW w:w="847" w:type="dxa"/>
            <w:tcBorders>
              <w:top w:val="nil"/>
              <w:left w:val="nil"/>
              <w:bottom w:val="nil"/>
              <w:right w:val="nil"/>
            </w:tcBorders>
            <w:shd w:val="clear" w:color="auto" w:fill="auto"/>
            <w:vAlign w:val="bottom"/>
            <w:hideMark/>
          </w:tcPr>
          <w:p w:rsidR="00386517" w:rsidRPr="00146B78" w:rsidRDefault="00386517" w:rsidP="00F90712">
            <w:pPr>
              <w:spacing w:line="240" w:lineRule="auto"/>
              <w:jc w:val="right"/>
              <w:rPr>
                <w:rFonts w:ascii="Calibri" w:eastAsia="Times New Roman" w:hAnsi="Calibri" w:cs="Times New Roman"/>
                <w:b/>
                <w:bCs/>
                <w:color w:val="000000"/>
                <w:sz w:val="24"/>
                <w:szCs w:val="24"/>
                <w:lang w:eastAsia="sv-SE"/>
              </w:rPr>
            </w:pPr>
            <w:r w:rsidRPr="00146B78">
              <w:rPr>
                <w:rFonts w:ascii="Calibri" w:eastAsia="Times New Roman" w:hAnsi="Calibri" w:cs="Times New Roman"/>
                <w:b/>
                <w:bCs/>
                <w:color w:val="000000"/>
                <w:sz w:val="24"/>
                <w:szCs w:val="24"/>
                <w:lang w:eastAsia="sv-SE"/>
              </w:rPr>
              <w:t>529</w:t>
            </w:r>
          </w:p>
        </w:tc>
        <w:tc>
          <w:tcPr>
            <w:tcW w:w="965" w:type="dxa"/>
            <w:tcBorders>
              <w:top w:val="nil"/>
              <w:left w:val="nil"/>
              <w:bottom w:val="nil"/>
              <w:right w:val="nil"/>
            </w:tcBorders>
            <w:shd w:val="clear" w:color="auto" w:fill="auto"/>
            <w:vAlign w:val="bottom"/>
            <w:hideMark/>
          </w:tcPr>
          <w:p w:rsidR="00386517" w:rsidRPr="00146B78" w:rsidRDefault="00386517" w:rsidP="00F90712">
            <w:pPr>
              <w:spacing w:line="240" w:lineRule="auto"/>
              <w:jc w:val="right"/>
              <w:rPr>
                <w:rFonts w:ascii="Calibri" w:eastAsia="Times New Roman" w:hAnsi="Calibri" w:cs="Times New Roman"/>
                <w:b/>
                <w:bCs/>
                <w:color w:val="000000"/>
                <w:sz w:val="24"/>
                <w:szCs w:val="24"/>
                <w:lang w:eastAsia="sv-SE"/>
              </w:rPr>
            </w:pPr>
            <w:r w:rsidRPr="00146B78">
              <w:rPr>
                <w:rFonts w:ascii="Calibri" w:eastAsia="Times New Roman" w:hAnsi="Calibri" w:cs="Times New Roman"/>
                <w:b/>
                <w:bCs/>
                <w:color w:val="000000"/>
                <w:sz w:val="24"/>
                <w:szCs w:val="24"/>
                <w:lang w:eastAsia="sv-SE"/>
              </w:rPr>
              <w:t>170</w:t>
            </w:r>
          </w:p>
        </w:tc>
        <w:tc>
          <w:tcPr>
            <w:tcW w:w="1092" w:type="dxa"/>
            <w:tcBorders>
              <w:top w:val="nil"/>
              <w:left w:val="nil"/>
              <w:bottom w:val="nil"/>
              <w:right w:val="nil"/>
            </w:tcBorders>
            <w:shd w:val="clear" w:color="auto" w:fill="auto"/>
            <w:vAlign w:val="bottom"/>
            <w:hideMark/>
          </w:tcPr>
          <w:p w:rsidR="00386517" w:rsidRPr="00146B78" w:rsidRDefault="00386517" w:rsidP="00F90712">
            <w:pPr>
              <w:spacing w:line="240" w:lineRule="auto"/>
              <w:jc w:val="right"/>
              <w:rPr>
                <w:rFonts w:ascii="Calibri" w:eastAsia="Times New Roman" w:hAnsi="Calibri" w:cs="Times New Roman"/>
                <w:b/>
                <w:bCs/>
                <w:color w:val="000000"/>
                <w:sz w:val="24"/>
                <w:szCs w:val="24"/>
                <w:lang w:eastAsia="sv-SE"/>
              </w:rPr>
            </w:pPr>
            <w:r w:rsidRPr="00146B78">
              <w:rPr>
                <w:rFonts w:ascii="Calibri" w:eastAsia="Times New Roman" w:hAnsi="Calibri" w:cs="Times New Roman"/>
                <w:b/>
                <w:bCs/>
                <w:color w:val="000000"/>
                <w:sz w:val="24"/>
                <w:szCs w:val="24"/>
                <w:lang w:eastAsia="sv-SE"/>
              </w:rPr>
              <w:t>359</w:t>
            </w:r>
          </w:p>
        </w:tc>
        <w:tc>
          <w:tcPr>
            <w:tcW w:w="830" w:type="dxa"/>
            <w:tcBorders>
              <w:top w:val="nil"/>
              <w:left w:val="nil"/>
              <w:bottom w:val="nil"/>
              <w:right w:val="single" w:sz="4" w:space="0" w:color="auto"/>
            </w:tcBorders>
            <w:shd w:val="clear" w:color="auto" w:fill="auto"/>
            <w:vAlign w:val="bottom"/>
            <w:hideMark/>
          </w:tcPr>
          <w:p w:rsidR="00386517" w:rsidRPr="00146B78" w:rsidRDefault="00386517" w:rsidP="00F90712">
            <w:pPr>
              <w:spacing w:line="240" w:lineRule="auto"/>
              <w:jc w:val="right"/>
              <w:rPr>
                <w:rFonts w:ascii="Calibri" w:eastAsia="Times New Roman" w:hAnsi="Calibri" w:cs="Times New Roman"/>
                <w:b/>
                <w:bCs/>
                <w:color w:val="000000"/>
                <w:sz w:val="24"/>
                <w:szCs w:val="24"/>
                <w:lang w:eastAsia="sv-SE"/>
              </w:rPr>
            </w:pPr>
            <w:r w:rsidRPr="00146B78">
              <w:rPr>
                <w:rFonts w:ascii="Calibri" w:eastAsia="Times New Roman" w:hAnsi="Calibri" w:cs="Times New Roman"/>
                <w:b/>
                <w:bCs/>
                <w:color w:val="000000"/>
                <w:sz w:val="24"/>
                <w:szCs w:val="24"/>
                <w:lang w:eastAsia="sv-SE"/>
              </w:rPr>
              <w:t>306</w:t>
            </w:r>
          </w:p>
        </w:tc>
      </w:tr>
      <w:tr w:rsidR="00386517" w:rsidRPr="00146B78" w:rsidTr="00F90712">
        <w:trPr>
          <w:trHeight w:val="284"/>
        </w:trPr>
        <w:tc>
          <w:tcPr>
            <w:tcW w:w="3673" w:type="dxa"/>
            <w:tcBorders>
              <w:top w:val="nil"/>
              <w:left w:val="single" w:sz="4" w:space="0" w:color="auto"/>
              <w:bottom w:val="single" w:sz="4" w:space="0" w:color="auto"/>
              <w:right w:val="nil"/>
            </w:tcBorders>
            <w:shd w:val="clear" w:color="auto" w:fill="auto"/>
            <w:vAlign w:val="bottom"/>
          </w:tcPr>
          <w:p w:rsidR="00386517" w:rsidRPr="00146B78" w:rsidRDefault="00386517" w:rsidP="00F90712">
            <w:pPr>
              <w:spacing w:line="240" w:lineRule="auto"/>
              <w:rPr>
                <w:rFonts w:ascii="Calibri" w:eastAsia="Times New Roman" w:hAnsi="Calibri" w:cs="Times New Roman"/>
                <w:b/>
                <w:bCs/>
                <w:color w:val="000000"/>
                <w:sz w:val="24"/>
                <w:szCs w:val="24"/>
                <w:lang w:eastAsia="sv-SE"/>
              </w:rPr>
            </w:pPr>
          </w:p>
        </w:tc>
        <w:tc>
          <w:tcPr>
            <w:tcW w:w="847" w:type="dxa"/>
            <w:tcBorders>
              <w:top w:val="nil"/>
              <w:left w:val="nil"/>
              <w:bottom w:val="single" w:sz="4" w:space="0" w:color="auto"/>
              <w:right w:val="nil"/>
            </w:tcBorders>
            <w:shd w:val="clear" w:color="auto" w:fill="auto"/>
            <w:vAlign w:val="bottom"/>
          </w:tcPr>
          <w:p w:rsidR="00386517" w:rsidRPr="00146B78" w:rsidRDefault="00386517" w:rsidP="00F90712">
            <w:pPr>
              <w:spacing w:line="240" w:lineRule="auto"/>
              <w:jc w:val="right"/>
              <w:rPr>
                <w:rFonts w:ascii="Calibri" w:eastAsia="Times New Roman" w:hAnsi="Calibri" w:cs="Times New Roman"/>
                <w:b/>
                <w:bCs/>
                <w:color w:val="000000"/>
                <w:sz w:val="24"/>
                <w:szCs w:val="24"/>
                <w:lang w:eastAsia="sv-SE"/>
              </w:rPr>
            </w:pPr>
          </w:p>
        </w:tc>
        <w:tc>
          <w:tcPr>
            <w:tcW w:w="965" w:type="dxa"/>
            <w:tcBorders>
              <w:top w:val="nil"/>
              <w:left w:val="nil"/>
              <w:bottom w:val="single" w:sz="4" w:space="0" w:color="auto"/>
              <w:right w:val="nil"/>
            </w:tcBorders>
            <w:shd w:val="clear" w:color="auto" w:fill="auto"/>
            <w:vAlign w:val="bottom"/>
          </w:tcPr>
          <w:p w:rsidR="00386517" w:rsidRPr="00146B78" w:rsidRDefault="00386517" w:rsidP="00F90712">
            <w:pPr>
              <w:spacing w:line="240" w:lineRule="auto"/>
              <w:jc w:val="right"/>
              <w:rPr>
                <w:rFonts w:ascii="Calibri" w:eastAsia="Times New Roman" w:hAnsi="Calibri" w:cs="Times New Roman"/>
                <w:b/>
                <w:bCs/>
                <w:color w:val="000000"/>
                <w:sz w:val="24"/>
                <w:szCs w:val="24"/>
                <w:lang w:eastAsia="sv-SE"/>
              </w:rPr>
            </w:pPr>
          </w:p>
        </w:tc>
        <w:tc>
          <w:tcPr>
            <w:tcW w:w="1092" w:type="dxa"/>
            <w:tcBorders>
              <w:top w:val="nil"/>
              <w:left w:val="nil"/>
              <w:bottom w:val="single" w:sz="4" w:space="0" w:color="auto"/>
              <w:right w:val="nil"/>
            </w:tcBorders>
            <w:shd w:val="clear" w:color="auto" w:fill="auto"/>
            <w:vAlign w:val="bottom"/>
          </w:tcPr>
          <w:p w:rsidR="00386517" w:rsidRPr="00146B78" w:rsidRDefault="00386517" w:rsidP="00F90712">
            <w:pPr>
              <w:spacing w:line="240" w:lineRule="auto"/>
              <w:jc w:val="right"/>
              <w:rPr>
                <w:rFonts w:ascii="Calibri" w:eastAsia="Times New Roman" w:hAnsi="Calibri" w:cs="Times New Roman"/>
                <w:b/>
                <w:bCs/>
                <w:color w:val="000000"/>
                <w:sz w:val="24"/>
                <w:szCs w:val="24"/>
                <w:lang w:eastAsia="sv-SE"/>
              </w:rPr>
            </w:pPr>
          </w:p>
        </w:tc>
        <w:tc>
          <w:tcPr>
            <w:tcW w:w="830" w:type="dxa"/>
            <w:tcBorders>
              <w:top w:val="nil"/>
              <w:left w:val="nil"/>
              <w:bottom w:val="single" w:sz="4" w:space="0" w:color="auto"/>
              <w:right w:val="single" w:sz="4" w:space="0" w:color="auto"/>
            </w:tcBorders>
            <w:shd w:val="clear" w:color="auto" w:fill="auto"/>
            <w:vAlign w:val="bottom"/>
          </w:tcPr>
          <w:p w:rsidR="00386517" w:rsidRPr="00146B78" w:rsidRDefault="00386517" w:rsidP="00F90712">
            <w:pPr>
              <w:spacing w:line="240" w:lineRule="auto"/>
              <w:jc w:val="right"/>
              <w:rPr>
                <w:rFonts w:ascii="Calibri" w:eastAsia="Times New Roman" w:hAnsi="Calibri" w:cs="Times New Roman"/>
                <w:b/>
                <w:bCs/>
                <w:color w:val="000000"/>
                <w:sz w:val="24"/>
                <w:szCs w:val="24"/>
                <w:lang w:eastAsia="sv-SE"/>
              </w:rPr>
            </w:pPr>
          </w:p>
        </w:tc>
      </w:tr>
    </w:tbl>
    <w:p w:rsidR="00386517" w:rsidRDefault="00386517" w:rsidP="00386517">
      <w:pPr>
        <w:pStyle w:val="Rubrik1"/>
        <w:rPr>
          <w:rStyle w:val="Rubrik1Char"/>
        </w:rPr>
      </w:pPr>
      <w:bookmarkStart w:id="7" w:name="_Toc31010356"/>
      <w:bookmarkStart w:id="8" w:name="_Toc31010831"/>
      <w:r w:rsidRPr="006177E1">
        <w:rPr>
          <w:rStyle w:val="Rubrik1Char"/>
        </w:rPr>
        <w:lastRenderedPageBreak/>
        <w:t>Nämnder och styrelser</w:t>
      </w:r>
      <w:bookmarkEnd w:id="7"/>
      <w:bookmarkEnd w:id="8"/>
    </w:p>
    <w:p w:rsidR="00386517" w:rsidRPr="000F1466" w:rsidRDefault="00386517" w:rsidP="00386517">
      <w:pPr>
        <w:spacing w:before="120" w:after="120" w:line="240" w:lineRule="auto"/>
      </w:pPr>
      <w:r>
        <w:t>Nedan kommenteras de nämnder som har en större budgetavvikelse.</w:t>
      </w:r>
    </w:p>
    <w:p w:rsidR="00386517" w:rsidRDefault="00386517" w:rsidP="00386517">
      <w:pPr>
        <w:pStyle w:val="Rubrik2"/>
      </w:pPr>
      <w:bookmarkStart w:id="9" w:name="_Toc31010357"/>
      <w:r>
        <w:t>Grundskolenämnden, +17,4 mnkr</w:t>
      </w:r>
      <w:bookmarkEnd w:id="9"/>
    </w:p>
    <w:p w:rsidR="00386517" w:rsidRDefault="00386517" w:rsidP="00386517">
      <w:pPr>
        <w:spacing w:before="120" w:line="240" w:lineRule="auto"/>
      </w:pPr>
      <w:r>
        <w:t xml:space="preserve">Stora delar av överskottet i grundskolenämnden beror på färre elever än beräknat, både inom kommunala skolan och för fristående. Budgeten överskreds för elever som går i annan kommun. </w:t>
      </w:r>
    </w:p>
    <w:p w:rsidR="00386517" w:rsidRPr="00772809" w:rsidRDefault="00386517" w:rsidP="00386517">
      <w:pPr>
        <w:spacing w:after="120" w:line="240" w:lineRule="auto"/>
      </w:pPr>
      <w:r>
        <w:t>Den kommunala grundskolans budgetavvikelse blev +4,8 mnkr. Överskottet finns i grundskoleverksamheten och berodde på tillkommande statsbidrag som gav förutsättningar till personalförstärkning. Det har varit svårt att rekrytera behörig personal till delar av verksamheten och personalförstärkningen</w:t>
      </w:r>
      <w:r w:rsidRPr="003F6793">
        <w:t xml:space="preserve"> </w:t>
      </w:r>
      <w:r>
        <w:t>är därför inte till fullo genomförd.</w:t>
      </w:r>
      <w:r w:rsidRPr="004E5E29">
        <w:t xml:space="preserve"> </w:t>
      </w:r>
      <w:r>
        <w:t>Samtliga skolor har förutsättningar att erhålla en budget i balans under 2020.</w:t>
      </w:r>
    </w:p>
    <w:p w:rsidR="00386517" w:rsidRDefault="00386517" w:rsidP="00386517">
      <w:pPr>
        <w:pStyle w:val="Rubrik2"/>
      </w:pPr>
      <w:bookmarkStart w:id="10" w:name="_Toc31010358"/>
      <w:r>
        <w:t>Utbildnings- och arbetsmarknadsnämnden, -39,9 mnkr</w:t>
      </w:r>
      <w:bookmarkEnd w:id="10"/>
    </w:p>
    <w:p w:rsidR="00386517" w:rsidRDefault="00386517" w:rsidP="00386517">
      <w:pPr>
        <w:spacing w:before="120" w:line="240" w:lineRule="auto"/>
      </w:pPr>
      <w:r>
        <w:t xml:space="preserve">Resultatet i utbildnings- och arbetsmarknadsnämnden försämrades med </w:t>
      </w:r>
      <w:r>
        <w:br/>
        <w:t xml:space="preserve">20,2 mnkr på grund av 177 fler elever jämfört med budgeten. Totalt ökade antalet elever med 315 jämfört med 2018. Dessutom har en underskottskompensation betalats under året till JBs konkursbo efter en dom i kammarrätten. Eftersom den kommunala gymnasieskolan uppvisar underskott med -12,1 mnkr har ytterligare 7,2 mnkr reserverats för kommande underskottskompensation till fristående utförare. </w:t>
      </w:r>
    </w:p>
    <w:p w:rsidR="00386517" w:rsidRDefault="00386517" w:rsidP="00386517">
      <w:pPr>
        <w:pStyle w:val="Kommentarer"/>
        <w:spacing w:after="120"/>
      </w:pPr>
      <w:r w:rsidRPr="00DA36E7">
        <w:rPr>
          <w:sz w:val="22"/>
          <w:szCs w:val="22"/>
        </w:rPr>
        <w:t>Den kommunala g</w:t>
      </w:r>
      <w:r w:rsidR="00DE0E66">
        <w:rPr>
          <w:sz w:val="22"/>
          <w:szCs w:val="22"/>
        </w:rPr>
        <w:t>ymnasie</w:t>
      </w:r>
      <w:r w:rsidRPr="00DA36E7">
        <w:rPr>
          <w:sz w:val="22"/>
          <w:szCs w:val="22"/>
        </w:rPr>
        <w:t xml:space="preserve">kolan har fortsatt problem med ekonomi i balans trots stora åtgärder under ett antal år. Ökade lokalkostnader är en bidragande orsak. Andelen elever ökade mindre än planerat och andelen elever i kommunal verksamhet sjönk något. </w:t>
      </w:r>
    </w:p>
    <w:p w:rsidR="00386517" w:rsidRDefault="00386517" w:rsidP="00386517">
      <w:pPr>
        <w:pStyle w:val="Rubrik2"/>
      </w:pPr>
      <w:bookmarkStart w:id="11" w:name="_Toc31010359"/>
      <w:r>
        <w:t>Individ- och familjenämnden, -98,4 mnkr</w:t>
      </w:r>
      <w:bookmarkEnd w:id="11"/>
    </w:p>
    <w:p w:rsidR="00386517" w:rsidRDefault="00386517" w:rsidP="00386517">
      <w:pPr>
        <w:spacing w:before="120" w:line="240" w:lineRule="auto"/>
      </w:pPr>
      <w:r>
        <w:t>Individ- och familjenämndens underskott blev -154,1 mnkr, exklusive överskott i flyktingverksamheten. Resultat inom barn och ungdom blev -86 mnkr och berodde främst på höga kostnader inom institutionsvården och familjehemsvården. Det är brist på hem för vård och boende (</w:t>
      </w:r>
      <w:proofErr w:type="spellStart"/>
      <w:r>
        <w:t>hvb-hem</w:t>
      </w:r>
      <w:proofErr w:type="spellEnd"/>
      <w:r>
        <w:t xml:space="preserve">) för vårdkrävande barn och ungdomar och även brist på familjehem. Det har gjort att dyrare lösningar har fått användas. Nya ärenden ökade markant under året. </w:t>
      </w:r>
    </w:p>
    <w:p w:rsidR="00386517" w:rsidRDefault="00386517" w:rsidP="00386517">
      <w:pPr>
        <w:spacing w:line="240" w:lineRule="auto"/>
      </w:pPr>
      <w:r>
        <w:t xml:space="preserve">Missbruksvården inom vuxenvården är dyr i Västerås jämfört med övriga riket.  Åtgärder om 13 mnkr gjordes för att minska kostnaderna, men i förhållande till budgeten blev det ett underskott om -46,9 mnkr. </w:t>
      </w:r>
    </w:p>
    <w:p w:rsidR="00386517" w:rsidRDefault="00386517" w:rsidP="00386517">
      <w:pPr>
        <w:spacing w:line="240" w:lineRule="auto"/>
      </w:pPr>
      <w:r>
        <w:t>Ärenden inom våld i nära relation ökade under året, medan kostnaderna minskade. Resultatet jämfört med budgeten blev -8 mnkr. Stabil arbetsledning, fler medarbetare inom myndighetsutövningen samt genomgångslösningar på boendesidan är åtgärder som gav både ekonomiska och kvalitetshöjande effekter.</w:t>
      </w:r>
    </w:p>
    <w:p w:rsidR="00386517" w:rsidRDefault="00386517" w:rsidP="00386517">
      <w:pPr>
        <w:spacing w:after="120" w:line="240" w:lineRule="auto"/>
      </w:pPr>
      <w:r>
        <w:lastRenderedPageBreak/>
        <w:t xml:space="preserve">Inom verksamheten ekonomiskt bistånd ökade antalet hushåll och barnfamiljerna blev större, vilket gjorde att snittkostnaden per utbetalt hushåll ökade. Resultatet blev ett underskott med -9,0 mnkr mot budget. </w:t>
      </w:r>
    </w:p>
    <w:p w:rsidR="00386517" w:rsidRDefault="00386517" w:rsidP="00386517">
      <w:pPr>
        <w:spacing w:after="120" w:line="240" w:lineRule="auto"/>
      </w:pPr>
      <w:r>
        <w:t>Resultat i mnkr</w:t>
      </w:r>
    </w:p>
    <w:tbl>
      <w:tblPr>
        <w:tblStyle w:val="Tabellrutnt"/>
        <w:tblW w:w="7452" w:type="dxa"/>
        <w:tblLook w:val="04A0" w:firstRow="1" w:lastRow="0" w:firstColumn="1" w:lastColumn="0" w:noHBand="0" w:noVBand="1"/>
      </w:tblPr>
      <w:tblGrid>
        <w:gridCol w:w="1442"/>
        <w:gridCol w:w="1442"/>
        <w:gridCol w:w="1442"/>
        <w:gridCol w:w="1442"/>
        <w:gridCol w:w="1684"/>
      </w:tblGrid>
      <w:tr w:rsidR="00386517" w:rsidTr="00F90712">
        <w:trPr>
          <w:trHeight w:val="273"/>
        </w:trPr>
        <w:tc>
          <w:tcPr>
            <w:tcW w:w="1442" w:type="dxa"/>
          </w:tcPr>
          <w:p w:rsidR="00386517" w:rsidRPr="00F1654B" w:rsidRDefault="00386517" w:rsidP="00F90712">
            <w:pPr>
              <w:spacing w:line="240" w:lineRule="auto"/>
              <w:rPr>
                <w:b/>
              </w:rPr>
            </w:pPr>
            <w:r w:rsidRPr="00F1654B">
              <w:rPr>
                <w:b/>
              </w:rPr>
              <w:t>Verksamhet</w:t>
            </w:r>
          </w:p>
        </w:tc>
        <w:tc>
          <w:tcPr>
            <w:tcW w:w="1442" w:type="dxa"/>
          </w:tcPr>
          <w:p w:rsidR="00386517" w:rsidRPr="00F1654B" w:rsidRDefault="00386517" w:rsidP="00F90712">
            <w:pPr>
              <w:spacing w:line="240" w:lineRule="auto"/>
              <w:jc w:val="right"/>
              <w:rPr>
                <w:b/>
              </w:rPr>
            </w:pPr>
            <w:r w:rsidRPr="00F1654B">
              <w:rPr>
                <w:b/>
              </w:rPr>
              <w:t>Utfall 2018</w:t>
            </w:r>
          </w:p>
        </w:tc>
        <w:tc>
          <w:tcPr>
            <w:tcW w:w="1442" w:type="dxa"/>
          </w:tcPr>
          <w:p w:rsidR="00386517" w:rsidRPr="00F1654B" w:rsidRDefault="00386517" w:rsidP="00F90712">
            <w:pPr>
              <w:spacing w:line="240" w:lineRule="auto"/>
              <w:jc w:val="right"/>
              <w:rPr>
                <w:b/>
              </w:rPr>
            </w:pPr>
            <w:r w:rsidRPr="00F1654B">
              <w:rPr>
                <w:b/>
              </w:rPr>
              <w:t>Utfall 2019</w:t>
            </w:r>
          </w:p>
        </w:tc>
        <w:tc>
          <w:tcPr>
            <w:tcW w:w="1442" w:type="dxa"/>
          </w:tcPr>
          <w:p w:rsidR="00386517" w:rsidRPr="00F1654B" w:rsidRDefault="00386517" w:rsidP="00F90712">
            <w:pPr>
              <w:spacing w:line="240" w:lineRule="auto"/>
              <w:jc w:val="right"/>
              <w:rPr>
                <w:b/>
              </w:rPr>
            </w:pPr>
            <w:r w:rsidRPr="00F1654B">
              <w:rPr>
                <w:b/>
              </w:rPr>
              <w:t>Budget 2019</w:t>
            </w:r>
          </w:p>
        </w:tc>
        <w:tc>
          <w:tcPr>
            <w:tcW w:w="1684" w:type="dxa"/>
          </w:tcPr>
          <w:p w:rsidR="00386517" w:rsidRPr="00F1654B" w:rsidRDefault="00386517" w:rsidP="00F90712">
            <w:pPr>
              <w:spacing w:line="240" w:lineRule="auto"/>
              <w:jc w:val="right"/>
              <w:rPr>
                <w:b/>
              </w:rPr>
            </w:pPr>
            <w:r w:rsidRPr="00F1654B">
              <w:rPr>
                <w:b/>
              </w:rPr>
              <w:t>Avvikelse 2019</w:t>
            </w:r>
          </w:p>
        </w:tc>
      </w:tr>
      <w:tr w:rsidR="00386517" w:rsidTr="00F90712">
        <w:trPr>
          <w:trHeight w:val="273"/>
        </w:trPr>
        <w:tc>
          <w:tcPr>
            <w:tcW w:w="1442" w:type="dxa"/>
          </w:tcPr>
          <w:p w:rsidR="00386517" w:rsidRDefault="00386517" w:rsidP="00F90712">
            <w:pPr>
              <w:spacing w:line="240" w:lineRule="auto"/>
            </w:pPr>
            <w:r>
              <w:t>Gemensamt</w:t>
            </w:r>
          </w:p>
        </w:tc>
        <w:tc>
          <w:tcPr>
            <w:tcW w:w="1442" w:type="dxa"/>
          </w:tcPr>
          <w:p w:rsidR="00386517" w:rsidRDefault="00386517" w:rsidP="00F90712">
            <w:pPr>
              <w:spacing w:line="240" w:lineRule="auto"/>
              <w:jc w:val="right"/>
            </w:pPr>
            <w:r>
              <w:t>214,4</w:t>
            </w:r>
          </w:p>
        </w:tc>
        <w:tc>
          <w:tcPr>
            <w:tcW w:w="1442" w:type="dxa"/>
          </w:tcPr>
          <w:p w:rsidR="00386517" w:rsidRDefault="00386517" w:rsidP="00F90712">
            <w:pPr>
              <w:spacing w:line="240" w:lineRule="auto"/>
              <w:jc w:val="right"/>
            </w:pPr>
            <w:r>
              <w:t>215,3</w:t>
            </w:r>
          </w:p>
        </w:tc>
        <w:tc>
          <w:tcPr>
            <w:tcW w:w="1442" w:type="dxa"/>
          </w:tcPr>
          <w:p w:rsidR="00386517" w:rsidRDefault="00386517" w:rsidP="00F90712">
            <w:pPr>
              <w:spacing w:line="240" w:lineRule="auto"/>
              <w:jc w:val="right"/>
            </w:pPr>
            <w:r>
              <w:t>218,0</w:t>
            </w:r>
          </w:p>
        </w:tc>
        <w:tc>
          <w:tcPr>
            <w:tcW w:w="1684" w:type="dxa"/>
          </w:tcPr>
          <w:p w:rsidR="00386517" w:rsidRDefault="00386517" w:rsidP="00F90712">
            <w:pPr>
              <w:spacing w:line="240" w:lineRule="auto"/>
              <w:jc w:val="right"/>
            </w:pPr>
            <w:r>
              <w:t>2,7</w:t>
            </w:r>
          </w:p>
        </w:tc>
      </w:tr>
      <w:tr w:rsidR="00386517" w:rsidTr="00F90712">
        <w:trPr>
          <w:trHeight w:val="285"/>
        </w:trPr>
        <w:tc>
          <w:tcPr>
            <w:tcW w:w="1442" w:type="dxa"/>
          </w:tcPr>
          <w:p w:rsidR="00386517" w:rsidRDefault="00386517" w:rsidP="00F90712">
            <w:pPr>
              <w:spacing w:line="240" w:lineRule="auto"/>
            </w:pPr>
            <w:r>
              <w:t>Ek bistånd</w:t>
            </w:r>
          </w:p>
        </w:tc>
        <w:tc>
          <w:tcPr>
            <w:tcW w:w="1442" w:type="dxa"/>
          </w:tcPr>
          <w:p w:rsidR="00386517" w:rsidRDefault="00386517" w:rsidP="00F90712">
            <w:pPr>
              <w:spacing w:line="240" w:lineRule="auto"/>
              <w:jc w:val="right"/>
            </w:pPr>
            <w:r>
              <w:t>206,5</w:t>
            </w:r>
          </w:p>
        </w:tc>
        <w:tc>
          <w:tcPr>
            <w:tcW w:w="1442" w:type="dxa"/>
          </w:tcPr>
          <w:p w:rsidR="00386517" w:rsidRDefault="00386517" w:rsidP="00F90712">
            <w:pPr>
              <w:spacing w:line="240" w:lineRule="auto"/>
              <w:jc w:val="right"/>
            </w:pPr>
            <w:r>
              <w:t>216,4</w:t>
            </w:r>
          </w:p>
        </w:tc>
        <w:tc>
          <w:tcPr>
            <w:tcW w:w="1442" w:type="dxa"/>
          </w:tcPr>
          <w:p w:rsidR="00386517" w:rsidRDefault="00386517" w:rsidP="00F90712">
            <w:pPr>
              <w:spacing w:line="240" w:lineRule="auto"/>
              <w:jc w:val="right"/>
            </w:pPr>
            <w:r>
              <w:t>207,4</w:t>
            </w:r>
          </w:p>
        </w:tc>
        <w:tc>
          <w:tcPr>
            <w:tcW w:w="1684" w:type="dxa"/>
          </w:tcPr>
          <w:p w:rsidR="00386517" w:rsidRDefault="00386517" w:rsidP="00F90712">
            <w:pPr>
              <w:spacing w:line="240" w:lineRule="auto"/>
              <w:jc w:val="right"/>
            </w:pPr>
            <w:proofErr w:type="gramStart"/>
            <w:r>
              <w:t>-</w:t>
            </w:r>
            <w:proofErr w:type="gramEnd"/>
            <w:r>
              <w:t>9,0</w:t>
            </w:r>
          </w:p>
        </w:tc>
      </w:tr>
      <w:tr w:rsidR="00386517" w:rsidTr="00F90712">
        <w:trPr>
          <w:trHeight w:val="273"/>
        </w:trPr>
        <w:tc>
          <w:tcPr>
            <w:tcW w:w="1442" w:type="dxa"/>
          </w:tcPr>
          <w:p w:rsidR="00386517" w:rsidRDefault="00386517" w:rsidP="00F90712">
            <w:pPr>
              <w:spacing w:line="240" w:lineRule="auto"/>
            </w:pPr>
            <w:r>
              <w:t>Vuxenvård</w:t>
            </w:r>
          </w:p>
        </w:tc>
        <w:tc>
          <w:tcPr>
            <w:tcW w:w="1442" w:type="dxa"/>
          </w:tcPr>
          <w:p w:rsidR="00386517" w:rsidRDefault="00386517" w:rsidP="00F90712">
            <w:pPr>
              <w:spacing w:line="240" w:lineRule="auto"/>
              <w:jc w:val="right"/>
            </w:pPr>
            <w:r>
              <w:t>114,2</w:t>
            </w:r>
          </w:p>
        </w:tc>
        <w:tc>
          <w:tcPr>
            <w:tcW w:w="1442" w:type="dxa"/>
          </w:tcPr>
          <w:p w:rsidR="00386517" w:rsidRDefault="00386517" w:rsidP="00F90712">
            <w:pPr>
              <w:spacing w:line="240" w:lineRule="auto"/>
              <w:jc w:val="right"/>
            </w:pPr>
            <w:r>
              <w:t>111,4</w:t>
            </w:r>
          </w:p>
        </w:tc>
        <w:tc>
          <w:tcPr>
            <w:tcW w:w="1442" w:type="dxa"/>
          </w:tcPr>
          <w:p w:rsidR="00386517" w:rsidRDefault="00386517" w:rsidP="00F90712">
            <w:pPr>
              <w:spacing w:line="240" w:lineRule="auto"/>
              <w:jc w:val="right"/>
            </w:pPr>
            <w:r>
              <w:t>56,7</w:t>
            </w:r>
          </w:p>
        </w:tc>
        <w:tc>
          <w:tcPr>
            <w:tcW w:w="1684" w:type="dxa"/>
          </w:tcPr>
          <w:p w:rsidR="00386517" w:rsidRDefault="00386517" w:rsidP="00F90712">
            <w:pPr>
              <w:spacing w:line="240" w:lineRule="auto"/>
              <w:jc w:val="right"/>
            </w:pPr>
            <w:proofErr w:type="gramStart"/>
            <w:r>
              <w:t>-</w:t>
            </w:r>
            <w:proofErr w:type="gramEnd"/>
            <w:r>
              <w:t>54,7</w:t>
            </w:r>
          </w:p>
        </w:tc>
      </w:tr>
      <w:tr w:rsidR="00386517" w:rsidTr="00F90712">
        <w:trPr>
          <w:trHeight w:val="273"/>
        </w:trPr>
        <w:tc>
          <w:tcPr>
            <w:tcW w:w="1442" w:type="dxa"/>
          </w:tcPr>
          <w:p w:rsidR="00386517" w:rsidRDefault="00386517" w:rsidP="00F90712">
            <w:pPr>
              <w:spacing w:line="240" w:lineRule="auto"/>
            </w:pPr>
            <w:r>
              <w:t>BoU vård</w:t>
            </w:r>
          </w:p>
        </w:tc>
        <w:tc>
          <w:tcPr>
            <w:tcW w:w="1442" w:type="dxa"/>
          </w:tcPr>
          <w:p w:rsidR="00386517" w:rsidRDefault="00386517" w:rsidP="00F90712">
            <w:pPr>
              <w:spacing w:line="240" w:lineRule="auto"/>
              <w:jc w:val="right"/>
            </w:pPr>
            <w:r>
              <w:t>248,8</w:t>
            </w:r>
          </w:p>
        </w:tc>
        <w:tc>
          <w:tcPr>
            <w:tcW w:w="1442" w:type="dxa"/>
          </w:tcPr>
          <w:p w:rsidR="00386517" w:rsidRDefault="00386517" w:rsidP="00F90712">
            <w:pPr>
              <w:spacing w:line="240" w:lineRule="auto"/>
              <w:jc w:val="right"/>
            </w:pPr>
            <w:r>
              <w:t>309,0</w:t>
            </w:r>
          </w:p>
        </w:tc>
        <w:tc>
          <w:tcPr>
            <w:tcW w:w="1442" w:type="dxa"/>
          </w:tcPr>
          <w:p w:rsidR="00386517" w:rsidRDefault="00386517" w:rsidP="00F90712">
            <w:pPr>
              <w:spacing w:line="240" w:lineRule="auto"/>
              <w:jc w:val="right"/>
            </w:pPr>
            <w:r>
              <w:t>222,9</w:t>
            </w:r>
          </w:p>
        </w:tc>
        <w:tc>
          <w:tcPr>
            <w:tcW w:w="1684" w:type="dxa"/>
          </w:tcPr>
          <w:p w:rsidR="00386517" w:rsidRDefault="00386517" w:rsidP="00F90712">
            <w:pPr>
              <w:spacing w:line="240" w:lineRule="auto"/>
              <w:jc w:val="right"/>
            </w:pPr>
            <w:proofErr w:type="gramStart"/>
            <w:r>
              <w:t>-</w:t>
            </w:r>
            <w:proofErr w:type="gramEnd"/>
            <w:r>
              <w:t>86,0</w:t>
            </w:r>
          </w:p>
        </w:tc>
      </w:tr>
      <w:tr w:rsidR="00386517" w:rsidTr="00F90712">
        <w:trPr>
          <w:trHeight w:val="273"/>
        </w:trPr>
        <w:tc>
          <w:tcPr>
            <w:tcW w:w="1442" w:type="dxa"/>
          </w:tcPr>
          <w:p w:rsidR="00386517" w:rsidRDefault="00386517" w:rsidP="00F90712">
            <w:pPr>
              <w:spacing w:line="240" w:lineRule="auto"/>
            </w:pPr>
            <w:r>
              <w:t>VIR</w:t>
            </w:r>
          </w:p>
        </w:tc>
        <w:tc>
          <w:tcPr>
            <w:tcW w:w="1442" w:type="dxa"/>
          </w:tcPr>
          <w:p w:rsidR="00386517" w:rsidRDefault="00386517" w:rsidP="00F90712">
            <w:pPr>
              <w:spacing w:line="240" w:lineRule="auto"/>
              <w:jc w:val="right"/>
            </w:pPr>
            <w:r>
              <w:t>49,6</w:t>
            </w:r>
          </w:p>
        </w:tc>
        <w:tc>
          <w:tcPr>
            <w:tcW w:w="1442" w:type="dxa"/>
          </w:tcPr>
          <w:p w:rsidR="00386517" w:rsidRDefault="00386517" w:rsidP="00F90712">
            <w:pPr>
              <w:spacing w:line="240" w:lineRule="auto"/>
              <w:jc w:val="right"/>
            </w:pPr>
            <w:r>
              <w:t>42,8</w:t>
            </w:r>
          </w:p>
        </w:tc>
        <w:tc>
          <w:tcPr>
            <w:tcW w:w="1442" w:type="dxa"/>
          </w:tcPr>
          <w:p w:rsidR="00386517" w:rsidRDefault="00386517" w:rsidP="00F90712">
            <w:pPr>
              <w:spacing w:line="240" w:lineRule="auto"/>
              <w:jc w:val="right"/>
            </w:pPr>
            <w:r>
              <w:t>34,7</w:t>
            </w:r>
          </w:p>
        </w:tc>
        <w:tc>
          <w:tcPr>
            <w:tcW w:w="1684" w:type="dxa"/>
          </w:tcPr>
          <w:p w:rsidR="00386517" w:rsidRDefault="00386517" w:rsidP="00F90712">
            <w:pPr>
              <w:spacing w:line="240" w:lineRule="auto"/>
              <w:jc w:val="right"/>
            </w:pPr>
            <w:proofErr w:type="gramStart"/>
            <w:r>
              <w:t>-</w:t>
            </w:r>
            <w:proofErr w:type="gramEnd"/>
            <w:r>
              <w:t>8,0</w:t>
            </w:r>
          </w:p>
        </w:tc>
      </w:tr>
      <w:tr w:rsidR="00386517" w:rsidTr="00F90712">
        <w:trPr>
          <w:trHeight w:val="273"/>
        </w:trPr>
        <w:tc>
          <w:tcPr>
            <w:tcW w:w="1442" w:type="dxa"/>
          </w:tcPr>
          <w:p w:rsidR="00386517" w:rsidRDefault="00386517" w:rsidP="00F90712">
            <w:pPr>
              <w:spacing w:line="240" w:lineRule="auto"/>
            </w:pPr>
            <w:r>
              <w:t>Boende</w:t>
            </w:r>
          </w:p>
        </w:tc>
        <w:tc>
          <w:tcPr>
            <w:tcW w:w="1442" w:type="dxa"/>
          </w:tcPr>
          <w:p w:rsidR="00386517" w:rsidRDefault="00386517" w:rsidP="00F90712">
            <w:pPr>
              <w:spacing w:line="240" w:lineRule="auto"/>
              <w:jc w:val="right"/>
            </w:pPr>
            <w:r>
              <w:t>82,4</w:t>
            </w:r>
          </w:p>
        </w:tc>
        <w:tc>
          <w:tcPr>
            <w:tcW w:w="1442" w:type="dxa"/>
          </w:tcPr>
          <w:p w:rsidR="00386517" w:rsidRDefault="00386517" w:rsidP="00F90712">
            <w:pPr>
              <w:spacing w:line="240" w:lineRule="auto"/>
              <w:jc w:val="right"/>
            </w:pPr>
            <w:r>
              <w:t>77,6</w:t>
            </w:r>
          </w:p>
        </w:tc>
        <w:tc>
          <w:tcPr>
            <w:tcW w:w="1442" w:type="dxa"/>
          </w:tcPr>
          <w:p w:rsidR="00386517" w:rsidRDefault="00386517" w:rsidP="00F90712">
            <w:pPr>
              <w:spacing w:line="240" w:lineRule="auto"/>
              <w:jc w:val="right"/>
            </w:pPr>
            <w:r>
              <w:t>78,4</w:t>
            </w:r>
          </w:p>
        </w:tc>
        <w:tc>
          <w:tcPr>
            <w:tcW w:w="1684" w:type="dxa"/>
          </w:tcPr>
          <w:p w:rsidR="00386517" w:rsidRDefault="00386517" w:rsidP="00F90712">
            <w:pPr>
              <w:spacing w:line="240" w:lineRule="auto"/>
              <w:jc w:val="right"/>
            </w:pPr>
            <w:r>
              <w:t>0,8</w:t>
            </w:r>
          </w:p>
        </w:tc>
      </w:tr>
      <w:tr w:rsidR="00386517" w:rsidTr="00F90712">
        <w:trPr>
          <w:trHeight w:val="297"/>
        </w:trPr>
        <w:tc>
          <w:tcPr>
            <w:tcW w:w="1442" w:type="dxa"/>
          </w:tcPr>
          <w:p w:rsidR="00386517" w:rsidRPr="00F1654B" w:rsidRDefault="00386517" w:rsidP="00F90712">
            <w:pPr>
              <w:spacing w:line="240" w:lineRule="auto"/>
              <w:rPr>
                <w:b/>
              </w:rPr>
            </w:pPr>
            <w:r w:rsidRPr="00F1654B">
              <w:rPr>
                <w:b/>
              </w:rPr>
              <w:t xml:space="preserve">Totalt </w:t>
            </w:r>
            <w:proofErr w:type="spellStart"/>
            <w:r w:rsidRPr="00F1654B">
              <w:rPr>
                <w:b/>
              </w:rPr>
              <w:t>IoF</w:t>
            </w:r>
            <w:proofErr w:type="spellEnd"/>
          </w:p>
        </w:tc>
        <w:tc>
          <w:tcPr>
            <w:tcW w:w="1442" w:type="dxa"/>
          </w:tcPr>
          <w:p w:rsidR="00386517" w:rsidRPr="00F1654B" w:rsidRDefault="00386517" w:rsidP="00F90712">
            <w:pPr>
              <w:spacing w:line="240" w:lineRule="auto"/>
              <w:jc w:val="right"/>
              <w:rPr>
                <w:b/>
              </w:rPr>
            </w:pPr>
            <w:r>
              <w:rPr>
                <w:b/>
              </w:rPr>
              <w:t>915,9</w:t>
            </w:r>
          </w:p>
        </w:tc>
        <w:tc>
          <w:tcPr>
            <w:tcW w:w="1442" w:type="dxa"/>
          </w:tcPr>
          <w:p w:rsidR="00386517" w:rsidRPr="00F1654B" w:rsidRDefault="00386517" w:rsidP="00F90712">
            <w:pPr>
              <w:spacing w:line="240" w:lineRule="auto"/>
              <w:jc w:val="right"/>
              <w:rPr>
                <w:b/>
              </w:rPr>
            </w:pPr>
            <w:r>
              <w:rPr>
                <w:b/>
              </w:rPr>
              <w:t>972,5</w:t>
            </w:r>
          </w:p>
        </w:tc>
        <w:tc>
          <w:tcPr>
            <w:tcW w:w="1442" w:type="dxa"/>
          </w:tcPr>
          <w:p w:rsidR="00386517" w:rsidRPr="00F1654B" w:rsidRDefault="00386517" w:rsidP="00F90712">
            <w:pPr>
              <w:spacing w:line="240" w:lineRule="auto"/>
              <w:jc w:val="right"/>
              <w:rPr>
                <w:b/>
              </w:rPr>
            </w:pPr>
            <w:r>
              <w:rPr>
                <w:b/>
              </w:rPr>
              <w:t>818,1</w:t>
            </w:r>
          </w:p>
        </w:tc>
        <w:tc>
          <w:tcPr>
            <w:tcW w:w="1684" w:type="dxa"/>
          </w:tcPr>
          <w:p w:rsidR="00386517" w:rsidRPr="00F1654B" w:rsidRDefault="00386517" w:rsidP="00F90712">
            <w:pPr>
              <w:spacing w:line="240" w:lineRule="auto"/>
              <w:jc w:val="right"/>
              <w:rPr>
                <w:b/>
              </w:rPr>
            </w:pPr>
            <w:proofErr w:type="gramStart"/>
            <w:r>
              <w:rPr>
                <w:b/>
              </w:rPr>
              <w:t>-</w:t>
            </w:r>
            <w:proofErr w:type="gramEnd"/>
            <w:r>
              <w:rPr>
                <w:b/>
              </w:rPr>
              <w:t>154,1</w:t>
            </w:r>
          </w:p>
        </w:tc>
      </w:tr>
    </w:tbl>
    <w:p w:rsidR="00386517" w:rsidRPr="004A541D" w:rsidRDefault="00386517" w:rsidP="00386517">
      <w:pPr>
        <w:spacing w:after="120" w:line="240" w:lineRule="auto"/>
        <w:rPr>
          <w:strike/>
        </w:rPr>
      </w:pPr>
      <w:r w:rsidRPr="004F6173">
        <w:t xml:space="preserve">Flyktingverksamheten visar ett </w:t>
      </w:r>
      <w:r>
        <w:t xml:space="preserve">stort överskott på grund av att introduktion och utbildning för den stora grupp som kom 2016 har kunnat effektiviseras. </w:t>
      </w:r>
    </w:p>
    <w:p w:rsidR="00386517" w:rsidRDefault="00386517" w:rsidP="00386517">
      <w:pPr>
        <w:pStyle w:val="Rubrik2"/>
      </w:pPr>
      <w:bookmarkStart w:id="12" w:name="_Toc31010360"/>
      <w:r>
        <w:t>Äldrenämnden, +16,6 mnkr</w:t>
      </w:r>
      <w:bookmarkEnd w:id="12"/>
    </w:p>
    <w:p w:rsidR="00386517" w:rsidRDefault="00386517" w:rsidP="00386517">
      <w:pPr>
        <w:spacing w:before="120" w:line="240" w:lineRule="auto"/>
      </w:pPr>
      <w:r>
        <w:t xml:space="preserve">Överskottet i äldrenämnden består delvis av att en satsning på 14,7 mnkr för att finansiera högre chefstäthet, minskning av delade turer med mera. Åtgärderna bromsades eftersom rekryteringsprocessen tog tid. Arbetet fortsätter 2020. </w:t>
      </w:r>
    </w:p>
    <w:p w:rsidR="00386517" w:rsidRPr="00501765" w:rsidRDefault="00386517" w:rsidP="00386517">
      <w:pPr>
        <w:spacing w:after="120" w:line="240" w:lineRule="auto"/>
      </w:pPr>
      <w:r>
        <w:t>Budgeten för hemtjänsten visade ett överskott på 17,5 mnkr. De senaste årens trend med minskade timmar har brutits. Ökningen för 2019 var inte i takt med demografiökningen. H</w:t>
      </w:r>
      <w:r w:rsidRPr="00501765">
        <w:t xml:space="preserve">emsjukvården </w:t>
      </w:r>
      <w:r>
        <w:t>har</w:t>
      </w:r>
      <w:r w:rsidRPr="00501765">
        <w:t xml:space="preserve"> ökat från att den togs över från landstinget/regionen. </w:t>
      </w:r>
    </w:p>
    <w:p w:rsidR="00386517" w:rsidRDefault="00386517" w:rsidP="00386517">
      <w:pPr>
        <w:spacing w:line="240" w:lineRule="auto"/>
      </w:pPr>
      <w:r>
        <w:rPr>
          <w:noProof/>
          <w:lang w:eastAsia="sv-SE"/>
        </w:rPr>
        <w:drawing>
          <wp:inline distT="0" distB="0" distL="0" distR="0" wp14:anchorId="292F684B" wp14:editId="1AC0C9CF">
            <wp:extent cx="4679950" cy="2503878"/>
            <wp:effectExtent l="0" t="0" r="635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679950" cy="2503878"/>
                    </a:xfrm>
                    <a:prstGeom prst="rect">
                      <a:avLst/>
                    </a:prstGeom>
                  </pic:spPr>
                </pic:pic>
              </a:graphicData>
            </a:graphic>
          </wp:inline>
        </w:drawing>
      </w:r>
    </w:p>
    <w:p w:rsidR="00386517" w:rsidRDefault="00386517" w:rsidP="00386517">
      <w:pPr>
        <w:spacing w:before="120" w:after="120" w:line="240" w:lineRule="auto"/>
      </w:pPr>
      <w:r>
        <w:t xml:space="preserve">Egenregin fick ett negativt resultat på -15,2 mnkr vilket berodde på underskott inom hemtjänst och hemsjukvård med -28,4 mnkr. Verksamheten för särskilt boende, servicehus och äldreboende, uppvisade ett överskott på 13,7 mnkr. Orsaker är bland annat tomplatser på servicehus och statsbidrag. Statliga </w:t>
      </w:r>
      <w:r>
        <w:lastRenderedPageBreak/>
        <w:t xml:space="preserve">stimulansmedel för förstärkning av äldreomsorgen finansierade kostnader för nattbemanning och kompetenssatsningar. </w:t>
      </w:r>
    </w:p>
    <w:p w:rsidR="00386517" w:rsidRDefault="00386517" w:rsidP="00386517">
      <w:pPr>
        <w:pStyle w:val="Rubrik2"/>
      </w:pPr>
      <w:bookmarkStart w:id="13" w:name="_Toc31010361"/>
      <w:r>
        <w:t>Nämnden för personer med funktionsnedsättning, -10,2 mnkr</w:t>
      </w:r>
      <w:bookmarkEnd w:id="13"/>
    </w:p>
    <w:p w:rsidR="00386517" w:rsidRDefault="00386517" w:rsidP="00386517">
      <w:pPr>
        <w:spacing w:before="120" w:line="240" w:lineRule="auto"/>
      </w:pPr>
      <w:r>
        <w:t xml:space="preserve">Budgetavvikelsen i nämnden för personer med funktionsnedsättning förklaras av personlig assistans -4,8 mnkr, köpta placeringar vuxna -15,8 mnkr och daglig verksamhet -6,5 mnkr. Kostnaderna för köpta placeringar ökar varje år. En anledning till placeringarna är att behoven är så omfattande och kräver specifik kompetens, att nämnden inte kunnat tillgodose dessa på hemmaplan. </w:t>
      </w:r>
    </w:p>
    <w:p w:rsidR="00386517" w:rsidRDefault="00386517" w:rsidP="00386517">
      <w:pPr>
        <w:spacing w:after="120" w:line="240" w:lineRule="auto"/>
      </w:pPr>
      <w:r>
        <w:t xml:space="preserve">Överskott fanns inom bland annat särskilt boende och bostadsanpassningsbidrag. Egenregin hade ett överskott på 7,5 mnkr. Genom aktiv bemanningsplanering hölls personalkostnaderna nere. Korttidsverksamheten inom LSS och särskilt boende hade ett positivt resultat på 6,3 mnkr. </w:t>
      </w:r>
    </w:p>
    <w:p w:rsidR="00386517" w:rsidRDefault="00386517" w:rsidP="00386517">
      <w:pPr>
        <w:pStyle w:val="Rubrik2"/>
      </w:pPr>
      <w:bookmarkStart w:id="14" w:name="_Toc31010362"/>
      <w:r>
        <w:t>Fastighetsnämnden, +201,4 mnkr</w:t>
      </w:r>
      <w:bookmarkEnd w:id="14"/>
    </w:p>
    <w:p w:rsidR="00386517" w:rsidRDefault="00386517" w:rsidP="00386517">
      <w:pPr>
        <w:spacing w:before="120" w:line="240" w:lineRule="auto"/>
      </w:pPr>
      <w:r>
        <w:t>Fastighetsnämndens totala resultat uppgår till 201,4 mnkr. Fastighetsförsäljningar renderade i realisationsvinster på 109,6 mnkr. Största posten gä</w:t>
      </w:r>
      <w:r w:rsidR="002C7FD1">
        <w:t>ller försäljning av tomträtter för</w:t>
      </w:r>
      <w:r>
        <w:t xml:space="preserve"> flerbostadshus. Exploateringsverksamheten visar ett totalt utfall på 88,2 mnkr. I flera av projekten ingår det även att staden investerar i gator, parker med mera. Detta innebär att framtida kostnader i form av räntor och avskrivningar tillkommer.</w:t>
      </w:r>
    </w:p>
    <w:p w:rsidR="00386517" w:rsidRDefault="00386517" w:rsidP="00386517">
      <w:pPr>
        <w:pStyle w:val="Rubrik2"/>
      </w:pPr>
      <w:bookmarkStart w:id="15" w:name="_Toc31010363"/>
      <w:r>
        <w:t>Tekniska nämnden, -10,6 mnkr</w:t>
      </w:r>
      <w:bookmarkEnd w:id="15"/>
    </w:p>
    <w:p w:rsidR="00386517" w:rsidRDefault="00386517" w:rsidP="00386517">
      <w:pPr>
        <w:spacing w:before="120" w:after="120" w:line="240" w:lineRule="auto"/>
      </w:pPr>
      <w:r>
        <w:t xml:space="preserve">Den främsta orsaken till tekniska nämndens underskott var höga vinterväg-hållningskostnader som överskred budgeten med -8,7 mnkr, vilket stod klart redan tidigt under året. Ytterligare orsaker var att Mälarenergi införde en ny avgift för dagvatten på -2 mnkr. </w:t>
      </w:r>
    </w:p>
    <w:p w:rsidR="00386517" w:rsidRDefault="00386517" w:rsidP="00386517">
      <w:pPr>
        <w:pStyle w:val="Rubrik2"/>
      </w:pPr>
      <w:bookmarkStart w:id="16" w:name="_Toc31010364"/>
      <w:r>
        <w:t>Kommunstyrelse, +22,4 mnkr</w:t>
      </w:r>
      <w:bookmarkEnd w:id="16"/>
    </w:p>
    <w:p w:rsidR="00386517" w:rsidRPr="00CE4EA7" w:rsidRDefault="00386517" w:rsidP="00386517">
      <w:pPr>
        <w:spacing w:before="120" w:after="120" w:line="240" w:lineRule="auto"/>
      </w:pPr>
      <w:r>
        <w:t xml:space="preserve">Den övergripande förklaringen till Kommunstyrelsens relativt stora överskott är gjorda besparingsåtgärder. Både åtgärder som genomfördes inför 2019 men även de som genomfördes för att vara i balans 2020 gav effekter på 2019 års kostnader. Motsvarande överskott för 2018 uppgick till 17,5 mnkr. Utöver besparingar gav sammanslagningen av stadsledningskontoret och </w:t>
      </w:r>
      <w:proofErr w:type="spellStart"/>
      <w:r>
        <w:t>servicepartner</w:t>
      </w:r>
      <w:proofErr w:type="spellEnd"/>
      <w:r>
        <w:t xml:space="preserve"> överskott genom minskning av förvaltningsledning. Ytterligare förklaringar var ett </w:t>
      </w:r>
      <w:proofErr w:type="gramStart"/>
      <w:r>
        <w:t>ej</w:t>
      </w:r>
      <w:proofErr w:type="gramEnd"/>
      <w:r>
        <w:t xml:space="preserve"> budgeterat statsbidrag på 4,8 mnkr samt lägre kostnader för strategiska projekt. </w:t>
      </w:r>
    </w:p>
    <w:p w:rsidR="00386517" w:rsidRDefault="00386517" w:rsidP="00386517">
      <w:pPr>
        <w:spacing w:after="200" w:line="276" w:lineRule="auto"/>
        <w:rPr>
          <w:rFonts w:ascii="Calibri" w:eastAsiaTheme="majorEastAsia" w:hAnsi="Calibri" w:cstheme="majorBidi"/>
          <w:b/>
          <w:sz w:val="25"/>
          <w:szCs w:val="26"/>
        </w:rPr>
      </w:pPr>
      <w:r>
        <w:br w:type="page"/>
      </w:r>
    </w:p>
    <w:p w:rsidR="00386517" w:rsidRDefault="00386517" w:rsidP="00386517">
      <w:pPr>
        <w:pStyle w:val="Rubrik2"/>
      </w:pPr>
      <w:bookmarkStart w:id="17" w:name="_Toc31010365"/>
      <w:r>
        <w:lastRenderedPageBreak/>
        <w:t>Utfall per nämnd</w:t>
      </w:r>
      <w:bookmarkEnd w:id="17"/>
    </w:p>
    <w:tbl>
      <w:tblPr>
        <w:tblW w:w="7317" w:type="dxa"/>
        <w:tblInd w:w="65" w:type="dxa"/>
        <w:tblCellMar>
          <w:left w:w="70" w:type="dxa"/>
          <w:right w:w="70" w:type="dxa"/>
        </w:tblCellMar>
        <w:tblLook w:val="04A0" w:firstRow="1" w:lastRow="0" w:firstColumn="1" w:lastColumn="0" w:noHBand="0" w:noVBand="1"/>
      </w:tblPr>
      <w:tblGrid>
        <w:gridCol w:w="3032"/>
        <w:gridCol w:w="732"/>
        <w:gridCol w:w="189"/>
        <w:gridCol w:w="1035"/>
        <w:gridCol w:w="189"/>
        <w:gridCol w:w="940"/>
        <w:gridCol w:w="189"/>
        <w:gridCol w:w="1011"/>
      </w:tblGrid>
      <w:tr w:rsidR="00386517" w:rsidRPr="009A0249" w:rsidTr="00F90712">
        <w:trPr>
          <w:trHeight w:val="565"/>
        </w:trPr>
        <w:tc>
          <w:tcPr>
            <w:tcW w:w="3192" w:type="dxa"/>
            <w:tcBorders>
              <w:top w:val="single" w:sz="4" w:space="0" w:color="auto"/>
              <w:left w:val="single" w:sz="4" w:space="0" w:color="auto"/>
              <w:bottom w:val="nil"/>
              <w:right w:val="single" w:sz="4" w:space="0" w:color="CCCCCC"/>
            </w:tcBorders>
            <w:shd w:val="clear" w:color="000000" w:fill="8DB4E2"/>
            <w:vAlign w:val="bottom"/>
            <w:hideMark/>
          </w:tcPr>
          <w:p w:rsidR="00386517" w:rsidRPr="009A0249" w:rsidRDefault="00386517" w:rsidP="00F90712">
            <w:pPr>
              <w:spacing w:line="240" w:lineRule="auto"/>
              <w:rPr>
                <w:rFonts w:ascii="Calibri Light" w:eastAsia="Times New Roman" w:hAnsi="Calibri Light" w:cs="Times New Roman"/>
                <w:b/>
                <w:color w:val="000000"/>
                <w:lang w:eastAsia="sv-SE"/>
              </w:rPr>
            </w:pPr>
            <w:r w:rsidRPr="009A0249">
              <w:rPr>
                <w:rFonts w:ascii="Calibri Light" w:eastAsia="Times New Roman" w:hAnsi="Calibri Light" w:cs="Times New Roman"/>
                <w:b/>
                <w:color w:val="000000"/>
                <w:lang w:eastAsia="sv-SE"/>
              </w:rPr>
              <w:t>Nämnder, mnkr</w:t>
            </w:r>
          </w:p>
        </w:tc>
        <w:tc>
          <w:tcPr>
            <w:tcW w:w="753" w:type="dxa"/>
            <w:tcBorders>
              <w:top w:val="single" w:sz="4" w:space="0" w:color="auto"/>
              <w:left w:val="nil"/>
              <w:bottom w:val="nil"/>
              <w:right w:val="single" w:sz="4" w:space="0" w:color="CCCCCC"/>
            </w:tcBorders>
            <w:shd w:val="clear" w:color="000000" w:fill="8DB4E2"/>
            <w:vAlign w:val="bottom"/>
            <w:hideMark/>
          </w:tcPr>
          <w:p w:rsidR="00386517" w:rsidRPr="009A0249" w:rsidRDefault="00386517" w:rsidP="00F90712">
            <w:pPr>
              <w:spacing w:line="240" w:lineRule="auto"/>
              <w:jc w:val="right"/>
              <w:rPr>
                <w:rFonts w:ascii="Calibri Light" w:eastAsia="Times New Roman" w:hAnsi="Calibri Light" w:cs="Times New Roman"/>
                <w:b/>
                <w:color w:val="000000"/>
                <w:lang w:eastAsia="sv-SE"/>
              </w:rPr>
            </w:pPr>
            <w:r w:rsidRPr="009A0249">
              <w:rPr>
                <w:rFonts w:ascii="Calibri Light" w:eastAsia="Times New Roman" w:hAnsi="Calibri Light" w:cs="Times New Roman"/>
                <w:b/>
                <w:color w:val="000000"/>
                <w:lang w:eastAsia="sv-SE"/>
              </w:rPr>
              <w:t>Utfall 2019</w:t>
            </w:r>
          </w:p>
        </w:tc>
        <w:tc>
          <w:tcPr>
            <w:tcW w:w="163" w:type="dxa"/>
            <w:tcBorders>
              <w:top w:val="single" w:sz="4" w:space="0" w:color="auto"/>
              <w:left w:val="nil"/>
              <w:bottom w:val="nil"/>
              <w:right w:val="single" w:sz="4" w:space="0" w:color="CCCCCC"/>
            </w:tcBorders>
            <w:shd w:val="clear" w:color="000000" w:fill="8DB4E2"/>
            <w:vAlign w:val="bottom"/>
            <w:hideMark/>
          </w:tcPr>
          <w:p w:rsidR="00386517" w:rsidRPr="009A0249" w:rsidRDefault="00386517" w:rsidP="00F90712">
            <w:pPr>
              <w:spacing w:line="240" w:lineRule="auto"/>
              <w:rPr>
                <w:rFonts w:ascii="Calibri Light" w:eastAsia="Times New Roman" w:hAnsi="Calibri Light" w:cs="Times New Roman"/>
                <w:b/>
                <w:color w:val="000000"/>
                <w:lang w:eastAsia="sv-SE"/>
              </w:rPr>
            </w:pPr>
            <w:r w:rsidRPr="009A0249">
              <w:rPr>
                <w:rFonts w:ascii="Calibri Light" w:eastAsia="Times New Roman" w:hAnsi="Calibri Light" w:cs="Times New Roman"/>
                <w:b/>
                <w:color w:val="000000"/>
                <w:lang w:eastAsia="sv-SE"/>
              </w:rPr>
              <w:t> </w:t>
            </w:r>
          </w:p>
        </w:tc>
        <w:tc>
          <w:tcPr>
            <w:tcW w:w="939" w:type="dxa"/>
            <w:tcBorders>
              <w:top w:val="single" w:sz="4" w:space="0" w:color="auto"/>
              <w:left w:val="nil"/>
              <w:bottom w:val="nil"/>
              <w:right w:val="single" w:sz="4" w:space="0" w:color="CCCCCC"/>
            </w:tcBorders>
            <w:shd w:val="clear" w:color="000000" w:fill="8DB4E2"/>
            <w:vAlign w:val="bottom"/>
            <w:hideMark/>
          </w:tcPr>
          <w:p w:rsidR="00386517" w:rsidRPr="009A0249" w:rsidRDefault="00386517" w:rsidP="00F90712">
            <w:pPr>
              <w:spacing w:line="240" w:lineRule="auto"/>
              <w:jc w:val="right"/>
              <w:rPr>
                <w:rFonts w:ascii="Calibri Light" w:eastAsia="Times New Roman" w:hAnsi="Calibri Light" w:cs="Times New Roman"/>
                <w:b/>
                <w:color w:val="000000"/>
                <w:lang w:eastAsia="sv-SE"/>
              </w:rPr>
            </w:pPr>
            <w:r w:rsidRPr="009A0249">
              <w:rPr>
                <w:rFonts w:ascii="Calibri Light" w:eastAsia="Times New Roman" w:hAnsi="Calibri Light" w:cs="Times New Roman"/>
                <w:b/>
                <w:color w:val="000000"/>
                <w:lang w:eastAsia="sv-SE"/>
              </w:rPr>
              <w:t>Årsbudget 2019</w:t>
            </w:r>
          </w:p>
        </w:tc>
        <w:tc>
          <w:tcPr>
            <w:tcW w:w="163" w:type="dxa"/>
            <w:tcBorders>
              <w:top w:val="single" w:sz="4" w:space="0" w:color="auto"/>
              <w:left w:val="nil"/>
              <w:bottom w:val="nil"/>
              <w:right w:val="single" w:sz="4" w:space="0" w:color="CCCCCC"/>
            </w:tcBorders>
            <w:shd w:val="clear" w:color="000000" w:fill="8DB4E2"/>
            <w:vAlign w:val="bottom"/>
            <w:hideMark/>
          </w:tcPr>
          <w:p w:rsidR="00386517" w:rsidRPr="009A0249" w:rsidRDefault="00386517" w:rsidP="00F90712">
            <w:pPr>
              <w:spacing w:line="240" w:lineRule="auto"/>
              <w:jc w:val="right"/>
              <w:rPr>
                <w:rFonts w:ascii="Calibri Light" w:eastAsia="Times New Roman" w:hAnsi="Calibri Light" w:cs="Times New Roman"/>
                <w:b/>
                <w:color w:val="000000"/>
                <w:lang w:eastAsia="sv-SE"/>
              </w:rPr>
            </w:pPr>
            <w:r w:rsidRPr="009A0249">
              <w:rPr>
                <w:rFonts w:ascii="Calibri Light" w:eastAsia="Times New Roman" w:hAnsi="Calibri Light" w:cs="Times New Roman"/>
                <w:b/>
                <w:color w:val="000000"/>
                <w:lang w:eastAsia="sv-SE"/>
              </w:rPr>
              <w:t> </w:t>
            </w:r>
          </w:p>
        </w:tc>
        <w:tc>
          <w:tcPr>
            <w:tcW w:w="933" w:type="dxa"/>
            <w:tcBorders>
              <w:top w:val="single" w:sz="4" w:space="0" w:color="auto"/>
              <w:left w:val="nil"/>
              <w:bottom w:val="nil"/>
              <w:right w:val="single" w:sz="4" w:space="0" w:color="CCCCCC"/>
            </w:tcBorders>
            <w:shd w:val="clear" w:color="000000" w:fill="8DB4E2"/>
            <w:vAlign w:val="bottom"/>
            <w:hideMark/>
          </w:tcPr>
          <w:p w:rsidR="00386517" w:rsidRPr="009A0249" w:rsidRDefault="00386517" w:rsidP="00F90712">
            <w:pPr>
              <w:spacing w:line="240" w:lineRule="auto"/>
              <w:jc w:val="right"/>
              <w:rPr>
                <w:rFonts w:ascii="Calibri Light" w:eastAsia="Times New Roman" w:hAnsi="Calibri Light" w:cs="Times New Roman"/>
                <w:b/>
                <w:color w:val="000000"/>
                <w:lang w:eastAsia="sv-SE"/>
              </w:rPr>
            </w:pPr>
            <w:r w:rsidRPr="009A0249">
              <w:rPr>
                <w:rFonts w:ascii="Calibri Light" w:eastAsia="Times New Roman" w:hAnsi="Calibri Light" w:cs="Times New Roman"/>
                <w:b/>
                <w:color w:val="000000"/>
                <w:lang w:eastAsia="sv-SE"/>
              </w:rPr>
              <w:t>Avvikelse 2019</w:t>
            </w:r>
          </w:p>
        </w:tc>
        <w:tc>
          <w:tcPr>
            <w:tcW w:w="163" w:type="dxa"/>
            <w:tcBorders>
              <w:top w:val="single" w:sz="4" w:space="0" w:color="auto"/>
              <w:left w:val="nil"/>
              <w:bottom w:val="nil"/>
              <w:right w:val="nil"/>
            </w:tcBorders>
            <w:shd w:val="clear" w:color="000000" w:fill="8DB4E2"/>
            <w:vAlign w:val="bottom"/>
            <w:hideMark/>
          </w:tcPr>
          <w:p w:rsidR="00386517" w:rsidRPr="009A0249" w:rsidRDefault="00386517" w:rsidP="00F90712">
            <w:pPr>
              <w:spacing w:line="240" w:lineRule="auto"/>
              <w:jc w:val="right"/>
              <w:rPr>
                <w:rFonts w:ascii="Calibri Light" w:eastAsia="Times New Roman" w:hAnsi="Calibri Light" w:cs="Times New Roman"/>
                <w:b/>
                <w:color w:val="000000"/>
                <w:lang w:eastAsia="sv-SE"/>
              </w:rPr>
            </w:pPr>
            <w:r w:rsidRPr="009A0249">
              <w:rPr>
                <w:rFonts w:ascii="Calibri Light" w:eastAsia="Times New Roman" w:hAnsi="Calibri Light" w:cs="Times New Roman"/>
                <w:b/>
                <w:color w:val="000000"/>
                <w:lang w:eastAsia="sv-SE"/>
              </w:rPr>
              <w:t> </w:t>
            </w:r>
          </w:p>
        </w:tc>
        <w:tc>
          <w:tcPr>
            <w:tcW w:w="1011" w:type="dxa"/>
            <w:tcBorders>
              <w:top w:val="single" w:sz="4" w:space="0" w:color="auto"/>
              <w:left w:val="single" w:sz="4" w:space="0" w:color="CCCCCC"/>
              <w:bottom w:val="nil"/>
              <w:right w:val="single" w:sz="4" w:space="0" w:color="auto"/>
            </w:tcBorders>
            <w:shd w:val="clear" w:color="000000" w:fill="8DB4E2"/>
            <w:vAlign w:val="bottom"/>
            <w:hideMark/>
          </w:tcPr>
          <w:p w:rsidR="00386517" w:rsidRPr="009A0249" w:rsidRDefault="00386517" w:rsidP="00F90712">
            <w:pPr>
              <w:spacing w:line="240" w:lineRule="auto"/>
              <w:jc w:val="right"/>
              <w:rPr>
                <w:rFonts w:ascii="Calibri Light" w:eastAsia="Times New Roman" w:hAnsi="Calibri Light" w:cs="Times New Roman"/>
                <w:b/>
                <w:color w:val="000000"/>
                <w:lang w:eastAsia="sv-SE"/>
              </w:rPr>
            </w:pPr>
            <w:r w:rsidRPr="009A0249">
              <w:rPr>
                <w:rFonts w:ascii="Calibri Light" w:eastAsia="Times New Roman" w:hAnsi="Calibri Light" w:cs="Times New Roman"/>
                <w:b/>
                <w:color w:val="000000"/>
                <w:lang w:eastAsia="sv-SE"/>
              </w:rPr>
              <w:t>Avvikelse 2018</w:t>
            </w:r>
          </w:p>
        </w:tc>
      </w:tr>
      <w:tr w:rsidR="00386517" w:rsidRPr="00C25589" w:rsidTr="00F90712">
        <w:trPr>
          <w:trHeight w:val="283"/>
        </w:trPr>
        <w:tc>
          <w:tcPr>
            <w:tcW w:w="3192" w:type="dxa"/>
            <w:tcBorders>
              <w:top w:val="nil"/>
              <w:left w:val="single" w:sz="4" w:space="0" w:color="auto"/>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r>
              <w:rPr>
                <w:rFonts w:ascii="Calibri Light" w:eastAsia="Times New Roman" w:hAnsi="Calibri Light" w:cs="Times New Roman"/>
                <w:color w:val="000000"/>
                <w:lang w:eastAsia="sv-SE"/>
              </w:rPr>
              <w:t>Äldrenämnd</w:t>
            </w:r>
          </w:p>
        </w:tc>
        <w:tc>
          <w:tcPr>
            <w:tcW w:w="753"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proofErr w:type="gramStart"/>
            <w:r w:rsidRPr="00C25589">
              <w:rPr>
                <w:rFonts w:ascii="Calibri Light" w:eastAsia="Times New Roman" w:hAnsi="Calibri Light" w:cs="Times New Roman"/>
                <w:color w:val="000000"/>
                <w:lang w:eastAsia="sv-SE"/>
              </w:rPr>
              <w:t>-</w:t>
            </w:r>
            <w:proofErr w:type="gramEnd"/>
            <w:r w:rsidRPr="00C25589">
              <w:rPr>
                <w:rFonts w:ascii="Calibri Light" w:eastAsia="Times New Roman" w:hAnsi="Calibri Light" w:cs="Times New Roman"/>
                <w:color w:val="000000"/>
                <w:lang w:eastAsia="sv-SE"/>
              </w:rPr>
              <w:t>1 522</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939"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proofErr w:type="gramStart"/>
            <w:r w:rsidRPr="00C25589">
              <w:rPr>
                <w:rFonts w:ascii="Calibri Light" w:eastAsia="Times New Roman" w:hAnsi="Calibri Light" w:cs="Times New Roman"/>
                <w:color w:val="000000"/>
                <w:lang w:eastAsia="sv-SE"/>
              </w:rPr>
              <w:t>-</w:t>
            </w:r>
            <w:proofErr w:type="gramEnd"/>
            <w:r w:rsidRPr="00C25589">
              <w:rPr>
                <w:rFonts w:ascii="Calibri Light" w:eastAsia="Times New Roman" w:hAnsi="Calibri Light" w:cs="Times New Roman"/>
                <w:color w:val="000000"/>
                <w:lang w:eastAsia="sv-SE"/>
              </w:rPr>
              <w:t>1 539</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933"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r w:rsidRPr="00C25589">
              <w:rPr>
                <w:rFonts w:ascii="Calibri Light" w:eastAsia="Times New Roman" w:hAnsi="Calibri Light" w:cs="Times New Roman"/>
                <w:color w:val="000000"/>
                <w:lang w:eastAsia="sv-SE"/>
              </w:rPr>
              <w:t>17</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1011" w:type="dxa"/>
            <w:tcBorders>
              <w:top w:val="nil"/>
              <w:left w:val="nil"/>
              <w:bottom w:val="nil"/>
              <w:right w:val="single" w:sz="4" w:space="0" w:color="auto"/>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lang w:eastAsia="sv-SE"/>
              </w:rPr>
            </w:pPr>
            <w:r w:rsidRPr="00C25589">
              <w:rPr>
                <w:rFonts w:ascii="Calibri Light" w:eastAsia="Times New Roman" w:hAnsi="Calibri Light" w:cs="Times New Roman"/>
                <w:lang w:eastAsia="sv-SE"/>
              </w:rPr>
              <w:t>44</w:t>
            </w:r>
          </w:p>
        </w:tc>
      </w:tr>
      <w:tr w:rsidR="00386517" w:rsidRPr="00C25589" w:rsidTr="00F90712">
        <w:trPr>
          <w:trHeight w:val="283"/>
        </w:trPr>
        <w:tc>
          <w:tcPr>
            <w:tcW w:w="3192" w:type="dxa"/>
            <w:tcBorders>
              <w:top w:val="nil"/>
              <w:left w:val="single" w:sz="4" w:space="0" w:color="auto"/>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r w:rsidRPr="00C25589">
              <w:rPr>
                <w:rFonts w:ascii="Calibri Light" w:eastAsia="Times New Roman" w:hAnsi="Calibri Light" w:cs="Times New Roman"/>
                <w:color w:val="000000"/>
                <w:lang w:eastAsia="sv-SE"/>
              </w:rPr>
              <w:t>Nämnden för funktionsnedsatta</w:t>
            </w:r>
          </w:p>
        </w:tc>
        <w:tc>
          <w:tcPr>
            <w:tcW w:w="753"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proofErr w:type="gramStart"/>
            <w:r w:rsidRPr="00C25589">
              <w:rPr>
                <w:rFonts w:ascii="Calibri Light" w:eastAsia="Times New Roman" w:hAnsi="Calibri Light" w:cs="Times New Roman"/>
                <w:color w:val="000000"/>
                <w:lang w:eastAsia="sv-SE"/>
              </w:rPr>
              <w:t>-</w:t>
            </w:r>
            <w:proofErr w:type="gramEnd"/>
            <w:r w:rsidRPr="00C25589">
              <w:rPr>
                <w:rFonts w:ascii="Calibri Light" w:eastAsia="Times New Roman" w:hAnsi="Calibri Light" w:cs="Times New Roman"/>
                <w:color w:val="000000"/>
                <w:lang w:eastAsia="sv-SE"/>
              </w:rPr>
              <w:t>836</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939"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proofErr w:type="gramStart"/>
            <w:r w:rsidRPr="00C25589">
              <w:rPr>
                <w:rFonts w:ascii="Calibri Light" w:eastAsia="Times New Roman" w:hAnsi="Calibri Light" w:cs="Times New Roman"/>
                <w:color w:val="000000"/>
                <w:lang w:eastAsia="sv-SE"/>
              </w:rPr>
              <w:t>-</w:t>
            </w:r>
            <w:proofErr w:type="gramEnd"/>
            <w:r w:rsidRPr="00C25589">
              <w:rPr>
                <w:rFonts w:ascii="Calibri Light" w:eastAsia="Times New Roman" w:hAnsi="Calibri Light" w:cs="Times New Roman"/>
                <w:color w:val="000000"/>
                <w:lang w:eastAsia="sv-SE"/>
              </w:rPr>
              <w:t>826</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933"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proofErr w:type="gramStart"/>
            <w:r w:rsidRPr="00C25589">
              <w:rPr>
                <w:rFonts w:ascii="Calibri Light" w:eastAsia="Times New Roman" w:hAnsi="Calibri Light" w:cs="Times New Roman"/>
                <w:color w:val="000000"/>
                <w:lang w:eastAsia="sv-SE"/>
              </w:rPr>
              <w:t>-</w:t>
            </w:r>
            <w:proofErr w:type="gramEnd"/>
            <w:r w:rsidRPr="00C25589">
              <w:rPr>
                <w:rFonts w:ascii="Calibri Light" w:eastAsia="Times New Roman" w:hAnsi="Calibri Light" w:cs="Times New Roman"/>
                <w:color w:val="000000"/>
                <w:lang w:eastAsia="sv-SE"/>
              </w:rPr>
              <w:t>10</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1011" w:type="dxa"/>
            <w:tcBorders>
              <w:top w:val="nil"/>
              <w:left w:val="nil"/>
              <w:bottom w:val="nil"/>
              <w:right w:val="single" w:sz="4" w:space="0" w:color="auto"/>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lang w:eastAsia="sv-SE"/>
              </w:rPr>
            </w:pPr>
            <w:proofErr w:type="gramStart"/>
            <w:r w:rsidRPr="00C25589">
              <w:rPr>
                <w:rFonts w:ascii="Calibri Light" w:eastAsia="Times New Roman" w:hAnsi="Calibri Light" w:cs="Times New Roman"/>
                <w:lang w:eastAsia="sv-SE"/>
              </w:rPr>
              <w:t>-</w:t>
            </w:r>
            <w:proofErr w:type="gramEnd"/>
            <w:r w:rsidRPr="00C25589">
              <w:rPr>
                <w:rFonts w:ascii="Calibri Light" w:eastAsia="Times New Roman" w:hAnsi="Calibri Light" w:cs="Times New Roman"/>
                <w:lang w:eastAsia="sv-SE"/>
              </w:rPr>
              <w:t>30</w:t>
            </w:r>
          </w:p>
        </w:tc>
      </w:tr>
      <w:tr w:rsidR="00386517" w:rsidRPr="00C25589" w:rsidTr="00F90712">
        <w:trPr>
          <w:trHeight w:val="283"/>
        </w:trPr>
        <w:tc>
          <w:tcPr>
            <w:tcW w:w="3192" w:type="dxa"/>
            <w:tcBorders>
              <w:top w:val="nil"/>
              <w:left w:val="single" w:sz="4" w:space="0" w:color="auto"/>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roofErr w:type="spellStart"/>
            <w:r>
              <w:rPr>
                <w:rFonts w:ascii="Calibri Light" w:eastAsia="Times New Roman" w:hAnsi="Calibri Light" w:cs="Times New Roman"/>
                <w:color w:val="000000"/>
                <w:lang w:eastAsia="sv-SE"/>
              </w:rPr>
              <w:t>Förskolenämnd</w:t>
            </w:r>
            <w:proofErr w:type="spellEnd"/>
          </w:p>
        </w:tc>
        <w:tc>
          <w:tcPr>
            <w:tcW w:w="753"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proofErr w:type="gramStart"/>
            <w:r w:rsidRPr="00C25589">
              <w:rPr>
                <w:rFonts w:ascii="Calibri Light" w:eastAsia="Times New Roman" w:hAnsi="Calibri Light" w:cs="Times New Roman"/>
                <w:color w:val="000000"/>
                <w:lang w:eastAsia="sv-SE"/>
              </w:rPr>
              <w:t>-</w:t>
            </w:r>
            <w:proofErr w:type="gramEnd"/>
            <w:r w:rsidRPr="00C25589">
              <w:rPr>
                <w:rFonts w:ascii="Calibri Light" w:eastAsia="Times New Roman" w:hAnsi="Calibri Light" w:cs="Times New Roman"/>
                <w:color w:val="000000"/>
                <w:lang w:eastAsia="sv-SE"/>
              </w:rPr>
              <w:t>973</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939"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proofErr w:type="gramStart"/>
            <w:r w:rsidRPr="00C25589">
              <w:rPr>
                <w:rFonts w:ascii="Calibri Light" w:eastAsia="Times New Roman" w:hAnsi="Calibri Light" w:cs="Times New Roman"/>
                <w:color w:val="000000"/>
                <w:lang w:eastAsia="sv-SE"/>
              </w:rPr>
              <w:t>-</w:t>
            </w:r>
            <w:proofErr w:type="gramEnd"/>
            <w:r w:rsidRPr="00C25589">
              <w:rPr>
                <w:rFonts w:ascii="Calibri Light" w:eastAsia="Times New Roman" w:hAnsi="Calibri Light" w:cs="Times New Roman"/>
                <w:color w:val="000000"/>
                <w:lang w:eastAsia="sv-SE"/>
              </w:rPr>
              <w:t>975</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933"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r w:rsidRPr="00C25589">
              <w:rPr>
                <w:rFonts w:ascii="Calibri Light" w:eastAsia="Times New Roman" w:hAnsi="Calibri Light" w:cs="Times New Roman"/>
                <w:color w:val="000000"/>
                <w:lang w:eastAsia="sv-SE"/>
              </w:rPr>
              <w:t>3</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1011" w:type="dxa"/>
            <w:tcBorders>
              <w:top w:val="nil"/>
              <w:left w:val="nil"/>
              <w:bottom w:val="nil"/>
              <w:right w:val="single" w:sz="4" w:space="0" w:color="auto"/>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proofErr w:type="gramStart"/>
            <w:r w:rsidRPr="00C25589">
              <w:rPr>
                <w:rFonts w:ascii="Calibri Light" w:eastAsia="Times New Roman" w:hAnsi="Calibri Light" w:cs="Times New Roman"/>
                <w:color w:val="000000"/>
                <w:lang w:eastAsia="sv-SE"/>
              </w:rPr>
              <w:t>-</w:t>
            </w:r>
            <w:proofErr w:type="gramEnd"/>
            <w:r w:rsidRPr="00C25589">
              <w:rPr>
                <w:rFonts w:ascii="Calibri Light" w:eastAsia="Times New Roman" w:hAnsi="Calibri Light" w:cs="Times New Roman"/>
                <w:color w:val="000000"/>
                <w:lang w:eastAsia="sv-SE"/>
              </w:rPr>
              <w:t>7</w:t>
            </w:r>
          </w:p>
        </w:tc>
      </w:tr>
      <w:tr w:rsidR="00386517" w:rsidRPr="00C25589" w:rsidTr="00F90712">
        <w:trPr>
          <w:trHeight w:val="283"/>
        </w:trPr>
        <w:tc>
          <w:tcPr>
            <w:tcW w:w="3192" w:type="dxa"/>
            <w:tcBorders>
              <w:top w:val="nil"/>
              <w:left w:val="single" w:sz="4" w:space="0" w:color="auto"/>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r w:rsidRPr="00C25589">
              <w:rPr>
                <w:rFonts w:ascii="Calibri Light" w:eastAsia="Times New Roman" w:hAnsi="Calibri Light" w:cs="Times New Roman"/>
                <w:color w:val="000000"/>
                <w:lang w:eastAsia="sv-SE"/>
              </w:rPr>
              <w:t>Grundskolenämnden</w:t>
            </w:r>
          </w:p>
        </w:tc>
        <w:tc>
          <w:tcPr>
            <w:tcW w:w="753"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proofErr w:type="gramStart"/>
            <w:r w:rsidRPr="00C25589">
              <w:rPr>
                <w:rFonts w:ascii="Calibri Light" w:eastAsia="Times New Roman" w:hAnsi="Calibri Light" w:cs="Times New Roman"/>
                <w:color w:val="000000"/>
                <w:lang w:eastAsia="sv-SE"/>
              </w:rPr>
              <w:t>-</w:t>
            </w:r>
            <w:proofErr w:type="gramEnd"/>
            <w:r w:rsidRPr="00C25589">
              <w:rPr>
                <w:rFonts w:ascii="Calibri Light" w:eastAsia="Times New Roman" w:hAnsi="Calibri Light" w:cs="Times New Roman"/>
                <w:color w:val="000000"/>
                <w:lang w:eastAsia="sv-SE"/>
              </w:rPr>
              <w:t>1 872</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939"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proofErr w:type="gramStart"/>
            <w:r w:rsidRPr="00C25589">
              <w:rPr>
                <w:rFonts w:ascii="Calibri Light" w:eastAsia="Times New Roman" w:hAnsi="Calibri Light" w:cs="Times New Roman"/>
                <w:color w:val="000000"/>
                <w:lang w:eastAsia="sv-SE"/>
              </w:rPr>
              <w:t>-</w:t>
            </w:r>
            <w:proofErr w:type="gramEnd"/>
            <w:r w:rsidRPr="00C25589">
              <w:rPr>
                <w:rFonts w:ascii="Calibri Light" w:eastAsia="Times New Roman" w:hAnsi="Calibri Light" w:cs="Times New Roman"/>
                <w:color w:val="000000"/>
                <w:lang w:eastAsia="sv-SE"/>
              </w:rPr>
              <w:t>1 889</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933"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r w:rsidRPr="00C25589">
              <w:rPr>
                <w:rFonts w:ascii="Calibri Light" w:eastAsia="Times New Roman" w:hAnsi="Calibri Light" w:cs="Times New Roman"/>
                <w:color w:val="000000"/>
                <w:lang w:eastAsia="sv-SE"/>
              </w:rPr>
              <w:t>17</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1011" w:type="dxa"/>
            <w:tcBorders>
              <w:top w:val="nil"/>
              <w:left w:val="nil"/>
              <w:bottom w:val="nil"/>
              <w:right w:val="single" w:sz="4" w:space="0" w:color="auto"/>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lang w:eastAsia="sv-SE"/>
              </w:rPr>
            </w:pPr>
            <w:r w:rsidRPr="00C25589">
              <w:rPr>
                <w:rFonts w:ascii="Calibri Light" w:eastAsia="Times New Roman" w:hAnsi="Calibri Light" w:cs="Times New Roman"/>
                <w:lang w:eastAsia="sv-SE"/>
              </w:rPr>
              <w:t>3</w:t>
            </w:r>
          </w:p>
        </w:tc>
      </w:tr>
      <w:tr w:rsidR="00386517" w:rsidRPr="00C25589" w:rsidTr="00F90712">
        <w:trPr>
          <w:trHeight w:val="283"/>
        </w:trPr>
        <w:tc>
          <w:tcPr>
            <w:tcW w:w="3192" w:type="dxa"/>
            <w:tcBorders>
              <w:top w:val="nil"/>
              <w:left w:val="single" w:sz="4" w:space="0" w:color="auto"/>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roofErr w:type="spellStart"/>
            <w:r>
              <w:rPr>
                <w:rFonts w:ascii="Calibri Light" w:eastAsia="Times New Roman" w:hAnsi="Calibri Light" w:cs="Times New Roman"/>
                <w:color w:val="000000"/>
                <w:lang w:eastAsia="sv-SE"/>
              </w:rPr>
              <w:t>Utb</w:t>
            </w:r>
            <w:proofErr w:type="spellEnd"/>
            <w:r>
              <w:rPr>
                <w:rFonts w:ascii="Calibri Light" w:eastAsia="Times New Roman" w:hAnsi="Calibri Light" w:cs="Times New Roman"/>
                <w:color w:val="000000"/>
                <w:lang w:eastAsia="sv-SE"/>
              </w:rPr>
              <w:t xml:space="preserve"> o </w:t>
            </w:r>
            <w:proofErr w:type="spellStart"/>
            <w:r>
              <w:rPr>
                <w:rFonts w:ascii="Calibri Light" w:eastAsia="Times New Roman" w:hAnsi="Calibri Light" w:cs="Times New Roman"/>
                <w:color w:val="000000"/>
                <w:lang w:eastAsia="sv-SE"/>
              </w:rPr>
              <w:t>Arb.markn.nämnd</w:t>
            </w:r>
            <w:proofErr w:type="spellEnd"/>
          </w:p>
        </w:tc>
        <w:tc>
          <w:tcPr>
            <w:tcW w:w="753"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proofErr w:type="gramStart"/>
            <w:r w:rsidRPr="00C25589">
              <w:rPr>
                <w:rFonts w:ascii="Calibri Light" w:eastAsia="Times New Roman" w:hAnsi="Calibri Light" w:cs="Times New Roman"/>
                <w:color w:val="000000"/>
                <w:lang w:eastAsia="sv-SE"/>
              </w:rPr>
              <w:t>-</w:t>
            </w:r>
            <w:proofErr w:type="gramEnd"/>
            <w:r w:rsidRPr="00C25589">
              <w:rPr>
                <w:rFonts w:ascii="Calibri Light" w:eastAsia="Times New Roman" w:hAnsi="Calibri Light" w:cs="Times New Roman"/>
                <w:color w:val="000000"/>
                <w:lang w:eastAsia="sv-SE"/>
              </w:rPr>
              <w:t>864</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939"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proofErr w:type="gramStart"/>
            <w:r w:rsidRPr="00C25589">
              <w:rPr>
                <w:rFonts w:ascii="Calibri Light" w:eastAsia="Times New Roman" w:hAnsi="Calibri Light" w:cs="Times New Roman"/>
                <w:color w:val="000000"/>
                <w:lang w:eastAsia="sv-SE"/>
              </w:rPr>
              <w:t>-</w:t>
            </w:r>
            <w:proofErr w:type="gramEnd"/>
            <w:r w:rsidRPr="00C25589">
              <w:rPr>
                <w:rFonts w:ascii="Calibri Light" w:eastAsia="Times New Roman" w:hAnsi="Calibri Light" w:cs="Times New Roman"/>
                <w:color w:val="000000"/>
                <w:lang w:eastAsia="sv-SE"/>
              </w:rPr>
              <w:t>825</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933"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proofErr w:type="gramStart"/>
            <w:r w:rsidRPr="00C25589">
              <w:rPr>
                <w:rFonts w:ascii="Calibri Light" w:eastAsia="Times New Roman" w:hAnsi="Calibri Light" w:cs="Times New Roman"/>
                <w:color w:val="000000"/>
                <w:lang w:eastAsia="sv-SE"/>
              </w:rPr>
              <w:t>-</w:t>
            </w:r>
            <w:proofErr w:type="gramEnd"/>
            <w:r w:rsidRPr="00C25589">
              <w:rPr>
                <w:rFonts w:ascii="Calibri Light" w:eastAsia="Times New Roman" w:hAnsi="Calibri Light" w:cs="Times New Roman"/>
                <w:color w:val="000000"/>
                <w:lang w:eastAsia="sv-SE"/>
              </w:rPr>
              <w:t>40</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1011" w:type="dxa"/>
            <w:tcBorders>
              <w:top w:val="nil"/>
              <w:left w:val="nil"/>
              <w:bottom w:val="nil"/>
              <w:right w:val="single" w:sz="4" w:space="0" w:color="auto"/>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lang w:eastAsia="sv-SE"/>
              </w:rPr>
            </w:pPr>
            <w:proofErr w:type="gramStart"/>
            <w:r w:rsidRPr="00C25589">
              <w:rPr>
                <w:rFonts w:ascii="Calibri Light" w:eastAsia="Times New Roman" w:hAnsi="Calibri Light" w:cs="Times New Roman"/>
                <w:lang w:eastAsia="sv-SE"/>
              </w:rPr>
              <w:t>-</w:t>
            </w:r>
            <w:proofErr w:type="gramEnd"/>
            <w:r w:rsidRPr="00C25589">
              <w:rPr>
                <w:rFonts w:ascii="Calibri Light" w:eastAsia="Times New Roman" w:hAnsi="Calibri Light" w:cs="Times New Roman"/>
                <w:lang w:eastAsia="sv-SE"/>
              </w:rPr>
              <w:t>2</w:t>
            </w:r>
          </w:p>
        </w:tc>
      </w:tr>
      <w:tr w:rsidR="00386517" w:rsidRPr="00C25589" w:rsidTr="00F90712">
        <w:trPr>
          <w:trHeight w:val="283"/>
        </w:trPr>
        <w:tc>
          <w:tcPr>
            <w:tcW w:w="3192" w:type="dxa"/>
            <w:tcBorders>
              <w:top w:val="nil"/>
              <w:left w:val="single" w:sz="4" w:space="0" w:color="auto"/>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r w:rsidRPr="00C25589">
              <w:rPr>
                <w:rFonts w:ascii="Calibri Light" w:eastAsia="Times New Roman" w:hAnsi="Calibri Light" w:cs="Times New Roman"/>
                <w:color w:val="000000"/>
                <w:lang w:eastAsia="sv-SE"/>
              </w:rPr>
              <w:t>Skultuna kommundelsnämnd</w:t>
            </w:r>
          </w:p>
        </w:tc>
        <w:tc>
          <w:tcPr>
            <w:tcW w:w="753"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proofErr w:type="gramStart"/>
            <w:r w:rsidRPr="00C25589">
              <w:rPr>
                <w:rFonts w:ascii="Calibri Light" w:eastAsia="Times New Roman" w:hAnsi="Calibri Light" w:cs="Times New Roman"/>
                <w:color w:val="000000"/>
                <w:lang w:eastAsia="sv-SE"/>
              </w:rPr>
              <w:t>-</w:t>
            </w:r>
            <w:proofErr w:type="gramEnd"/>
            <w:r w:rsidRPr="00C25589">
              <w:rPr>
                <w:rFonts w:ascii="Calibri Light" w:eastAsia="Times New Roman" w:hAnsi="Calibri Light" w:cs="Times New Roman"/>
                <w:color w:val="000000"/>
                <w:lang w:eastAsia="sv-SE"/>
              </w:rPr>
              <w:t>115</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939"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proofErr w:type="gramStart"/>
            <w:r w:rsidRPr="00C25589">
              <w:rPr>
                <w:rFonts w:ascii="Calibri Light" w:eastAsia="Times New Roman" w:hAnsi="Calibri Light" w:cs="Times New Roman"/>
                <w:color w:val="000000"/>
                <w:lang w:eastAsia="sv-SE"/>
              </w:rPr>
              <w:t>-</w:t>
            </w:r>
            <w:proofErr w:type="gramEnd"/>
            <w:r w:rsidRPr="00C25589">
              <w:rPr>
                <w:rFonts w:ascii="Calibri Light" w:eastAsia="Times New Roman" w:hAnsi="Calibri Light" w:cs="Times New Roman"/>
                <w:color w:val="000000"/>
                <w:lang w:eastAsia="sv-SE"/>
              </w:rPr>
              <w:t>117</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933"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r w:rsidRPr="00C25589">
              <w:rPr>
                <w:rFonts w:ascii="Calibri Light" w:eastAsia="Times New Roman" w:hAnsi="Calibri Light" w:cs="Times New Roman"/>
                <w:color w:val="000000"/>
                <w:lang w:eastAsia="sv-SE"/>
              </w:rPr>
              <w:t>1</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1011" w:type="dxa"/>
            <w:tcBorders>
              <w:top w:val="nil"/>
              <w:left w:val="nil"/>
              <w:bottom w:val="nil"/>
              <w:right w:val="single" w:sz="4" w:space="0" w:color="auto"/>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proofErr w:type="gramStart"/>
            <w:r w:rsidRPr="00C25589">
              <w:rPr>
                <w:rFonts w:ascii="Calibri Light" w:eastAsia="Times New Roman" w:hAnsi="Calibri Light" w:cs="Times New Roman"/>
                <w:color w:val="000000"/>
                <w:lang w:eastAsia="sv-SE"/>
              </w:rPr>
              <w:t>-</w:t>
            </w:r>
            <w:proofErr w:type="gramEnd"/>
            <w:r w:rsidRPr="00C25589">
              <w:rPr>
                <w:rFonts w:ascii="Calibri Light" w:eastAsia="Times New Roman" w:hAnsi="Calibri Light" w:cs="Times New Roman"/>
                <w:color w:val="000000"/>
                <w:lang w:eastAsia="sv-SE"/>
              </w:rPr>
              <w:t>1</w:t>
            </w:r>
          </w:p>
        </w:tc>
      </w:tr>
      <w:tr w:rsidR="00386517" w:rsidRPr="00C25589" w:rsidTr="00F90712">
        <w:trPr>
          <w:trHeight w:val="283"/>
        </w:trPr>
        <w:tc>
          <w:tcPr>
            <w:tcW w:w="3192" w:type="dxa"/>
            <w:tcBorders>
              <w:top w:val="nil"/>
              <w:left w:val="single" w:sz="4" w:space="0" w:color="auto"/>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r w:rsidRPr="00C25589">
              <w:rPr>
                <w:rFonts w:ascii="Calibri Light" w:eastAsia="Times New Roman" w:hAnsi="Calibri Light" w:cs="Times New Roman"/>
                <w:color w:val="000000"/>
                <w:lang w:eastAsia="sv-SE"/>
              </w:rPr>
              <w:t xml:space="preserve">Individ- och </w:t>
            </w:r>
            <w:proofErr w:type="spellStart"/>
            <w:r w:rsidRPr="00C25589">
              <w:rPr>
                <w:rFonts w:ascii="Calibri Light" w:eastAsia="Times New Roman" w:hAnsi="Calibri Light" w:cs="Times New Roman"/>
                <w:color w:val="000000"/>
                <w:lang w:eastAsia="sv-SE"/>
              </w:rPr>
              <w:t>fam</w:t>
            </w:r>
            <w:proofErr w:type="spellEnd"/>
          </w:p>
        </w:tc>
        <w:tc>
          <w:tcPr>
            <w:tcW w:w="753"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proofErr w:type="gramStart"/>
            <w:r w:rsidRPr="00C25589">
              <w:rPr>
                <w:rFonts w:ascii="Calibri Light" w:eastAsia="Times New Roman" w:hAnsi="Calibri Light" w:cs="Times New Roman"/>
                <w:color w:val="000000"/>
                <w:lang w:eastAsia="sv-SE"/>
              </w:rPr>
              <w:t>-</w:t>
            </w:r>
            <w:proofErr w:type="gramEnd"/>
            <w:r w:rsidRPr="00C25589">
              <w:rPr>
                <w:rFonts w:ascii="Calibri Light" w:eastAsia="Times New Roman" w:hAnsi="Calibri Light" w:cs="Times New Roman"/>
                <w:color w:val="000000"/>
                <w:lang w:eastAsia="sv-SE"/>
              </w:rPr>
              <w:t>972</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939"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proofErr w:type="gramStart"/>
            <w:r w:rsidRPr="00C25589">
              <w:rPr>
                <w:rFonts w:ascii="Calibri Light" w:eastAsia="Times New Roman" w:hAnsi="Calibri Light" w:cs="Times New Roman"/>
                <w:color w:val="000000"/>
                <w:lang w:eastAsia="sv-SE"/>
              </w:rPr>
              <w:t>-</w:t>
            </w:r>
            <w:proofErr w:type="gramEnd"/>
            <w:r w:rsidRPr="00C25589">
              <w:rPr>
                <w:rFonts w:ascii="Calibri Light" w:eastAsia="Times New Roman" w:hAnsi="Calibri Light" w:cs="Times New Roman"/>
                <w:color w:val="000000"/>
                <w:lang w:eastAsia="sv-SE"/>
              </w:rPr>
              <w:t>818</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933"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proofErr w:type="gramStart"/>
            <w:r w:rsidRPr="00C25589">
              <w:rPr>
                <w:rFonts w:ascii="Calibri Light" w:eastAsia="Times New Roman" w:hAnsi="Calibri Light" w:cs="Times New Roman"/>
                <w:color w:val="000000"/>
                <w:lang w:eastAsia="sv-SE"/>
              </w:rPr>
              <w:t>-</w:t>
            </w:r>
            <w:proofErr w:type="gramEnd"/>
            <w:r w:rsidRPr="00C25589">
              <w:rPr>
                <w:rFonts w:ascii="Calibri Light" w:eastAsia="Times New Roman" w:hAnsi="Calibri Light" w:cs="Times New Roman"/>
                <w:color w:val="000000"/>
                <w:lang w:eastAsia="sv-SE"/>
              </w:rPr>
              <w:t>154</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1011" w:type="dxa"/>
            <w:tcBorders>
              <w:top w:val="nil"/>
              <w:left w:val="nil"/>
              <w:bottom w:val="nil"/>
              <w:right w:val="single" w:sz="4" w:space="0" w:color="auto"/>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lang w:eastAsia="sv-SE"/>
              </w:rPr>
            </w:pPr>
            <w:proofErr w:type="gramStart"/>
            <w:r w:rsidRPr="00C25589">
              <w:rPr>
                <w:rFonts w:ascii="Calibri Light" w:eastAsia="Times New Roman" w:hAnsi="Calibri Light" w:cs="Times New Roman"/>
                <w:lang w:eastAsia="sv-SE"/>
              </w:rPr>
              <w:t>-</w:t>
            </w:r>
            <w:proofErr w:type="gramEnd"/>
            <w:r w:rsidRPr="00C25589">
              <w:rPr>
                <w:rFonts w:ascii="Calibri Light" w:eastAsia="Times New Roman" w:hAnsi="Calibri Light" w:cs="Times New Roman"/>
                <w:lang w:eastAsia="sv-SE"/>
              </w:rPr>
              <w:t>110</w:t>
            </w:r>
          </w:p>
        </w:tc>
      </w:tr>
      <w:tr w:rsidR="00386517" w:rsidRPr="00C25589" w:rsidTr="00F90712">
        <w:trPr>
          <w:trHeight w:val="283"/>
        </w:trPr>
        <w:tc>
          <w:tcPr>
            <w:tcW w:w="3192" w:type="dxa"/>
            <w:tcBorders>
              <w:top w:val="nil"/>
              <w:left w:val="single" w:sz="4" w:space="0" w:color="auto"/>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r w:rsidRPr="00C25589">
              <w:rPr>
                <w:rFonts w:ascii="Calibri Light" w:eastAsia="Times New Roman" w:hAnsi="Calibri Light" w:cs="Times New Roman"/>
                <w:color w:val="000000"/>
                <w:lang w:eastAsia="sv-SE"/>
              </w:rPr>
              <w:t xml:space="preserve">Individ- och </w:t>
            </w:r>
            <w:proofErr w:type="spellStart"/>
            <w:r>
              <w:rPr>
                <w:rFonts w:ascii="Calibri Light" w:eastAsia="Times New Roman" w:hAnsi="Calibri Light" w:cs="Times New Roman"/>
                <w:color w:val="000000"/>
                <w:lang w:eastAsia="sv-SE"/>
              </w:rPr>
              <w:t>fam</w:t>
            </w:r>
            <w:proofErr w:type="spellEnd"/>
            <w:r>
              <w:rPr>
                <w:rFonts w:ascii="Calibri Light" w:eastAsia="Times New Roman" w:hAnsi="Calibri Light" w:cs="Times New Roman"/>
                <w:color w:val="000000"/>
                <w:lang w:eastAsia="sv-SE"/>
              </w:rPr>
              <w:t>,</w:t>
            </w:r>
            <w:r w:rsidRPr="00C25589">
              <w:rPr>
                <w:rFonts w:ascii="Calibri Light" w:eastAsia="Times New Roman" w:hAnsi="Calibri Light" w:cs="Times New Roman"/>
                <w:color w:val="000000"/>
                <w:lang w:eastAsia="sv-SE"/>
              </w:rPr>
              <w:t xml:space="preserve"> flykting</w:t>
            </w:r>
          </w:p>
        </w:tc>
        <w:tc>
          <w:tcPr>
            <w:tcW w:w="753"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r w:rsidRPr="00C25589">
              <w:rPr>
                <w:rFonts w:ascii="Calibri Light" w:eastAsia="Times New Roman" w:hAnsi="Calibri Light" w:cs="Times New Roman"/>
                <w:color w:val="000000"/>
                <w:lang w:eastAsia="sv-SE"/>
              </w:rPr>
              <w:t>56</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939"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r w:rsidRPr="00C25589">
              <w:rPr>
                <w:rFonts w:ascii="Calibri Light" w:eastAsia="Times New Roman" w:hAnsi="Calibri Light" w:cs="Times New Roman"/>
                <w:color w:val="000000"/>
                <w:lang w:eastAsia="sv-SE"/>
              </w:rPr>
              <w:t>0</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933"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r w:rsidRPr="00C25589">
              <w:rPr>
                <w:rFonts w:ascii="Calibri Light" w:eastAsia="Times New Roman" w:hAnsi="Calibri Light" w:cs="Times New Roman"/>
                <w:color w:val="000000"/>
                <w:lang w:eastAsia="sv-SE"/>
              </w:rPr>
              <w:t>56</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1011" w:type="dxa"/>
            <w:tcBorders>
              <w:top w:val="nil"/>
              <w:left w:val="nil"/>
              <w:bottom w:val="nil"/>
              <w:right w:val="single" w:sz="4" w:space="0" w:color="auto"/>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lang w:eastAsia="sv-SE"/>
              </w:rPr>
            </w:pPr>
            <w:r w:rsidRPr="00C25589">
              <w:rPr>
                <w:rFonts w:ascii="Calibri Light" w:eastAsia="Times New Roman" w:hAnsi="Calibri Light" w:cs="Times New Roman"/>
                <w:lang w:eastAsia="sv-SE"/>
              </w:rPr>
              <w:t>13</w:t>
            </w:r>
          </w:p>
        </w:tc>
      </w:tr>
      <w:tr w:rsidR="00386517" w:rsidRPr="00C25589" w:rsidTr="00F90712">
        <w:trPr>
          <w:trHeight w:val="283"/>
        </w:trPr>
        <w:tc>
          <w:tcPr>
            <w:tcW w:w="3192" w:type="dxa"/>
            <w:tcBorders>
              <w:top w:val="nil"/>
              <w:left w:val="single" w:sz="4" w:space="0" w:color="auto"/>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r w:rsidRPr="00C25589">
              <w:rPr>
                <w:rFonts w:ascii="Calibri Light" w:eastAsia="Times New Roman" w:hAnsi="Calibri Light" w:cs="Times New Roman"/>
                <w:color w:val="000000"/>
                <w:lang w:eastAsia="sv-SE"/>
              </w:rPr>
              <w:t xml:space="preserve">Nämnd Idrott, fritid och </w:t>
            </w:r>
            <w:proofErr w:type="spellStart"/>
            <w:r w:rsidRPr="00C25589">
              <w:rPr>
                <w:rFonts w:ascii="Calibri Light" w:eastAsia="Times New Roman" w:hAnsi="Calibri Light" w:cs="Times New Roman"/>
                <w:color w:val="000000"/>
                <w:lang w:eastAsia="sv-SE"/>
              </w:rPr>
              <w:t>föreb</w:t>
            </w:r>
            <w:proofErr w:type="spellEnd"/>
          </w:p>
        </w:tc>
        <w:tc>
          <w:tcPr>
            <w:tcW w:w="753"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proofErr w:type="gramStart"/>
            <w:r w:rsidRPr="00C25589">
              <w:rPr>
                <w:rFonts w:ascii="Calibri Light" w:eastAsia="Times New Roman" w:hAnsi="Calibri Light" w:cs="Times New Roman"/>
                <w:color w:val="000000"/>
                <w:lang w:eastAsia="sv-SE"/>
              </w:rPr>
              <w:t>-</w:t>
            </w:r>
            <w:proofErr w:type="gramEnd"/>
            <w:r w:rsidRPr="00C25589">
              <w:rPr>
                <w:rFonts w:ascii="Calibri Light" w:eastAsia="Times New Roman" w:hAnsi="Calibri Light" w:cs="Times New Roman"/>
                <w:color w:val="000000"/>
                <w:lang w:eastAsia="sv-SE"/>
              </w:rPr>
              <w:t>268</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939"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proofErr w:type="gramStart"/>
            <w:r w:rsidRPr="00C25589">
              <w:rPr>
                <w:rFonts w:ascii="Calibri Light" w:eastAsia="Times New Roman" w:hAnsi="Calibri Light" w:cs="Times New Roman"/>
                <w:color w:val="000000"/>
                <w:lang w:eastAsia="sv-SE"/>
              </w:rPr>
              <w:t>-</w:t>
            </w:r>
            <w:proofErr w:type="gramEnd"/>
            <w:r w:rsidRPr="00C25589">
              <w:rPr>
                <w:rFonts w:ascii="Calibri Light" w:eastAsia="Times New Roman" w:hAnsi="Calibri Light" w:cs="Times New Roman"/>
                <w:color w:val="000000"/>
                <w:lang w:eastAsia="sv-SE"/>
              </w:rPr>
              <w:t>266</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933"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proofErr w:type="gramStart"/>
            <w:r w:rsidRPr="00C25589">
              <w:rPr>
                <w:rFonts w:ascii="Calibri Light" w:eastAsia="Times New Roman" w:hAnsi="Calibri Light" w:cs="Times New Roman"/>
                <w:color w:val="000000"/>
                <w:lang w:eastAsia="sv-SE"/>
              </w:rPr>
              <w:t>-</w:t>
            </w:r>
            <w:proofErr w:type="gramEnd"/>
            <w:r w:rsidRPr="00C25589">
              <w:rPr>
                <w:rFonts w:ascii="Calibri Light" w:eastAsia="Times New Roman" w:hAnsi="Calibri Light" w:cs="Times New Roman"/>
                <w:color w:val="000000"/>
                <w:lang w:eastAsia="sv-SE"/>
              </w:rPr>
              <w:t>1</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1011" w:type="dxa"/>
            <w:tcBorders>
              <w:top w:val="nil"/>
              <w:left w:val="nil"/>
              <w:bottom w:val="nil"/>
              <w:right w:val="single" w:sz="4" w:space="0" w:color="auto"/>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r w:rsidRPr="00C25589">
              <w:rPr>
                <w:rFonts w:ascii="Calibri Light" w:eastAsia="Times New Roman" w:hAnsi="Calibri Light" w:cs="Times New Roman"/>
                <w:color w:val="000000"/>
                <w:lang w:eastAsia="sv-SE"/>
              </w:rPr>
              <w:t>1</w:t>
            </w:r>
          </w:p>
        </w:tc>
      </w:tr>
      <w:tr w:rsidR="00386517" w:rsidRPr="00C25589" w:rsidTr="00F90712">
        <w:trPr>
          <w:trHeight w:val="283"/>
        </w:trPr>
        <w:tc>
          <w:tcPr>
            <w:tcW w:w="3192" w:type="dxa"/>
            <w:tcBorders>
              <w:top w:val="nil"/>
              <w:left w:val="single" w:sz="4" w:space="0" w:color="auto"/>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r>
              <w:rPr>
                <w:rFonts w:ascii="Calibri Light" w:eastAsia="Times New Roman" w:hAnsi="Calibri Light" w:cs="Times New Roman"/>
                <w:color w:val="000000"/>
                <w:lang w:eastAsia="sv-SE"/>
              </w:rPr>
              <w:t>Kulturnämnde</w:t>
            </w:r>
          </w:p>
        </w:tc>
        <w:tc>
          <w:tcPr>
            <w:tcW w:w="753"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proofErr w:type="gramStart"/>
            <w:r w:rsidRPr="00C25589">
              <w:rPr>
                <w:rFonts w:ascii="Calibri Light" w:eastAsia="Times New Roman" w:hAnsi="Calibri Light" w:cs="Times New Roman"/>
                <w:color w:val="000000"/>
                <w:lang w:eastAsia="sv-SE"/>
              </w:rPr>
              <w:t>-</w:t>
            </w:r>
            <w:proofErr w:type="gramEnd"/>
            <w:r w:rsidRPr="00C25589">
              <w:rPr>
                <w:rFonts w:ascii="Calibri Light" w:eastAsia="Times New Roman" w:hAnsi="Calibri Light" w:cs="Times New Roman"/>
                <w:color w:val="000000"/>
                <w:lang w:eastAsia="sv-SE"/>
              </w:rPr>
              <w:t>194</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939"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proofErr w:type="gramStart"/>
            <w:r w:rsidRPr="00C25589">
              <w:rPr>
                <w:rFonts w:ascii="Calibri Light" w:eastAsia="Times New Roman" w:hAnsi="Calibri Light" w:cs="Times New Roman"/>
                <w:color w:val="000000"/>
                <w:lang w:eastAsia="sv-SE"/>
              </w:rPr>
              <w:t>-</w:t>
            </w:r>
            <w:proofErr w:type="gramEnd"/>
            <w:r w:rsidRPr="00C25589">
              <w:rPr>
                <w:rFonts w:ascii="Calibri Light" w:eastAsia="Times New Roman" w:hAnsi="Calibri Light" w:cs="Times New Roman"/>
                <w:color w:val="000000"/>
                <w:lang w:eastAsia="sv-SE"/>
              </w:rPr>
              <w:t>196</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933"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r w:rsidRPr="00C25589">
              <w:rPr>
                <w:rFonts w:ascii="Calibri Light" w:eastAsia="Times New Roman" w:hAnsi="Calibri Light" w:cs="Times New Roman"/>
                <w:color w:val="000000"/>
                <w:lang w:eastAsia="sv-SE"/>
              </w:rPr>
              <w:t>2</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1011" w:type="dxa"/>
            <w:tcBorders>
              <w:top w:val="nil"/>
              <w:left w:val="nil"/>
              <w:bottom w:val="nil"/>
              <w:right w:val="single" w:sz="4" w:space="0" w:color="auto"/>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r w:rsidRPr="00C25589">
              <w:rPr>
                <w:rFonts w:ascii="Calibri Light" w:eastAsia="Times New Roman" w:hAnsi="Calibri Light" w:cs="Times New Roman"/>
                <w:color w:val="000000"/>
                <w:lang w:eastAsia="sv-SE"/>
              </w:rPr>
              <w:t>5</w:t>
            </w:r>
          </w:p>
        </w:tc>
      </w:tr>
      <w:tr w:rsidR="00386517" w:rsidRPr="00C25589" w:rsidTr="00F90712">
        <w:trPr>
          <w:trHeight w:val="283"/>
        </w:trPr>
        <w:tc>
          <w:tcPr>
            <w:tcW w:w="3192" w:type="dxa"/>
            <w:tcBorders>
              <w:top w:val="nil"/>
              <w:left w:val="single" w:sz="4" w:space="0" w:color="auto"/>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r>
              <w:rPr>
                <w:rFonts w:ascii="Calibri Light" w:eastAsia="Times New Roman" w:hAnsi="Calibri Light" w:cs="Times New Roman"/>
                <w:color w:val="000000"/>
                <w:lang w:eastAsia="sv-SE"/>
              </w:rPr>
              <w:t>Tekniska nämnd</w:t>
            </w:r>
          </w:p>
        </w:tc>
        <w:tc>
          <w:tcPr>
            <w:tcW w:w="753"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proofErr w:type="gramStart"/>
            <w:r w:rsidRPr="00C25589">
              <w:rPr>
                <w:rFonts w:ascii="Calibri Light" w:eastAsia="Times New Roman" w:hAnsi="Calibri Light" w:cs="Times New Roman"/>
                <w:color w:val="000000"/>
                <w:lang w:eastAsia="sv-SE"/>
              </w:rPr>
              <w:t>-</w:t>
            </w:r>
            <w:proofErr w:type="gramEnd"/>
            <w:r w:rsidRPr="00C25589">
              <w:rPr>
                <w:rFonts w:ascii="Calibri Light" w:eastAsia="Times New Roman" w:hAnsi="Calibri Light" w:cs="Times New Roman"/>
                <w:color w:val="000000"/>
                <w:lang w:eastAsia="sv-SE"/>
              </w:rPr>
              <w:t>448</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939"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proofErr w:type="gramStart"/>
            <w:r w:rsidRPr="00C25589">
              <w:rPr>
                <w:rFonts w:ascii="Calibri Light" w:eastAsia="Times New Roman" w:hAnsi="Calibri Light" w:cs="Times New Roman"/>
                <w:color w:val="000000"/>
                <w:lang w:eastAsia="sv-SE"/>
              </w:rPr>
              <w:t>-</w:t>
            </w:r>
            <w:proofErr w:type="gramEnd"/>
            <w:r w:rsidRPr="00C25589">
              <w:rPr>
                <w:rFonts w:ascii="Calibri Light" w:eastAsia="Times New Roman" w:hAnsi="Calibri Light" w:cs="Times New Roman"/>
                <w:color w:val="000000"/>
                <w:lang w:eastAsia="sv-SE"/>
              </w:rPr>
              <w:t>438</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933"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proofErr w:type="gramStart"/>
            <w:r w:rsidRPr="00C25589">
              <w:rPr>
                <w:rFonts w:ascii="Calibri Light" w:eastAsia="Times New Roman" w:hAnsi="Calibri Light" w:cs="Times New Roman"/>
                <w:color w:val="000000"/>
                <w:lang w:eastAsia="sv-SE"/>
              </w:rPr>
              <w:t>-</w:t>
            </w:r>
            <w:proofErr w:type="gramEnd"/>
            <w:r w:rsidRPr="00C25589">
              <w:rPr>
                <w:rFonts w:ascii="Calibri Light" w:eastAsia="Times New Roman" w:hAnsi="Calibri Light" w:cs="Times New Roman"/>
                <w:color w:val="000000"/>
                <w:lang w:eastAsia="sv-SE"/>
              </w:rPr>
              <w:t>11</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1011" w:type="dxa"/>
            <w:tcBorders>
              <w:top w:val="nil"/>
              <w:left w:val="nil"/>
              <w:bottom w:val="nil"/>
              <w:right w:val="single" w:sz="4" w:space="0" w:color="auto"/>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lang w:eastAsia="sv-SE"/>
              </w:rPr>
            </w:pPr>
            <w:r w:rsidRPr="00C25589">
              <w:rPr>
                <w:rFonts w:ascii="Calibri Light" w:eastAsia="Times New Roman" w:hAnsi="Calibri Light" w:cs="Times New Roman"/>
                <w:lang w:eastAsia="sv-SE"/>
              </w:rPr>
              <w:t>9</w:t>
            </w:r>
          </w:p>
        </w:tc>
      </w:tr>
      <w:tr w:rsidR="00386517" w:rsidRPr="00C25589" w:rsidTr="00F90712">
        <w:trPr>
          <w:trHeight w:val="283"/>
        </w:trPr>
        <w:tc>
          <w:tcPr>
            <w:tcW w:w="3192" w:type="dxa"/>
            <w:tcBorders>
              <w:top w:val="nil"/>
              <w:left w:val="single" w:sz="4" w:space="0" w:color="auto"/>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r>
              <w:rPr>
                <w:rFonts w:ascii="Calibri Light" w:eastAsia="Times New Roman" w:hAnsi="Calibri Light" w:cs="Times New Roman"/>
                <w:color w:val="000000"/>
                <w:lang w:eastAsia="sv-SE"/>
              </w:rPr>
              <w:t>Fastighetsnämnd</w:t>
            </w:r>
          </w:p>
        </w:tc>
        <w:tc>
          <w:tcPr>
            <w:tcW w:w="753"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r w:rsidRPr="00C25589">
              <w:rPr>
                <w:rFonts w:ascii="Calibri Light" w:eastAsia="Times New Roman" w:hAnsi="Calibri Light" w:cs="Times New Roman"/>
                <w:color w:val="000000"/>
                <w:lang w:eastAsia="sv-SE"/>
              </w:rPr>
              <w:t>3</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939"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r w:rsidRPr="00C25589">
              <w:rPr>
                <w:rFonts w:ascii="Calibri Light" w:eastAsia="Times New Roman" w:hAnsi="Calibri Light" w:cs="Times New Roman"/>
                <w:color w:val="000000"/>
                <w:lang w:eastAsia="sv-SE"/>
              </w:rPr>
              <w:t>7</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933"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proofErr w:type="gramStart"/>
            <w:r w:rsidRPr="00C25589">
              <w:rPr>
                <w:rFonts w:ascii="Calibri Light" w:eastAsia="Times New Roman" w:hAnsi="Calibri Light" w:cs="Times New Roman"/>
                <w:color w:val="000000"/>
                <w:lang w:eastAsia="sv-SE"/>
              </w:rPr>
              <w:t>-</w:t>
            </w:r>
            <w:proofErr w:type="gramEnd"/>
            <w:r w:rsidRPr="00C25589">
              <w:rPr>
                <w:rFonts w:ascii="Calibri Light" w:eastAsia="Times New Roman" w:hAnsi="Calibri Light" w:cs="Times New Roman"/>
                <w:color w:val="000000"/>
                <w:lang w:eastAsia="sv-SE"/>
              </w:rPr>
              <w:t>4</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1011" w:type="dxa"/>
            <w:tcBorders>
              <w:top w:val="nil"/>
              <w:left w:val="nil"/>
              <w:bottom w:val="nil"/>
              <w:right w:val="single" w:sz="4" w:space="0" w:color="auto"/>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r w:rsidRPr="00C25589">
              <w:rPr>
                <w:rFonts w:ascii="Calibri Light" w:eastAsia="Times New Roman" w:hAnsi="Calibri Light" w:cs="Times New Roman"/>
                <w:color w:val="000000"/>
                <w:lang w:eastAsia="sv-SE"/>
              </w:rPr>
              <w:t>5</w:t>
            </w:r>
          </w:p>
        </w:tc>
      </w:tr>
      <w:tr w:rsidR="00386517" w:rsidRPr="00C25589" w:rsidTr="00F90712">
        <w:trPr>
          <w:trHeight w:val="283"/>
        </w:trPr>
        <w:tc>
          <w:tcPr>
            <w:tcW w:w="3192" w:type="dxa"/>
            <w:tcBorders>
              <w:top w:val="nil"/>
              <w:left w:val="single" w:sz="4" w:space="0" w:color="auto"/>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r>
              <w:rPr>
                <w:rFonts w:ascii="Calibri Light" w:eastAsia="Times New Roman" w:hAnsi="Calibri Light" w:cs="Times New Roman"/>
                <w:color w:val="000000"/>
                <w:lang w:eastAsia="sv-SE"/>
              </w:rPr>
              <w:t>Kommunstyrelse</w:t>
            </w:r>
          </w:p>
        </w:tc>
        <w:tc>
          <w:tcPr>
            <w:tcW w:w="753"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proofErr w:type="gramStart"/>
            <w:r w:rsidRPr="00C25589">
              <w:rPr>
                <w:rFonts w:ascii="Calibri Light" w:eastAsia="Times New Roman" w:hAnsi="Calibri Light" w:cs="Times New Roman"/>
                <w:color w:val="000000"/>
                <w:lang w:eastAsia="sv-SE"/>
              </w:rPr>
              <w:t>-</w:t>
            </w:r>
            <w:proofErr w:type="gramEnd"/>
            <w:r w:rsidRPr="00C25589">
              <w:rPr>
                <w:rFonts w:ascii="Calibri Light" w:eastAsia="Times New Roman" w:hAnsi="Calibri Light" w:cs="Times New Roman"/>
                <w:color w:val="000000"/>
                <w:lang w:eastAsia="sv-SE"/>
              </w:rPr>
              <w:t>189</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939"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proofErr w:type="gramStart"/>
            <w:r w:rsidRPr="00C25589">
              <w:rPr>
                <w:rFonts w:ascii="Calibri Light" w:eastAsia="Times New Roman" w:hAnsi="Calibri Light" w:cs="Times New Roman"/>
                <w:color w:val="000000"/>
                <w:lang w:eastAsia="sv-SE"/>
              </w:rPr>
              <w:t>-</w:t>
            </w:r>
            <w:proofErr w:type="gramEnd"/>
            <w:r w:rsidRPr="00C25589">
              <w:rPr>
                <w:rFonts w:ascii="Calibri Light" w:eastAsia="Times New Roman" w:hAnsi="Calibri Light" w:cs="Times New Roman"/>
                <w:color w:val="000000"/>
                <w:lang w:eastAsia="sv-SE"/>
              </w:rPr>
              <w:t>211</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933"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r w:rsidRPr="00C25589">
              <w:rPr>
                <w:rFonts w:ascii="Calibri Light" w:eastAsia="Times New Roman" w:hAnsi="Calibri Light" w:cs="Times New Roman"/>
                <w:color w:val="000000"/>
                <w:lang w:eastAsia="sv-SE"/>
              </w:rPr>
              <w:t>22</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1011" w:type="dxa"/>
            <w:tcBorders>
              <w:top w:val="nil"/>
              <w:left w:val="nil"/>
              <w:bottom w:val="nil"/>
              <w:right w:val="single" w:sz="4" w:space="0" w:color="auto"/>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lang w:eastAsia="sv-SE"/>
              </w:rPr>
            </w:pPr>
            <w:r w:rsidRPr="00C25589">
              <w:rPr>
                <w:rFonts w:ascii="Calibri Light" w:eastAsia="Times New Roman" w:hAnsi="Calibri Light" w:cs="Times New Roman"/>
                <w:lang w:eastAsia="sv-SE"/>
              </w:rPr>
              <w:t>18</w:t>
            </w:r>
          </w:p>
        </w:tc>
      </w:tr>
      <w:tr w:rsidR="00386517" w:rsidRPr="00C25589" w:rsidTr="00F90712">
        <w:trPr>
          <w:trHeight w:val="283"/>
        </w:trPr>
        <w:tc>
          <w:tcPr>
            <w:tcW w:w="3192" w:type="dxa"/>
            <w:tcBorders>
              <w:top w:val="nil"/>
              <w:left w:val="single" w:sz="4" w:space="0" w:color="auto"/>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r>
              <w:rPr>
                <w:rFonts w:ascii="Calibri Light" w:eastAsia="Times New Roman" w:hAnsi="Calibri Light" w:cs="Times New Roman"/>
                <w:color w:val="000000"/>
                <w:lang w:eastAsia="sv-SE"/>
              </w:rPr>
              <w:t>Byggnadsnämnd</w:t>
            </w:r>
          </w:p>
        </w:tc>
        <w:tc>
          <w:tcPr>
            <w:tcW w:w="753"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proofErr w:type="gramStart"/>
            <w:r w:rsidRPr="00C25589">
              <w:rPr>
                <w:rFonts w:ascii="Calibri Light" w:eastAsia="Times New Roman" w:hAnsi="Calibri Light" w:cs="Times New Roman"/>
                <w:color w:val="000000"/>
                <w:lang w:eastAsia="sv-SE"/>
              </w:rPr>
              <w:t>-</w:t>
            </w:r>
            <w:proofErr w:type="gramEnd"/>
            <w:r w:rsidRPr="00C25589">
              <w:rPr>
                <w:rFonts w:ascii="Calibri Light" w:eastAsia="Times New Roman" w:hAnsi="Calibri Light" w:cs="Times New Roman"/>
                <w:color w:val="000000"/>
                <w:lang w:eastAsia="sv-SE"/>
              </w:rPr>
              <w:t>29</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939"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proofErr w:type="gramStart"/>
            <w:r w:rsidRPr="00C25589">
              <w:rPr>
                <w:rFonts w:ascii="Calibri Light" w:eastAsia="Times New Roman" w:hAnsi="Calibri Light" w:cs="Times New Roman"/>
                <w:color w:val="000000"/>
                <w:lang w:eastAsia="sv-SE"/>
              </w:rPr>
              <w:t>-</w:t>
            </w:r>
            <w:proofErr w:type="gramEnd"/>
            <w:r w:rsidRPr="00C25589">
              <w:rPr>
                <w:rFonts w:ascii="Calibri Light" w:eastAsia="Times New Roman" w:hAnsi="Calibri Light" w:cs="Times New Roman"/>
                <w:color w:val="000000"/>
                <w:lang w:eastAsia="sv-SE"/>
              </w:rPr>
              <w:t>26</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933"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proofErr w:type="gramStart"/>
            <w:r w:rsidRPr="00C25589">
              <w:rPr>
                <w:rFonts w:ascii="Calibri Light" w:eastAsia="Times New Roman" w:hAnsi="Calibri Light" w:cs="Times New Roman"/>
                <w:color w:val="000000"/>
                <w:lang w:eastAsia="sv-SE"/>
              </w:rPr>
              <w:t>-</w:t>
            </w:r>
            <w:proofErr w:type="gramEnd"/>
            <w:r w:rsidRPr="00C25589">
              <w:rPr>
                <w:rFonts w:ascii="Calibri Light" w:eastAsia="Times New Roman" w:hAnsi="Calibri Light" w:cs="Times New Roman"/>
                <w:color w:val="000000"/>
                <w:lang w:eastAsia="sv-SE"/>
              </w:rPr>
              <w:t>3</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1011" w:type="dxa"/>
            <w:tcBorders>
              <w:top w:val="nil"/>
              <w:left w:val="nil"/>
              <w:bottom w:val="nil"/>
              <w:right w:val="single" w:sz="4" w:space="0" w:color="auto"/>
            </w:tcBorders>
            <w:shd w:val="clear" w:color="auto" w:fill="auto"/>
            <w:noWrap/>
            <w:vAlign w:val="bottom"/>
            <w:hideMark/>
          </w:tcPr>
          <w:p w:rsidR="00386517" w:rsidRPr="00C25589" w:rsidRDefault="00386517" w:rsidP="00F90712">
            <w:pPr>
              <w:spacing w:line="240" w:lineRule="auto"/>
              <w:jc w:val="right"/>
              <w:rPr>
                <w:rFonts w:ascii="Calibri" w:eastAsia="Times New Roman" w:hAnsi="Calibri" w:cs="Times New Roman"/>
                <w:color w:val="000000"/>
                <w:lang w:eastAsia="sv-SE"/>
              </w:rPr>
            </w:pPr>
            <w:r w:rsidRPr="00C25589">
              <w:rPr>
                <w:rFonts w:ascii="Calibri" w:eastAsia="Times New Roman" w:hAnsi="Calibri" w:cs="Times New Roman"/>
                <w:color w:val="000000"/>
                <w:lang w:eastAsia="sv-SE"/>
              </w:rPr>
              <w:t>0</w:t>
            </w:r>
          </w:p>
        </w:tc>
      </w:tr>
      <w:tr w:rsidR="00386517" w:rsidRPr="00C25589" w:rsidTr="00F90712">
        <w:trPr>
          <w:trHeight w:val="283"/>
        </w:trPr>
        <w:tc>
          <w:tcPr>
            <w:tcW w:w="3192" w:type="dxa"/>
            <w:tcBorders>
              <w:top w:val="nil"/>
              <w:left w:val="single" w:sz="4" w:space="0" w:color="auto"/>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r>
              <w:rPr>
                <w:rFonts w:ascii="Calibri Light" w:eastAsia="Times New Roman" w:hAnsi="Calibri Light" w:cs="Times New Roman"/>
                <w:color w:val="000000"/>
                <w:lang w:eastAsia="sv-SE"/>
              </w:rPr>
              <w:t>Miljö-o Konsumentnämnd</w:t>
            </w:r>
          </w:p>
        </w:tc>
        <w:tc>
          <w:tcPr>
            <w:tcW w:w="753"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proofErr w:type="gramStart"/>
            <w:r w:rsidRPr="00C25589">
              <w:rPr>
                <w:rFonts w:ascii="Calibri Light" w:eastAsia="Times New Roman" w:hAnsi="Calibri Light" w:cs="Times New Roman"/>
                <w:color w:val="000000"/>
                <w:lang w:eastAsia="sv-SE"/>
              </w:rPr>
              <w:t>-</w:t>
            </w:r>
            <w:proofErr w:type="gramEnd"/>
            <w:r w:rsidRPr="00C25589">
              <w:rPr>
                <w:rFonts w:ascii="Calibri Light" w:eastAsia="Times New Roman" w:hAnsi="Calibri Light" w:cs="Times New Roman"/>
                <w:color w:val="000000"/>
                <w:lang w:eastAsia="sv-SE"/>
              </w:rPr>
              <w:t>22</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939"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proofErr w:type="gramStart"/>
            <w:r w:rsidRPr="00C25589">
              <w:rPr>
                <w:rFonts w:ascii="Calibri Light" w:eastAsia="Times New Roman" w:hAnsi="Calibri Light" w:cs="Times New Roman"/>
                <w:color w:val="000000"/>
                <w:lang w:eastAsia="sv-SE"/>
              </w:rPr>
              <w:t>-</w:t>
            </w:r>
            <w:proofErr w:type="gramEnd"/>
            <w:r w:rsidRPr="00C25589">
              <w:rPr>
                <w:rFonts w:ascii="Calibri Light" w:eastAsia="Times New Roman" w:hAnsi="Calibri Light" w:cs="Times New Roman"/>
                <w:color w:val="000000"/>
                <w:lang w:eastAsia="sv-SE"/>
              </w:rPr>
              <w:t>22</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933"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r w:rsidRPr="00C25589">
              <w:rPr>
                <w:rFonts w:ascii="Calibri Light" w:eastAsia="Times New Roman" w:hAnsi="Calibri Light" w:cs="Times New Roman"/>
                <w:color w:val="000000"/>
                <w:lang w:eastAsia="sv-SE"/>
              </w:rPr>
              <w:t>0</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1011" w:type="dxa"/>
            <w:tcBorders>
              <w:top w:val="nil"/>
              <w:left w:val="nil"/>
              <w:bottom w:val="nil"/>
              <w:right w:val="single" w:sz="4" w:space="0" w:color="auto"/>
            </w:tcBorders>
            <w:shd w:val="clear" w:color="auto" w:fill="auto"/>
            <w:noWrap/>
            <w:vAlign w:val="bottom"/>
            <w:hideMark/>
          </w:tcPr>
          <w:p w:rsidR="00386517" w:rsidRPr="00C25589" w:rsidRDefault="00386517" w:rsidP="00F90712">
            <w:pPr>
              <w:spacing w:line="240" w:lineRule="auto"/>
              <w:jc w:val="right"/>
              <w:rPr>
                <w:rFonts w:ascii="Calibri" w:eastAsia="Times New Roman" w:hAnsi="Calibri" w:cs="Times New Roman"/>
                <w:color w:val="000000"/>
                <w:lang w:eastAsia="sv-SE"/>
              </w:rPr>
            </w:pPr>
            <w:r w:rsidRPr="00C25589">
              <w:rPr>
                <w:rFonts w:ascii="Calibri" w:eastAsia="Times New Roman" w:hAnsi="Calibri" w:cs="Times New Roman"/>
                <w:color w:val="000000"/>
                <w:lang w:eastAsia="sv-SE"/>
              </w:rPr>
              <w:t>1</w:t>
            </w:r>
          </w:p>
        </w:tc>
      </w:tr>
      <w:tr w:rsidR="00386517" w:rsidRPr="00C25589" w:rsidTr="00F90712">
        <w:trPr>
          <w:trHeight w:val="283"/>
        </w:trPr>
        <w:tc>
          <w:tcPr>
            <w:tcW w:w="3192" w:type="dxa"/>
            <w:tcBorders>
              <w:top w:val="nil"/>
              <w:left w:val="single" w:sz="4" w:space="0" w:color="auto"/>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r>
              <w:rPr>
                <w:rFonts w:ascii="Calibri Light" w:eastAsia="Times New Roman" w:hAnsi="Calibri Light" w:cs="Times New Roman"/>
                <w:color w:val="000000"/>
                <w:lang w:eastAsia="sv-SE"/>
              </w:rPr>
              <w:t>Överförmyndarnämnd</w:t>
            </w:r>
          </w:p>
        </w:tc>
        <w:tc>
          <w:tcPr>
            <w:tcW w:w="753"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proofErr w:type="gramStart"/>
            <w:r w:rsidRPr="00C25589">
              <w:rPr>
                <w:rFonts w:ascii="Calibri Light" w:eastAsia="Times New Roman" w:hAnsi="Calibri Light" w:cs="Times New Roman"/>
                <w:color w:val="000000"/>
                <w:lang w:eastAsia="sv-SE"/>
              </w:rPr>
              <w:t>-</w:t>
            </w:r>
            <w:proofErr w:type="gramEnd"/>
            <w:r w:rsidRPr="00C25589">
              <w:rPr>
                <w:rFonts w:ascii="Calibri Light" w:eastAsia="Times New Roman" w:hAnsi="Calibri Light" w:cs="Times New Roman"/>
                <w:color w:val="000000"/>
                <w:lang w:eastAsia="sv-SE"/>
              </w:rPr>
              <w:t>13</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939"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proofErr w:type="gramStart"/>
            <w:r w:rsidRPr="00C25589">
              <w:rPr>
                <w:rFonts w:ascii="Calibri Light" w:eastAsia="Times New Roman" w:hAnsi="Calibri Light" w:cs="Times New Roman"/>
                <w:color w:val="000000"/>
                <w:lang w:eastAsia="sv-SE"/>
              </w:rPr>
              <w:t>-</w:t>
            </w:r>
            <w:proofErr w:type="gramEnd"/>
            <w:r w:rsidRPr="00C25589">
              <w:rPr>
                <w:rFonts w:ascii="Calibri Light" w:eastAsia="Times New Roman" w:hAnsi="Calibri Light" w:cs="Times New Roman"/>
                <w:color w:val="000000"/>
                <w:lang w:eastAsia="sv-SE"/>
              </w:rPr>
              <w:t>15</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933"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r w:rsidRPr="00C25589">
              <w:rPr>
                <w:rFonts w:ascii="Calibri Light" w:eastAsia="Times New Roman" w:hAnsi="Calibri Light" w:cs="Times New Roman"/>
                <w:color w:val="000000"/>
                <w:lang w:eastAsia="sv-SE"/>
              </w:rPr>
              <w:t>2</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1011" w:type="dxa"/>
            <w:tcBorders>
              <w:top w:val="nil"/>
              <w:left w:val="nil"/>
              <w:bottom w:val="nil"/>
              <w:right w:val="single" w:sz="4" w:space="0" w:color="auto"/>
            </w:tcBorders>
            <w:shd w:val="clear" w:color="auto" w:fill="auto"/>
            <w:noWrap/>
            <w:vAlign w:val="bottom"/>
            <w:hideMark/>
          </w:tcPr>
          <w:p w:rsidR="00386517" w:rsidRPr="00C25589" w:rsidRDefault="00386517" w:rsidP="00F90712">
            <w:pPr>
              <w:spacing w:line="240" w:lineRule="auto"/>
              <w:jc w:val="right"/>
              <w:rPr>
                <w:rFonts w:ascii="Calibri" w:eastAsia="Times New Roman" w:hAnsi="Calibri" w:cs="Times New Roman"/>
                <w:color w:val="000000"/>
                <w:lang w:eastAsia="sv-SE"/>
              </w:rPr>
            </w:pPr>
            <w:r w:rsidRPr="00C25589">
              <w:rPr>
                <w:rFonts w:ascii="Calibri" w:eastAsia="Times New Roman" w:hAnsi="Calibri" w:cs="Times New Roman"/>
                <w:color w:val="000000"/>
                <w:lang w:eastAsia="sv-SE"/>
              </w:rPr>
              <w:t>3</w:t>
            </w:r>
          </w:p>
        </w:tc>
      </w:tr>
      <w:tr w:rsidR="00386517" w:rsidRPr="00C25589" w:rsidTr="00F90712">
        <w:trPr>
          <w:trHeight w:val="283"/>
        </w:trPr>
        <w:tc>
          <w:tcPr>
            <w:tcW w:w="3192" w:type="dxa"/>
            <w:tcBorders>
              <w:top w:val="nil"/>
              <w:left w:val="single" w:sz="4" w:space="0" w:color="auto"/>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r w:rsidRPr="00C25589">
              <w:rPr>
                <w:rFonts w:ascii="Calibri Light" w:eastAsia="Times New Roman" w:hAnsi="Calibri Light" w:cs="Times New Roman"/>
                <w:color w:val="000000"/>
                <w:lang w:eastAsia="sv-SE"/>
              </w:rPr>
              <w:t>Valnämnd</w:t>
            </w:r>
          </w:p>
        </w:tc>
        <w:tc>
          <w:tcPr>
            <w:tcW w:w="753"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proofErr w:type="gramStart"/>
            <w:r w:rsidRPr="00C25589">
              <w:rPr>
                <w:rFonts w:ascii="Calibri Light" w:eastAsia="Times New Roman" w:hAnsi="Calibri Light" w:cs="Times New Roman"/>
                <w:color w:val="000000"/>
                <w:lang w:eastAsia="sv-SE"/>
              </w:rPr>
              <w:t>-</w:t>
            </w:r>
            <w:proofErr w:type="gramEnd"/>
            <w:r w:rsidRPr="00C25589">
              <w:rPr>
                <w:rFonts w:ascii="Calibri Light" w:eastAsia="Times New Roman" w:hAnsi="Calibri Light" w:cs="Times New Roman"/>
                <w:color w:val="000000"/>
                <w:lang w:eastAsia="sv-SE"/>
              </w:rPr>
              <w:t>5</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939"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proofErr w:type="gramStart"/>
            <w:r w:rsidRPr="00C25589">
              <w:rPr>
                <w:rFonts w:ascii="Calibri Light" w:eastAsia="Times New Roman" w:hAnsi="Calibri Light" w:cs="Times New Roman"/>
                <w:color w:val="000000"/>
                <w:lang w:eastAsia="sv-SE"/>
              </w:rPr>
              <w:t>-</w:t>
            </w:r>
            <w:proofErr w:type="gramEnd"/>
            <w:r w:rsidRPr="00C25589">
              <w:rPr>
                <w:rFonts w:ascii="Calibri Light" w:eastAsia="Times New Roman" w:hAnsi="Calibri Light" w:cs="Times New Roman"/>
                <w:color w:val="000000"/>
                <w:lang w:eastAsia="sv-SE"/>
              </w:rPr>
              <w:t>5</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933"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r w:rsidRPr="00C25589">
              <w:rPr>
                <w:rFonts w:ascii="Calibri Light" w:eastAsia="Times New Roman" w:hAnsi="Calibri Light" w:cs="Times New Roman"/>
                <w:color w:val="000000"/>
                <w:lang w:eastAsia="sv-SE"/>
              </w:rPr>
              <w:t>0</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1011" w:type="dxa"/>
            <w:tcBorders>
              <w:top w:val="nil"/>
              <w:left w:val="nil"/>
              <w:bottom w:val="nil"/>
              <w:right w:val="single" w:sz="4" w:space="0" w:color="auto"/>
            </w:tcBorders>
            <w:shd w:val="clear" w:color="auto" w:fill="auto"/>
            <w:noWrap/>
            <w:vAlign w:val="bottom"/>
            <w:hideMark/>
          </w:tcPr>
          <w:p w:rsidR="00386517" w:rsidRPr="00C25589" w:rsidRDefault="00386517" w:rsidP="00F90712">
            <w:pPr>
              <w:spacing w:line="240" w:lineRule="auto"/>
              <w:jc w:val="right"/>
              <w:rPr>
                <w:rFonts w:ascii="Calibri" w:eastAsia="Times New Roman" w:hAnsi="Calibri" w:cs="Times New Roman"/>
                <w:color w:val="000000"/>
                <w:lang w:eastAsia="sv-SE"/>
              </w:rPr>
            </w:pPr>
            <w:r w:rsidRPr="00C25589">
              <w:rPr>
                <w:rFonts w:ascii="Calibri" w:eastAsia="Times New Roman" w:hAnsi="Calibri" w:cs="Times New Roman"/>
                <w:color w:val="000000"/>
                <w:lang w:eastAsia="sv-SE"/>
              </w:rPr>
              <w:t>0</w:t>
            </w:r>
          </w:p>
        </w:tc>
      </w:tr>
      <w:tr w:rsidR="00386517" w:rsidRPr="00C25589" w:rsidTr="00F90712">
        <w:trPr>
          <w:trHeight w:val="283"/>
        </w:trPr>
        <w:tc>
          <w:tcPr>
            <w:tcW w:w="3192" w:type="dxa"/>
            <w:tcBorders>
              <w:top w:val="nil"/>
              <w:left w:val="single" w:sz="4" w:space="0" w:color="auto"/>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r w:rsidRPr="00C25589">
              <w:rPr>
                <w:rFonts w:ascii="Calibri Light" w:eastAsia="Times New Roman" w:hAnsi="Calibri Light" w:cs="Times New Roman"/>
                <w:color w:val="000000"/>
                <w:lang w:eastAsia="sv-SE"/>
              </w:rPr>
              <w:t>Kommunrevision</w:t>
            </w:r>
          </w:p>
        </w:tc>
        <w:tc>
          <w:tcPr>
            <w:tcW w:w="753"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proofErr w:type="gramStart"/>
            <w:r w:rsidRPr="00C25589">
              <w:rPr>
                <w:rFonts w:ascii="Calibri Light" w:eastAsia="Times New Roman" w:hAnsi="Calibri Light" w:cs="Times New Roman"/>
                <w:color w:val="000000"/>
                <w:lang w:eastAsia="sv-SE"/>
              </w:rPr>
              <w:t>-</w:t>
            </w:r>
            <w:proofErr w:type="gramEnd"/>
            <w:r w:rsidRPr="00C25589">
              <w:rPr>
                <w:rFonts w:ascii="Calibri Light" w:eastAsia="Times New Roman" w:hAnsi="Calibri Light" w:cs="Times New Roman"/>
                <w:color w:val="000000"/>
                <w:lang w:eastAsia="sv-SE"/>
              </w:rPr>
              <w:t>4</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939"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proofErr w:type="gramStart"/>
            <w:r w:rsidRPr="00C25589">
              <w:rPr>
                <w:rFonts w:ascii="Calibri Light" w:eastAsia="Times New Roman" w:hAnsi="Calibri Light" w:cs="Times New Roman"/>
                <w:color w:val="000000"/>
                <w:lang w:eastAsia="sv-SE"/>
              </w:rPr>
              <w:t>-</w:t>
            </w:r>
            <w:proofErr w:type="gramEnd"/>
            <w:r w:rsidRPr="00C25589">
              <w:rPr>
                <w:rFonts w:ascii="Calibri Light" w:eastAsia="Times New Roman" w:hAnsi="Calibri Light" w:cs="Times New Roman"/>
                <w:color w:val="000000"/>
                <w:lang w:eastAsia="sv-SE"/>
              </w:rPr>
              <w:t>5</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933"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r w:rsidRPr="00C25589">
              <w:rPr>
                <w:rFonts w:ascii="Calibri Light" w:eastAsia="Times New Roman" w:hAnsi="Calibri Light" w:cs="Times New Roman"/>
                <w:color w:val="000000"/>
                <w:lang w:eastAsia="sv-SE"/>
              </w:rPr>
              <w:t>1</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1011" w:type="dxa"/>
            <w:tcBorders>
              <w:top w:val="nil"/>
              <w:left w:val="nil"/>
              <w:bottom w:val="nil"/>
              <w:right w:val="single" w:sz="4" w:space="0" w:color="auto"/>
            </w:tcBorders>
            <w:shd w:val="clear" w:color="auto" w:fill="auto"/>
            <w:noWrap/>
            <w:vAlign w:val="bottom"/>
            <w:hideMark/>
          </w:tcPr>
          <w:p w:rsidR="00386517" w:rsidRPr="00C25589" w:rsidRDefault="00386517" w:rsidP="00F90712">
            <w:pPr>
              <w:spacing w:line="240" w:lineRule="auto"/>
              <w:jc w:val="right"/>
              <w:rPr>
                <w:rFonts w:ascii="Calibri" w:eastAsia="Times New Roman" w:hAnsi="Calibri" w:cs="Times New Roman"/>
                <w:color w:val="000000"/>
                <w:lang w:eastAsia="sv-SE"/>
              </w:rPr>
            </w:pPr>
            <w:r w:rsidRPr="00C25589">
              <w:rPr>
                <w:rFonts w:ascii="Calibri" w:eastAsia="Times New Roman" w:hAnsi="Calibri" w:cs="Times New Roman"/>
                <w:color w:val="000000"/>
                <w:lang w:eastAsia="sv-SE"/>
              </w:rPr>
              <w:t>0,3</w:t>
            </w:r>
          </w:p>
        </w:tc>
        <w:bookmarkStart w:id="18" w:name="_GoBack"/>
        <w:bookmarkEnd w:id="18"/>
      </w:tr>
      <w:tr w:rsidR="00386517" w:rsidRPr="00C25589" w:rsidTr="00F90712">
        <w:trPr>
          <w:trHeight w:val="306"/>
        </w:trPr>
        <w:tc>
          <w:tcPr>
            <w:tcW w:w="3192" w:type="dxa"/>
            <w:tcBorders>
              <w:top w:val="nil"/>
              <w:left w:val="single" w:sz="4" w:space="0" w:color="auto"/>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b/>
                <w:bCs/>
                <w:color w:val="000000"/>
                <w:lang w:eastAsia="sv-SE"/>
              </w:rPr>
            </w:pPr>
            <w:r>
              <w:rPr>
                <w:rFonts w:ascii="Calibri Light" w:eastAsia="Times New Roman" w:hAnsi="Calibri Light" w:cs="Times New Roman"/>
                <w:b/>
                <w:bCs/>
                <w:color w:val="000000"/>
                <w:lang w:eastAsia="sv-SE"/>
              </w:rPr>
              <w:t>Nämndernas resultat</w:t>
            </w:r>
          </w:p>
        </w:tc>
        <w:tc>
          <w:tcPr>
            <w:tcW w:w="753"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b/>
                <w:bCs/>
                <w:color w:val="000000"/>
                <w:lang w:eastAsia="sv-SE"/>
              </w:rPr>
            </w:pPr>
            <w:proofErr w:type="gramStart"/>
            <w:r w:rsidRPr="00C25589">
              <w:rPr>
                <w:rFonts w:ascii="Calibri Light" w:eastAsia="Times New Roman" w:hAnsi="Calibri Light" w:cs="Times New Roman"/>
                <w:b/>
                <w:bCs/>
                <w:color w:val="000000"/>
                <w:lang w:eastAsia="sv-SE"/>
              </w:rPr>
              <w:t>-</w:t>
            </w:r>
            <w:proofErr w:type="gramEnd"/>
            <w:r w:rsidRPr="00C25589">
              <w:rPr>
                <w:rFonts w:ascii="Calibri Light" w:eastAsia="Times New Roman" w:hAnsi="Calibri Light" w:cs="Times New Roman"/>
                <w:b/>
                <w:bCs/>
                <w:color w:val="000000"/>
                <w:lang w:eastAsia="sv-SE"/>
              </w:rPr>
              <w:t>8 267</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b/>
                <w:bCs/>
                <w:color w:val="000000"/>
                <w:lang w:eastAsia="sv-SE"/>
              </w:rPr>
            </w:pPr>
          </w:p>
        </w:tc>
        <w:tc>
          <w:tcPr>
            <w:tcW w:w="939"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b/>
                <w:bCs/>
                <w:color w:val="000000"/>
                <w:lang w:eastAsia="sv-SE"/>
              </w:rPr>
            </w:pPr>
            <w:proofErr w:type="gramStart"/>
            <w:r w:rsidRPr="00C25589">
              <w:rPr>
                <w:rFonts w:ascii="Calibri Light" w:eastAsia="Times New Roman" w:hAnsi="Calibri Light" w:cs="Times New Roman"/>
                <w:b/>
                <w:bCs/>
                <w:color w:val="000000"/>
                <w:lang w:eastAsia="sv-SE"/>
              </w:rPr>
              <w:t>-</w:t>
            </w:r>
            <w:proofErr w:type="gramEnd"/>
            <w:r w:rsidRPr="00C25589">
              <w:rPr>
                <w:rFonts w:ascii="Calibri Light" w:eastAsia="Times New Roman" w:hAnsi="Calibri Light" w:cs="Times New Roman"/>
                <w:b/>
                <w:bCs/>
                <w:color w:val="000000"/>
                <w:lang w:eastAsia="sv-SE"/>
              </w:rPr>
              <w:t>8 166</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b/>
                <w:bCs/>
                <w:color w:val="000000"/>
                <w:lang w:eastAsia="sv-SE"/>
              </w:rPr>
            </w:pPr>
          </w:p>
        </w:tc>
        <w:tc>
          <w:tcPr>
            <w:tcW w:w="933"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b/>
                <w:bCs/>
                <w:color w:val="000000"/>
                <w:lang w:eastAsia="sv-SE"/>
              </w:rPr>
            </w:pPr>
            <w:proofErr w:type="gramStart"/>
            <w:r w:rsidRPr="00C25589">
              <w:rPr>
                <w:rFonts w:ascii="Calibri Light" w:eastAsia="Times New Roman" w:hAnsi="Calibri Light" w:cs="Times New Roman"/>
                <w:b/>
                <w:bCs/>
                <w:color w:val="000000"/>
                <w:lang w:eastAsia="sv-SE"/>
              </w:rPr>
              <w:t>-</w:t>
            </w:r>
            <w:proofErr w:type="gramEnd"/>
            <w:r w:rsidRPr="00C25589">
              <w:rPr>
                <w:rFonts w:ascii="Calibri Light" w:eastAsia="Times New Roman" w:hAnsi="Calibri Light" w:cs="Times New Roman"/>
                <w:b/>
                <w:bCs/>
                <w:color w:val="000000"/>
                <w:lang w:eastAsia="sv-SE"/>
              </w:rPr>
              <w:t>101</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b/>
                <w:bCs/>
                <w:color w:val="000000"/>
                <w:lang w:eastAsia="sv-SE"/>
              </w:rPr>
            </w:pPr>
          </w:p>
        </w:tc>
        <w:tc>
          <w:tcPr>
            <w:tcW w:w="1011" w:type="dxa"/>
            <w:tcBorders>
              <w:top w:val="nil"/>
              <w:left w:val="nil"/>
              <w:bottom w:val="nil"/>
              <w:right w:val="single" w:sz="4" w:space="0" w:color="auto"/>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b/>
                <w:bCs/>
                <w:color w:val="000000"/>
                <w:lang w:eastAsia="sv-SE"/>
              </w:rPr>
            </w:pPr>
            <w:proofErr w:type="gramStart"/>
            <w:r w:rsidRPr="00C25589">
              <w:rPr>
                <w:rFonts w:ascii="Calibri Light" w:eastAsia="Times New Roman" w:hAnsi="Calibri Light" w:cs="Times New Roman"/>
                <w:b/>
                <w:bCs/>
                <w:color w:val="000000"/>
                <w:lang w:eastAsia="sv-SE"/>
              </w:rPr>
              <w:t>-</w:t>
            </w:r>
            <w:proofErr w:type="gramEnd"/>
            <w:r w:rsidRPr="00C25589">
              <w:rPr>
                <w:rFonts w:ascii="Calibri Light" w:eastAsia="Times New Roman" w:hAnsi="Calibri Light" w:cs="Times New Roman"/>
                <w:b/>
                <w:bCs/>
                <w:color w:val="000000"/>
                <w:lang w:eastAsia="sv-SE"/>
              </w:rPr>
              <w:t>48</w:t>
            </w:r>
          </w:p>
        </w:tc>
      </w:tr>
      <w:tr w:rsidR="00386517" w:rsidRPr="00C25589" w:rsidTr="00F90712">
        <w:trPr>
          <w:trHeight w:val="187"/>
        </w:trPr>
        <w:tc>
          <w:tcPr>
            <w:tcW w:w="3192" w:type="dxa"/>
            <w:tcBorders>
              <w:top w:val="nil"/>
              <w:left w:val="single" w:sz="4" w:space="0" w:color="auto"/>
              <w:bottom w:val="nil"/>
              <w:right w:val="nil"/>
            </w:tcBorders>
            <w:shd w:val="clear" w:color="auto" w:fill="auto"/>
            <w:vAlign w:val="bottom"/>
          </w:tcPr>
          <w:p w:rsidR="00386517" w:rsidRPr="009A0249" w:rsidRDefault="00386517" w:rsidP="00F90712">
            <w:pPr>
              <w:spacing w:line="240" w:lineRule="auto"/>
              <w:rPr>
                <w:rFonts w:ascii="Calibri Light" w:eastAsia="Times New Roman" w:hAnsi="Calibri Light" w:cs="Times New Roman"/>
                <w:color w:val="000000"/>
                <w:sz w:val="12"/>
                <w:szCs w:val="12"/>
                <w:lang w:eastAsia="sv-SE"/>
              </w:rPr>
            </w:pPr>
          </w:p>
        </w:tc>
        <w:tc>
          <w:tcPr>
            <w:tcW w:w="753" w:type="dxa"/>
            <w:tcBorders>
              <w:top w:val="nil"/>
              <w:left w:val="nil"/>
              <w:bottom w:val="nil"/>
              <w:right w:val="nil"/>
            </w:tcBorders>
            <w:shd w:val="clear" w:color="auto" w:fill="auto"/>
            <w:vAlign w:val="bottom"/>
          </w:tcPr>
          <w:p w:rsidR="00386517" w:rsidRPr="00C25589" w:rsidRDefault="00386517" w:rsidP="00F90712">
            <w:pPr>
              <w:spacing w:line="240" w:lineRule="auto"/>
              <w:jc w:val="right"/>
              <w:rPr>
                <w:rFonts w:ascii="Calibri Light" w:eastAsia="Times New Roman" w:hAnsi="Calibri Light" w:cs="Times New Roman"/>
                <w:color w:val="000000"/>
                <w:lang w:eastAsia="sv-SE"/>
              </w:rPr>
            </w:pPr>
          </w:p>
        </w:tc>
        <w:tc>
          <w:tcPr>
            <w:tcW w:w="163" w:type="dxa"/>
            <w:tcBorders>
              <w:top w:val="nil"/>
              <w:left w:val="nil"/>
              <w:bottom w:val="nil"/>
              <w:right w:val="nil"/>
            </w:tcBorders>
            <w:shd w:val="clear" w:color="auto" w:fill="auto"/>
            <w:vAlign w:val="bottom"/>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939" w:type="dxa"/>
            <w:tcBorders>
              <w:top w:val="nil"/>
              <w:left w:val="nil"/>
              <w:bottom w:val="nil"/>
              <w:right w:val="nil"/>
            </w:tcBorders>
            <w:shd w:val="clear" w:color="auto" w:fill="auto"/>
            <w:vAlign w:val="bottom"/>
          </w:tcPr>
          <w:p w:rsidR="00386517" w:rsidRPr="00C25589" w:rsidRDefault="00386517" w:rsidP="00F90712">
            <w:pPr>
              <w:spacing w:line="240" w:lineRule="auto"/>
              <w:jc w:val="right"/>
              <w:rPr>
                <w:rFonts w:ascii="Calibri Light" w:eastAsia="Times New Roman" w:hAnsi="Calibri Light" w:cs="Times New Roman"/>
                <w:color w:val="000000"/>
                <w:lang w:eastAsia="sv-SE"/>
              </w:rPr>
            </w:pPr>
          </w:p>
        </w:tc>
        <w:tc>
          <w:tcPr>
            <w:tcW w:w="163" w:type="dxa"/>
            <w:tcBorders>
              <w:top w:val="nil"/>
              <w:left w:val="nil"/>
              <w:bottom w:val="nil"/>
              <w:right w:val="nil"/>
            </w:tcBorders>
            <w:shd w:val="clear" w:color="auto" w:fill="auto"/>
            <w:vAlign w:val="bottom"/>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933" w:type="dxa"/>
            <w:tcBorders>
              <w:top w:val="nil"/>
              <w:left w:val="nil"/>
              <w:bottom w:val="nil"/>
              <w:right w:val="nil"/>
            </w:tcBorders>
            <w:shd w:val="clear" w:color="auto" w:fill="auto"/>
            <w:vAlign w:val="bottom"/>
          </w:tcPr>
          <w:p w:rsidR="00386517" w:rsidRPr="00C25589" w:rsidRDefault="00386517" w:rsidP="00F90712">
            <w:pPr>
              <w:spacing w:line="240" w:lineRule="auto"/>
              <w:jc w:val="right"/>
              <w:rPr>
                <w:rFonts w:ascii="Calibri Light" w:eastAsia="Times New Roman" w:hAnsi="Calibri Light" w:cs="Times New Roman"/>
                <w:color w:val="000000"/>
                <w:lang w:eastAsia="sv-SE"/>
              </w:rPr>
            </w:pPr>
          </w:p>
        </w:tc>
        <w:tc>
          <w:tcPr>
            <w:tcW w:w="163" w:type="dxa"/>
            <w:tcBorders>
              <w:top w:val="nil"/>
              <w:left w:val="nil"/>
              <w:bottom w:val="nil"/>
              <w:right w:val="nil"/>
            </w:tcBorders>
            <w:shd w:val="clear" w:color="auto" w:fill="auto"/>
            <w:vAlign w:val="bottom"/>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1011" w:type="dxa"/>
            <w:tcBorders>
              <w:top w:val="nil"/>
              <w:left w:val="nil"/>
              <w:bottom w:val="nil"/>
              <w:right w:val="single" w:sz="4" w:space="0" w:color="auto"/>
            </w:tcBorders>
            <w:shd w:val="clear" w:color="auto" w:fill="auto"/>
            <w:noWrap/>
            <w:vAlign w:val="bottom"/>
          </w:tcPr>
          <w:p w:rsidR="00386517" w:rsidRPr="00C25589" w:rsidRDefault="00386517" w:rsidP="00F90712">
            <w:pPr>
              <w:spacing w:line="240" w:lineRule="auto"/>
              <w:jc w:val="right"/>
              <w:rPr>
                <w:rFonts w:ascii="Calibri" w:eastAsia="Times New Roman" w:hAnsi="Calibri" w:cs="Times New Roman"/>
                <w:color w:val="000000"/>
                <w:lang w:eastAsia="sv-SE"/>
              </w:rPr>
            </w:pPr>
          </w:p>
        </w:tc>
      </w:tr>
      <w:tr w:rsidR="00386517" w:rsidRPr="00C25589" w:rsidTr="00F90712">
        <w:trPr>
          <w:trHeight w:val="283"/>
        </w:trPr>
        <w:tc>
          <w:tcPr>
            <w:tcW w:w="3192" w:type="dxa"/>
            <w:tcBorders>
              <w:top w:val="nil"/>
              <w:left w:val="single" w:sz="4" w:space="0" w:color="auto"/>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r>
              <w:rPr>
                <w:rFonts w:ascii="Calibri Light" w:eastAsia="Times New Roman" w:hAnsi="Calibri Light" w:cs="Times New Roman"/>
                <w:color w:val="000000"/>
                <w:lang w:eastAsia="sv-SE"/>
              </w:rPr>
              <w:t xml:space="preserve">Fastighetsnämnd, </w:t>
            </w:r>
            <w:r w:rsidRPr="00C25589">
              <w:rPr>
                <w:rFonts w:ascii="Calibri Light" w:eastAsia="Times New Roman" w:hAnsi="Calibri Light" w:cs="Times New Roman"/>
                <w:color w:val="000000"/>
                <w:lang w:eastAsia="sv-SE"/>
              </w:rPr>
              <w:t>exploatering</w:t>
            </w:r>
          </w:p>
        </w:tc>
        <w:tc>
          <w:tcPr>
            <w:tcW w:w="753"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r w:rsidRPr="00C25589">
              <w:rPr>
                <w:rFonts w:ascii="Calibri Light" w:eastAsia="Times New Roman" w:hAnsi="Calibri Light" w:cs="Times New Roman"/>
                <w:color w:val="000000"/>
                <w:lang w:eastAsia="sv-SE"/>
              </w:rPr>
              <w:t>88</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939"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r w:rsidRPr="00C25589">
              <w:rPr>
                <w:rFonts w:ascii="Calibri Light" w:eastAsia="Times New Roman" w:hAnsi="Calibri Light" w:cs="Times New Roman"/>
                <w:color w:val="000000"/>
                <w:lang w:eastAsia="sv-SE"/>
              </w:rPr>
              <w:t>9</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933"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r w:rsidRPr="00C25589">
              <w:rPr>
                <w:rFonts w:ascii="Calibri Light" w:eastAsia="Times New Roman" w:hAnsi="Calibri Light" w:cs="Times New Roman"/>
                <w:color w:val="000000"/>
                <w:lang w:eastAsia="sv-SE"/>
              </w:rPr>
              <w:t>80</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1011" w:type="dxa"/>
            <w:tcBorders>
              <w:top w:val="nil"/>
              <w:left w:val="nil"/>
              <w:bottom w:val="nil"/>
              <w:right w:val="single" w:sz="4" w:space="0" w:color="auto"/>
            </w:tcBorders>
            <w:shd w:val="clear" w:color="auto" w:fill="auto"/>
            <w:noWrap/>
            <w:vAlign w:val="bottom"/>
            <w:hideMark/>
          </w:tcPr>
          <w:p w:rsidR="00386517" w:rsidRPr="00C25589" w:rsidRDefault="00386517" w:rsidP="00F90712">
            <w:pPr>
              <w:spacing w:line="240" w:lineRule="auto"/>
              <w:jc w:val="right"/>
              <w:rPr>
                <w:rFonts w:ascii="Calibri" w:eastAsia="Times New Roman" w:hAnsi="Calibri" w:cs="Times New Roman"/>
                <w:color w:val="000000"/>
                <w:lang w:eastAsia="sv-SE"/>
              </w:rPr>
            </w:pPr>
            <w:r w:rsidRPr="00C25589">
              <w:rPr>
                <w:rFonts w:ascii="Calibri" w:eastAsia="Times New Roman" w:hAnsi="Calibri" w:cs="Times New Roman"/>
                <w:color w:val="000000"/>
                <w:lang w:eastAsia="sv-SE"/>
              </w:rPr>
              <w:t>108</w:t>
            </w:r>
          </w:p>
        </w:tc>
      </w:tr>
      <w:tr w:rsidR="00386517" w:rsidRPr="00C25589" w:rsidTr="00F90712">
        <w:trPr>
          <w:trHeight w:val="283"/>
        </w:trPr>
        <w:tc>
          <w:tcPr>
            <w:tcW w:w="3192" w:type="dxa"/>
            <w:tcBorders>
              <w:top w:val="nil"/>
              <w:left w:val="single" w:sz="4" w:space="0" w:color="auto"/>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r>
              <w:rPr>
                <w:rFonts w:ascii="Calibri Light" w:eastAsia="Times New Roman" w:hAnsi="Calibri Light" w:cs="Times New Roman"/>
                <w:color w:val="000000"/>
                <w:lang w:eastAsia="sv-SE"/>
              </w:rPr>
              <w:t>Fastighetsnämnd</w:t>
            </w:r>
            <w:r w:rsidRPr="00C25589">
              <w:rPr>
                <w:rFonts w:ascii="Calibri Light" w:eastAsia="Times New Roman" w:hAnsi="Calibri Light" w:cs="Times New Roman"/>
                <w:color w:val="000000"/>
                <w:lang w:eastAsia="sv-SE"/>
              </w:rPr>
              <w:t>, reavinster</w:t>
            </w:r>
          </w:p>
        </w:tc>
        <w:tc>
          <w:tcPr>
            <w:tcW w:w="753"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r w:rsidRPr="00C25589">
              <w:rPr>
                <w:rFonts w:ascii="Calibri Light" w:eastAsia="Times New Roman" w:hAnsi="Calibri Light" w:cs="Times New Roman"/>
                <w:color w:val="000000"/>
                <w:lang w:eastAsia="sv-SE"/>
              </w:rPr>
              <w:t>110</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939"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r w:rsidRPr="00C25589">
              <w:rPr>
                <w:rFonts w:ascii="Calibri Light" w:eastAsia="Times New Roman" w:hAnsi="Calibri Light" w:cs="Times New Roman"/>
                <w:color w:val="000000"/>
                <w:lang w:eastAsia="sv-SE"/>
              </w:rPr>
              <w:t>0</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933"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color w:val="000000"/>
                <w:lang w:eastAsia="sv-SE"/>
              </w:rPr>
            </w:pPr>
            <w:r w:rsidRPr="00C25589">
              <w:rPr>
                <w:rFonts w:ascii="Calibri Light" w:eastAsia="Times New Roman" w:hAnsi="Calibri Light" w:cs="Times New Roman"/>
                <w:color w:val="000000"/>
                <w:lang w:eastAsia="sv-SE"/>
              </w:rPr>
              <w:t>110</w:t>
            </w:r>
          </w:p>
        </w:tc>
        <w:tc>
          <w:tcPr>
            <w:tcW w:w="163" w:type="dxa"/>
            <w:tcBorders>
              <w:top w:val="nil"/>
              <w:left w:val="nil"/>
              <w:bottom w:val="nil"/>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color w:val="000000"/>
                <w:lang w:eastAsia="sv-SE"/>
              </w:rPr>
            </w:pPr>
          </w:p>
        </w:tc>
        <w:tc>
          <w:tcPr>
            <w:tcW w:w="1011" w:type="dxa"/>
            <w:tcBorders>
              <w:top w:val="nil"/>
              <w:left w:val="nil"/>
              <w:bottom w:val="nil"/>
              <w:right w:val="single" w:sz="4" w:space="0" w:color="auto"/>
            </w:tcBorders>
            <w:shd w:val="clear" w:color="auto" w:fill="auto"/>
            <w:noWrap/>
            <w:vAlign w:val="bottom"/>
            <w:hideMark/>
          </w:tcPr>
          <w:p w:rsidR="00386517" w:rsidRPr="00C25589" w:rsidRDefault="00386517" w:rsidP="00F90712">
            <w:pPr>
              <w:spacing w:line="240" w:lineRule="auto"/>
              <w:jc w:val="right"/>
              <w:rPr>
                <w:rFonts w:ascii="Calibri" w:eastAsia="Times New Roman" w:hAnsi="Calibri" w:cs="Times New Roman"/>
                <w:color w:val="000000"/>
                <w:lang w:eastAsia="sv-SE"/>
              </w:rPr>
            </w:pPr>
            <w:r w:rsidRPr="00C25589">
              <w:rPr>
                <w:rFonts w:ascii="Calibri" w:eastAsia="Times New Roman" w:hAnsi="Calibri" w:cs="Times New Roman"/>
                <w:color w:val="000000"/>
                <w:lang w:eastAsia="sv-SE"/>
              </w:rPr>
              <w:t>183</w:t>
            </w:r>
          </w:p>
        </w:tc>
      </w:tr>
      <w:tr w:rsidR="00386517" w:rsidRPr="00C25589" w:rsidTr="00F90712">
        <w:trPr>
          <w:trHeight w:val="283"/>
        </w:trPr>
        <w:tc>
          <w:tcPr>
            <w:tcW w:w="3192" w:type="dxa"/>
            <w:tcBorders>
              <w:top w:val="nil"/>
              <w:left w:val="single" w:sz="4" w:space="0" w:color="auto"/>
              <w:bottom w:val="single" w:sz="4" w:space="0" w:color="auto"/>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b/>
                <w:bCs/>
                <w:color w:val="000000"/>
                <w:lang w:eastAsia="sv-SE"/>
              </w:rPr>
            </w:pPr>
            <w:r w:rsidRPr="00C25589">
              <w:rPr>
                <w:rFonts w:ascii="Calibri Light" w:eastAsia="Times New Roman" w:hAnsi="Calibri Light" w:cs="Times New Roman"/>
                <w:b/>
                <w:bCs/>
                <w:color w:val="000000"/>
                <w:lang w:eastAsia="sv-SE"/>
              </w:rPr>
              <w:t>Totalt nettoresultat nämnder</w:t>
            </w:r>
          </w:p>
        </w:tc>
        <w:tc>
          <w:tcPr>
            <w:tcW w:w="753" w:type="dxa"/>
            <w:tcBorders>
              <w:top w:val="nil"/>
              <w:left w:val="nil"/>
              <w:bottom w:val="single" w:sz="4" w:space="0" w:color="auto"/>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b/>
                <w:bCs/>
                <w:color w:val="000000"/>
                <w:lang w:eastAsia="sv-SE"/>
              </w:rPr>
            </w:pPr>
            <w:proofErr w:type="gramStart"/>
            <w:r w:rsidRPr="00C25589">
              <w:rPr>
                <w:rFonts w:ascii="Calibri Light" w:eastAsia="Times New Roman" w:hAnsi="Calibri Light" w:cs="Times New Roman"/>
                <w:b/>
                <w:bCs/>
                <w:color w:val="000000"/>
                <w:lang w:eastAsia="sv-SE"/>
              </w:rPr>
              <w:t>-</w:t>
            </w:r>
            <w:proofErr w:type="gramEnd"/>
            <w:r w:rsidRPr="00C25589">
              <w:rPr>
                <w:rFonts w:ascii="Calibri Light" w:eastAsia="Times New Roman" w:hAnsi="Calibri Light" w:cs="Times New Roman"/>
                <w:b/>
                <w:bCs/>
                <w:color w:val="000000"/>
                <w:lang w:eastAsia="sv-SE"/>
              </w:rPr>
              <w:t>8 069</w:t>
            </w:r>
          </w:p>
        </w:tc>
        <w:tc>
          <w:tcPr>
            <w:tcW w:w="163" w:type="dxa"/>
            <w:tcBorders>
              <w:top w:val="nil"/>
              <w:left w:val="nil"/>
              <w:bottom w:val="single" w:sz="4" w:space="0" w:color="auto"/>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b/>
                <w:bCs/>
                <w:color w:val="000000"/>
                <w:lang w:eastAsia="sv-SE"/>
              </w:rPr>
            </w:pPr>
            <w:r w:rsidRPr="00C25589">
              <w:rPr>
                <w:rFonts w:ascii="Calibri Light" w:eastAsia="Times New Roman" w:hAnsi="Calibri Light" w:cs="Times New Roman"/>
                <w:b/>
                <w:bCs/>
                <w:color w:val="000000"/>
                <w:lang w:eastAsia="sv-SE"/>
              </w:rPr>
              <w:t> </w:t>
            </w:r>
          </w:p>
        </w:tc>
        <w:tc>
          <w:tcPr>
            <w:tcW w:w="939" w:type="dxa"/>
            <w:tcBorders>
              <w:top w:val="nil"/>
              <w:left w:val="nil"/>
              <w:bottom w:val="single" w:sz="4" w:space="0" w:color="auto"/>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b/>
                <w:bCs/>
                <w:color w:val="000000"/>
                <w:lang w:eastAsia="sv-SE"/>
              </w:rPr>
            </w:pPr>
            <w:proofErr w:type="gramStart"/>
            <w:r w:rsidRPr="00C25589">
              <w:rPr>
                <w:rFonts w:ascii="Calibri Light" w:eastAsia="Times New Roman" w:hAnsi="Calibri Light" w:cs="Times New Roman"/>
                <w:b/>
                <w:bCs/>
                <w:color w:val="000000"/>
                <w:lang w:eastAsia="sv-SE"/>
              </w:rPr>
              <w:t>-</w:t>
            </w:r>
            <w:proofErr w:type="gramEnd"/>
            <w:r w:rsidRPr="00C25589">
              <w:rPr>
                <w:rFonts w:ascii="Calibri Light" w:eastAsia="Times New Roman" w:hAnsi="Calibri Light" w:cs="Times New Roman"/>
                <w:b/>
                <w:bCs/>
                <w:color w:val="000000"/>
                <w:lang w:eastAsia="sv-SE"/>
              </w:rPr>
              <w:t>8 158</w:t>
            </w:r>
          </w:p>
        </w:tc>
        <w:tc>
          <w:tcPr>
            <w:tcW w:w="163" w:type="dxa"/>
            <w:tcBorders>
              <w:top w:val="nil"/>
              <w:left w:val="nil"/>
              <w:bottom w:val="single" w:sz="4" w:space="0" w:color="auto"/>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b/>
                <w:bCs/>
                <w:color w:val="000000"/>
                <w:lang w:eastAsia="sv-SE"/>
              </w:rPr>
            </w:pPr>
            <w:r w:rsidRPr="00C25589">
              <w:rPr>
                <w:rFonts w:ascii="Calibri Light" w:eastAsia="Times New Roman" w:hAnsi="Calibri Light" w:cs="Times New Roman"/>
                <w:b/>
                <w:bCs/>
                <w:color w:val="000000"/>
                <w:lang w:eastAsia="sv-SE"/>
              </w:rPr>
              <w:t> </w:t>
            </w:r>
          </w:p>
        </w:tc>
        <w:tc>
          <w:tcPr>
            <w:tcW w:w="933" w:type="dxa"/>
            <w:tcBorders>
              <w:top w:val="nil"/>
              <w:left w:val="nil"/>
              <w:bottom w:val="single" w:sz="4" w:space="0" w:color="auto"/>
              <w:right w:val="nil"/>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b/>
                <w:bCs/>
                <w:color w:val="000000"/>
                <w:lang w:eastAsia="sv-SE"/>
              </w:rPr>
            </w:pPr>
            <w:r w:rsidRPr="00C25589">
              <w:rPr>
                <w:rFonts w:ascii="Calibri Light" w:eastAsia="Times New Roman" w:hAnsi="Calibri Light" w:cs="Times New Roman"/>
                <w:b/>
                <w:bCs/>
                <w:color w:val="000000"/>
                <w:lang w:eastAsia="sv-SE"/>
              </w:rPr>
              <w:t>89</w:t>
            </w:r>
          </w:p>
        </w:tc>
        <w:tc>
          <w:tcPr>
            <w:tcW w:w="163" w:type="dxa"/>
            <w:tcBorders>
              <w:top w:val="nil"/>
              <w:left w:val="nil"/>
              <w:bottom w:val="single" w:sz="4" w:space="0" w:color="auto"/>
              <w:right w:val="nil"/>
            </w:tcBorders>
            <w:shd w:val="clear" w:color="auto" w:fill="auto"/>
            <w:vAlign w:val="bottom"/>
            <w:hideMark/>
          </w:tcPr>
          <w:p w:rsidR="00386517" w:rsidRPr="00C25589" w:rsidRDefault="00386517" w:rsidP="00F90712">
            <w:pPr>
              <w:spacing w:line="240" w:lineRule="auto"/>
              <w:rPr>
                <w:rFonts w:ascii="Calibri Light" w:eastAsia="Times New Roman" w:hAnsi="Calibri Light" w:cs="Times New Roman"/>
                <w:b/>
                <w:bCs/>
                <w:color w:val="000000"/>
                <w:lang w:eastAsia="sv-SE"/>
              </w:rPr>
            </w:pPr>
            <w:r w:rsidRPr="00C25589">
              <w:rPr>
                <w:rFonts w:ascii="Calibri Light" w:eastAsia="Times New Roman" w:hAnsi="Calibri Light" w:cs="Times New Roman"/>
                <w:b/>
                <w:bCs/>
                <w:color w:val="000000"/>
                <w:lang w:eastAsia="sv-SE"/>
              </w:rPr>
              <w:t> </w:t>
            </w:r>
          </w:p>
        </w:tc>
        <w:tc>
          <w:tcPr>
            <w:tcW w:w="1011" w:type="dxa"/>
            <w:tcBorders>
              <w:top w:val="nil"/>
              <w:left w:val="nil"/>
              <w:bottom w:val="single" w:sz="4" w:space="0" w:color="auto"/>
              <w:right w:val="single" w:sz="4" w:space="0" w:color="auto"/>
            </w:tcBorders>
            <w:shd w:val="clear" w:color="auto" w:fill="auto"/>
            <w:vAlign w:val="bottom"/>
            <w:hideMark/>
          </w:tcPr>
          <w:p w:rsidR="00386517" w:rsidRPr="00C25589" w:rsidRDefault="00386517" w:rsidP="00F90712">
            <w:pPr>
              <w:spacing w:line="240" w:lineRule="auto"/>
              <w:jc w:val="right"/>
              <w:rPr>
                <w:rFonts w:ascii="Calibri Light" w:eastAsia="Times New Roman" w:hAnsi="Calibri Light" w:cs="Times New Roman"/>
                <w:b/>
                <w:bCs/>
                <w:color w:val="000000"/>
                <w:lang w:eastAsia="sv-SE"/>
              </w:rPr>
            </w:pPr>
            <w:r w:rsidRPr="00C25589">
              <w:rPr>
                <w:rFonts w:ascii="Calibri Light" w:eastAsia="Times New Roman" w:hAnsi="Calibri Light" w:cs="Times New Roman"/>
                <w:b/>
                <w:bCs/>
                <w:color w:val="000000"/>
                <w:lang w:eastAsia="sv-SE"/>
              </w:rPr>
              <w:t>243</w:t>
            </w:r>
          </w:p>
        </w:tc>
      </w:tr>
    </w:tbl>
    <w:p w:rsidR="00386517" w:rsidRDefault="00386517" w:rsidP="00386517">
      <w:pPr>
        <w:spacing w:before="120" w:after="120" w:line="240" w:lineRule="auto"/>
        <w:rPr>
          <w:rFonts w:ascii="Calibri" w:eastAsiaTheme="majorEastAsia" w:hAnsi="Calibri" w:cstheme="majorBidi"/>
          <w:sz w:val="36"/>
          <w:szCs w:val="32"/>
        </w:rPr>
      </w:pPr>
      <w:r>
        <w:t>Nämndernas resultat exklusive realisationsvinster och exploateringsöverskott är negativt 2019. Orsakerna är huvudsakligen beroende på underskottet inom individ- och familjenämnden.</w:t>
      </w:r>
      <w:r>
        <w:br w:type="page"/>
      </w:r>
    </w:p>
    <w:p w:rsidR="00386517" w:rsidRDefault="00386517" w:rsidP="00386517">
      <w:pPr>
        <w:pStyle w:val="Rubrik1"/>
      </w:pPr>
      <w:bookmarkStart w:id="19" w:name="_Toc31010366"/>
      <w:bookmarkStart w:id="20" w:name="_Toc31010832"/>
      <w:r>
        <w:lastRenderedPageBreak/>
        <w:t>Investeringar</w:t>
      </w:r>
      <w:bookmarkEnd w:id="19"/>
      <w:bookmarkEnd w:id="20"/>
    </w:p>
    <w:p w:rsidR="00386517" w:rsidRDefault="00386517" w:rsidP="00386517">
      <w:pPr>
        <w:spacing w:before="120" w:after="120" w:line="240" w:lineRule="auto"/>
      </w:pPr>
      <w:r>
        <w:t xml:space="preserve">Under året gjordes investeringar om 1 057 mnkr. Årets budget var 1 646 mnkr. Det innebär en genomförandegrad på 64 %. Genomförandegraden når därmed nästan upp till målet att 70 % av investeringarna ska genomföras under budgetåret. Årets största investeringar är hamnen, äldrebostäder på Öster Mälarstrand, Lögarängsbadet, nybyggnation av skola på Öster Mälarstrand samt nybyggnation av skolan i Irsta. Projekten i hamnen avser kajkonstruktioner och muddring. </w:t>
      </w:r>
      <w:r w:rsidRPr="00D87F69">
        <w:t xml:space="preserve">Projektet har upphandlats och pågår, </w:t>
      </w:r>
      <w:r>
        <w:t xml:space="preserve">men en </w:t>
      </w:r>
      <w:r w:rsidRPr="00D87F69">
        <w:t>viss försening av tidsplanen har skett.</w:t>
      </w:r>
      <w:r>
        <w:t xml:space="preserve"> </w:t>
      </w:r>
      <w:r w:rsidRPr="00D87F69">
        <w:t xml:space="preserve">Malmens skola och förskola på Gäddeholm har byggts klart. </w:t>
      </w:r>
      <w:r>
        <w:t xml:space="preserve"> </w:t>
      </w:r>
      <w:r w:rsidRPr="00D87F69">
        <w:t xml:space="preserve">Lögarängsbadet </w:t>
      </w:r>
      <w:r>
        <w:t xml:space="preserve">är </w:t>
      </w:r>
      <w:r w:rsidRPr="00D87F69">
        <w:t xml:space="preserve">klart och invigt och byggnation pågår </w:t>
      </w:r>
      <w:r>
        <w:t>av</w:t>
      </w:r>
      <w:r w:rsidRPr="00D87F69">
        <w:t xml:space="preserve"> utebadet.</w:t>
      </w:r>
    </w:p>
    <w:tbl>
      <w:tblPr>
        <w:tblW w:w="7388" w:type="dxa"/>
        <w:tblInd w:w="55" w:type="dxa"/>
        <w:tblCellMar>
          <w:left w:w="70" w:type="dxa"/>
          <w:right w:w="70" w:type="dxa"/>
        </w:tblCellMar>
        <w:tblLook w:val="04A0" w:firstRow="1" w:lastRow="0" w:firstColumn="1" w:lastColumn="0" w:noHBand="0" w:noVBand="1"/>
      </w:tblPr>
      <w:tblGrid>
        <w:gridCol w:w="3359"/>
        <w:gridCol w:w="827"/>
        <w:gridCol w:w="930"/>
        <w:gridCol w:w="1085"/>
        <w:gridCol w:w="1202"/>
      </w:tblGrid>
      <w:tr w:rsidR="00386517" w:rsidRPr="00C25589" w:rsidTr="00F90712">
        <w:trPr>
          <w:trHeight w:val="1091"/>
        </w:trPr>
        <w:tc>
          <w:tcPr>
            <w:tcW w:w="3359" w:type="dxa"/>
            <w:tcBorders>
              <w:top w:val="single" w:sz="8" w:space="0" w:color="auto"/>
              <w:left w:val="single" w:sz="8" w:space="0" w:color="auto"/>
              <w:bottom w:val="nil"/>
              <w:right w:val="nil"/>
            </w:tcBorders>
            <w:shd w:val="clear" w:color="000000" w:fill="8DB4E2"/>
            <w:hideMark/>
          </w:tcPr>
          <w:p w:rsidR="00386517" w:rsidRPr="00C25589" w:rsidRDefault="00386517" w:rsidP="00F90712">
            <w:pPr>
              <w:spacing w:line="240" w:lineRule="auto"/>
              <w:rPr>
                <w:rFonts w:ascii="Calibri" w:eastAsia="Times New Roman" w:hAnsi="Calibri" w:cs="Arial"/>
                <w:b/>
                <w:bCs/>
                <w:sz w:val="24"/>
                <w:szCs w:val="24"/>
                <w:lang w:eastAsia="sv-SE"/>
              </w:rPr>
            </w:pPr>
            <w:r w:rsidRPr="00C25589">
              <w:rPr>
                <w:rFonts w:ascii="Calibri" w:eastAsia="Times New Roman" w:hAnsi="Calibri" w:cs="Arial"/>
                <w:b/>
                <w:bCs/>
                <w:sz w:val="24"/>
                <w:szCs w:val="24"/>
                <w:lang w:eastAsia="sv-SE"/>
              </w:rPr>
              <w:t>Investeringar</w:t>
            </w:r>
            <w:r>
              <w:rPr>
                <w:rFonts w:ascii="Calibri" w:eastAsia="Times New Roman" w:hAnsi="Calibri" w:cs="Arial"/>
                <w:b/>
                <w:bCs/>
                <w:sz w:val="24"/>
                <w:szCs w:val="24"/>
                <w:lang w:eastAsia="sv-SE"/>
              </w:rPr>
              <w:t>, mnkr</w:t>
            </w:r>
          </w:p>
        </w:tc>
        <w:tc>
          <w:tcPr>
            <w:tcW w:w="827" w:type="dxa"/>
            <w:tcBorders>
              <w:top w:val="single" w:sz="8" w:space="0" w:color="auto"/>
              <w:left w:val="nil"/>
              <w:bottom w:val="nil"/>
              <w:right w:val="nil"/>
            </w:tcBorders>
            <w:shd w:val="clear" w:color="000000" w:fill="8DB4E2"/>
            <w:hideMark/>
          </w:tcPr>
          <w:p w:rsidR="00386517" w:rsidRPr="00C25589" w:rsidRDefault="00386517" w:rsidP="00F90712">
            <w:pPr>
              <w:spacing w:line="240" w:lineRule="auto"/>
              <w:jc w:val="right"/>
              <w:rPr>
                <w:rFonts w:ascii="Calibri" w:eastAsia="Times New Roman" w:hAnsi="Calibri" w:cs="Arial"/>
                <w:b/>
                <w:bCs/>
                <w:sz w:val="24"/>
                <w:szCs w:val="24"/>
                <w:lang w:eastAsia="sv-SE"/>
              </w:rPr>
            </w:pPr>
            <w:r w:rsidRPr="00C25589">
              <w:rPr>
                <w:rFonts w:ascii="Calibri" w:eastAsia="Times New Roman" w:hAnsi="Calibri" w:cs="Arial"/>
                <w:b/>
                <w:bCs/>
                <w:sz w:val="24"/>
                <w:szCs w:val="24"/>
                <w:lang w:eastAsia="sv-SE"/>
              </w:rPr>
              <w:t>Utfall 2019</w:t>
            </w:r>
          </w:p>
        </w:tc>
        <w:tc>
          <w:tcPr>
            <w:tcW w:w="930" w:type="dxa"/>
            <w:tcBorders>
              <w:top w:val="single" w:sz="8" w:space="0" w:color="auto"/>
              <w:left w:val="nil"/>
              <w:bottom w:val="nil"/>
              <w:right w:val="nil"/>
            </w:tcBorders>
            <w:shd w:val="clear" w:color="000000" w:fill="8DB4E2"/>
            <w:hideMark/>
          </w:tcPr>
          <w:p w:rsidR="00386517" w:rsidRPr="00C25589" w:rsidRDefault="00386517" w:rsidP="00F90712">
            <w:pPr>
              <w:spacing w:line="240" w:lineRule="auto"/>
              <w:jc w:val="right"/>
              <w:rPr>
                <w:rFonts w:ascii="Calibri" w:eastAsia="Times New Roman" w:hAnsi="Calibri" w:cs="Arial"/>
                <w:b/>
                <w:bCs/>
                <w:sz w:val="24"/>
                <w:szCs w:val="24"/>
                <w:lang w:eastAsia="sv-SE"/>
              </w:rPr>
            </w:pPr>
            <w:r w:rsidRPr="00C25589">
              <w:rPr>
                <w:rFonts w:ascii="Calibri" w:eastAsia="Times New Roman" w:hAnsi="Calibri" w:cs="Arial"/>
                <w:b/>
                <w:bCs/>
                <w:sz w:val="24"/>
                <w:szCs w:val="24"/>
                <w:lang w:eastAsia="sv-SE"/>
              </w:rPr>
              <w:t>Budget 2019</w:t>
            </w:r>
          </w:p>
        </w:tc>
        <w:tc>
          <w:tcPr>
            <w:tcW w:w="1085" w:type="dxa"/>
            <w:tcBorders>
              <w:top w:val="single" w:sz="8" w:space="0" w:color="auto"/>
              <w:left w:val="nil"/>
              <w:bottom w:val="nil"/>
              <w:right w:val="nil"/>
            </w:tcBorders>
            <w:shd w:val="clear" w:color="000000" w:fill="8DB4E2"/>
            <w:hideMark/>
          </w:tcPr>
          <w:p w:rsidR="00386517" w:rsidRPr="00C25589" w:rsidRDefault="00386517" w:rsidP="00F90712">
            <w:pPr>
              <w:spacing w:line="240" w:lineRule="auto"/>
              <w:jc w:val="right"/>
              <w:rPr>
                <w:rFonts w:ascii="Calibri" w:eastAsia="Times New Roman" w:hAnsi="Calibri" w:cs="Arial"/>
                <w:b/>
                <w:bCs/>
                <w:sz w:val="24"/>
                <w:szCs w:val="24"/>
                <w:lang w:eastAsia="sv-SE"/>
              </w:rPr>
            </w:pPr>
            <w:proofErr w:type="gramStart"/>
            <w:r w:rsidRPr="00C25589">
              <w:rPr>
                <w:rFonts w:ascii="Calibri" w:eastAsia="Times New Roman" w:hAnsi="Calibri" w:cs="Arial"/>
                <w:b/>
                <w:bCs/>
                <w:sz w:val="24"/>
                <w:szCs w:val="24"/>
                <w:lang w:eastAsia="sv-SE"/>
              </w:rPr>
              <w:t>Avvikelse   Utfall</w:t>
            </w:r>
            <w:proofErr w:type="gramEnd"/>
            <w:r w:rsidRPr="00C25589">
              <w:rPr>
                <w:rFonts w:ascii="Calibri" w:eastAsia="Times New Roman" w:hAnsi="Calibri" w:cs="Arial"/>
                <w:b/>
                <w:bCs/>
                <w:sz w:val="24"/>
                <w:szCs w:val="24"/>
                <w:lang w:eastAsia="sv-SE"/>
              </w:rPr>
              <w:t>-budget</w:t>
            </w:r>
          </w:p>
        </w:tc>
        <w:tc>
          <w:tcPr>
            <w:tcW w:w="1187" w:type="dxa"/>
            <w:tcBorders>
              <w:top w:val="single" w:sz="8" w:space="0" w:color="auto"/>
              <w:left w:val="nil"/>
              <w:bottom w:val="nil"/>
              <w:right w:val="single" w:sz="8" w:space="0" w:color="auto"/>
            </w:tcBorders>
            <w:shd w:val="clear" w:color="000000" w:fill="8DB4E2"/>
            <w:hideMark/>
          </w:tcPr>
          <w:p w:rsidR="00386517" w:rsidRPr="00C25589" w:rsidRDefault="00386517" w:rsidP="00F90712">
            <w:pPr>
              <w:spacing w:line="240" w:lineRule="auto"/>
              <w:jc w:val="right"/>
              <w:rPr>
                <w:rFonts w:ascii="Calibri" w:eastAsia="Times New Roman" w:hAnsi="Calibri" w:cs="Arial"/>
                <w:b/>
                <w:bCs/>
                <w:sz w:val="24"/>
                <w:szCs w:val="24"/>
                <w:lang w:eastAsia="sv-SE"/>
              </w:rPr>
            </w:pPr>
            <w:r w:rsidRPr="00C25589">
              <w:rPr>
                <w:rFonts w:ascii="Calibri" w:eastAsia="Times New Roman" w:hAnsi="Calibri" w:cs="Arial"/>
                <w:b/>
                <w:bCs/>
                <w:sz w:val="24"/>
                <w:szCs w:val="24"/>
                <w:lang w:eastAsia="sv-SE"/>
              </w:rPr>
              <w:t>Andel genomfört</w:t>
            </w:r>
          </w:p>
        </w:tc>
      </w:tr>
      <w:tr w:rsidR="00386517" w:rsidRPr="00C25589" w:rsidTr="00F90712">
        <w:trPr>
          <w:trHeight w:val="291"/>
        </w:trPr>
        <w:tc>
          <w:tcPr>
            <w:tcW w:w="3359" w:type="dxa"/>
            <w:tcBorders>
              <w:top w:val="nil"/>
              <w:left w:val="single" w:sz="8" w:space="0" w:color="auto"/>
              <w:bottom w:val="nil"/>
              <w:right w:val="nil"/>
            </w:tcBorders>
            <w:shd w:val="clear" w:color="auto" w:fill="auto"/>
            <w:noWrap/>
            <w:vAlign w:val="bottom"/>
            <w:hideMark/>
          </w:tcPr>
          <w:p w:rsidR="00386517" w:rsidRPr="00C25589" w:rsidRDefault="00386517" w:rsidP="00F90712">
            <w:pPr>
              <w:spacing w:line="240" w:lineRule="auto"/>
              <w:rPr>
                <w:rFonts w:ascii="Calibri" w:eastAsia="Times New Roman" w:hAnsi="Calibri" w:cs="Arial"/>
                <w:lang w:eastAsia="sv-SE"/>
              </w:rPr>
            </w:pPr>
            <w:r w:rsidRPr="00C25589">
              <w:rPr>
                <w:rFonts w:ascii="Calibri" w:eastAsia="Times New Roman" w:hAnsi="Calibri" w:cs="Arial"/>
                <w:lang w:eastAsia="sv-SE"/>
              </w:rPr>
              <w:t>Fastigheter- grundskola</w:t>
            </w:r>
          </w:p>
        </w:tc>
        <w:tc>
          <w:tcPr>
            <w:tcW w:w="827"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w:eastAsia="Times New Roman" w:hAnsi="Calibri" w:cs="Arial"/>
                <w:lang w:eastAsia="sv-SE"/>
              </w:rPr>
            </w:pPr>
            <w:r w:rsidRPr="00C25589">
              <w:rPr>
                <w:rFonts w:ascii="Calibri" w:eastAsia="Times New Roman" w:hAnsi="Calibri" w:cs="Arial"/>
                <w:lang w:eastAsia="sv-SE"/>
              </w:rPr>
              <w:t>253</w:t>
            </w:r>
          </w:p>
        </w:tc>
        <w:tc>
          <w:tcPr>
            <w:tcW w:w="930"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w:eastAsia="Times New Roman" w:hAnsi="Calibri" w:cs="Arial"/>
                <w:lang w:eastAsia="sv-SE"/>
              </w:rPr>
            </w:pPr>
            <w:r w:rsidRPr="00C25589">
              <w:rPr>
                <w:rFonts w:ascii="Calibri" w:eastAsia="Times New Roman" w:hAnsi="Calibri" w:cs="Arial"/>
                <w:lang w:eastAsia="sv-SE"/>
              </w:rPr>
              <w:t>371</w:t>
            </w:r>
          </w:p>
        </w:tc>
        <w:tc>
          <w:tcPr>
            <w:tcW w:w="1085"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w:eastAsia="Times New Roman" w:hAnsi="Calibri" w:cs="Arial"/>
                <w:lang w:eastAsia="sv-SE"/>
              </w:rPr>
            </w:pPr>
            <w:r w:rsidRPr="00C25589">
              <w:rPr>
                <w:rFonts w:ascii="Calibri" w:eastAsia="Times New Roman" w:hAnsi="Calibri" w:cs="Arial"/>
                <w:lang w:eastAsia="sv-SE"/>
              </w:rPr>
              <w:t>118</w:t>
            </w:r>
          </w:p>
        </w:tc>
        <w:tc>
          <w:tcPr>
            <w:tcW w:w="1187" w:type="dxa"/>
            <w:tcBorders>
              <w:top w:val="nil"/>
              <w:left w:val="nil"/>
              <w:bottom w:val="nil"/>
              <w:right w:val="single" w:sz="8" w:space="0" w:color="auto"/>
            </w:tcBorders>
            <w:shd w:val="clear" w:color="auto" w:fill="auto"/>
            <w:noWrap/>
            <w:vAlign w:val="bottom"/>
            <w:hideMark/>
          </w:tcPr>
          <w:p w:rsidR="00386517" w:rsidRPr="00C25589" w:rsidRDefault="00386517" w:rsidP="00F90712">
            <w:pPr>
              <w:spacing w:line="240" w:lineRule="auto"/>
              <w:jc w:val="right"/>
              <w:rPr>
                <w:rFonts w:ascii="Calibri" w:eastAsia="Times New Roman" w:hAnsi="Calibri" w:cs="Arial"/>
                <w:sz w:val="20"/>
                <w:szCs w:val="20"/>
                <w:lang w:eastAsia="sv-SE"/>
              </w:rPr>
            </w:pPr>
            <w:proofErr w:type="gramStart"/>
            <w:r w:rsidRPr="00C25589">
              <w:rPr>
                <w:rFonts w:ascii="Calibri" w:eastAsia="Times New Roman" w:hAnsi="Calibri" w:cs="Arial"/>
                <w:sz w:val="20"/>
                <w:szCs w:val="20"/>
                <w:lang w:eastAsia="sv-SE"/>
              </w:rPr>
              <w:t>68%</w:t>
            </w:r>
            <w:proofErr w:type="gramEnd"/>
          </w:p>
        </w:tc>
      </w:tr>
      <w:tr w:rsidR="00386517" w:rsidRPr="00C25589" w:rsidTr="00F90712">
        <w:trPr>
          <w:trHeight w:val="291"/>
        </w:trPr>
        <w:tc>
          <w:tcPr>
            <w:tcW w:w="3359" w:type="dxa"/>
            <w:tcBorders>
              <w:top w:val="nil"/>
              <w:left w:val="single" w:sz="8" w:space="0" w:color="auto"/>
              <w:bottom w:val="nil"/>
              <w:right w:val="nil"/>
            </w:tcBorders>
            <w:shd w:val="clear" w:color="auto" w:fill="auto"/>
            <w:noWrap/>
            <w:vAlign w:val="bottom"/>
            <w:hideMark/>
          </w:tcPr>
          <w:p w:rsidR="00386517" w:rsidRPr="00C25589" w:rsidRDefault="00386517" w:rsidP="00F90712">
            <w:pPr>
              <w:spacing w:line="240" w:lineRule="auto"/>
              <w:rPr>
                <w:rFonts w:ascii="Calibri" w:eastAsia="Times New Roman" w:hAnsi="Calibri" w:cs="Arial"/>
                <w:lang w:eastAsia="sv-SE"/>
              </w:rPr>
            </w:pPr>
            <w:r w:rsidRPr="00C25589">
              <w:rPr>
                <w:rFonts w:ascii="Calibri" w:eastAsia="Times New Roman" w:hAnsi="Calibri" w:cs="Arial"/>
                <w:lang w:eastAsia="sv-SE"/>
              </w:rPr>
              <w:t>Fastigheter- förskola</w:t>
            </w:r>
          </w:p>
        </w:tc>
        <w:tc>
          <w:tcPr>
            <w:tcW w:w="827"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w:eastAsia="Times New Roman" w:hAnsi="Calibri" w:cs="Arial"/>
                <w:lang w:eastAsia="sv-SE"/>
              </w:rPr>
            </w:pPr>
            <w:r w:rsidRPr="00C25589">
              <w:rPr>
                <w:rFonts w:ascii="Calibri" w:eastAsia="Times New Roman" w:hAnsi="Calibri" w:cs="Arial"/>
                <w:lang w:eastAsia="sv-SE"/>
              </w:rPr>
              <w:t>41</w:t>
            </w:r>
          </w:p>
        </w:tc>
        <w:tc>
          <w:tcPr>
            <w:tcW w:w="930"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w:eastAsia="Times New Roman" w:hAnsi="Calibri" w:cs="Arial"/>
                <w:lang w:eastAsia="sv-SE"/>
              </w:rPr>
            </w:pPr>
            <w:r w:rsidRPr="00C25589">
              <w:rPr>
                <w:rFonts w:ascii="Calibri" w:eastAsia="Times New Roman" w:hAnsi="Calibri" w:cs="Arial"/>
                <w:lang w:eastAsia="sv-SE"/>
              </w:rPr>
              <w:t>48</w:t>
            </w:r>
          </w:p>
        </w:tc>
        <w:tc>
          <w:tcPr>
            <w:tcW w:w="1085"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w:eastAsia="Times New Roman" w:hAnsi="Calibri" w:cs="Arial"/>
                <w:lang w:eastAsia="sv-SE"/>
              </w:rPr>
            </w:pPr>
            <w:r w:rsidRPr="00C25589">
              <w:rPr>
                <w:rFonts w:ascii="Calibri" w:eastAsia="Times New Roman" w:hAnsi="Calibri" w:cs="Arial"/>
                <w:lang w:eastAsia="sv-SE"/>
              </w:rPr>
              <w:t>7</w:t>
            </w:r>
          </w:p>
        </w:tc>
        <w:tc>
          <w:tcPr>
            <w:tcW w:w="1187" w:type="dxa"/>
            <w:tcBorders>
              <w:top w:val="nil"/>
              <w:left w:val="nil"/>
              <w:bottom w:val="nil"/>
              <w:right w:val="single" w:sz="8" w:space="0" w:color="auto"/>
            </w:tcBorders>
            <w:shd w:val="clear" w:color="auto" w:fill="auto"/>
            <w:noWrap/>
            <w:vAlign w:val="bottom"/>
            <w:hideMark/>
          </w:tcPr>
          <w:p w:rsidR="00386517" w:rsidRPr="00C25589" w:rsidRDefault="00386517" w:rsidP="00F90712">
            <w:pPr>
              <w:spacing w:line="240" w:lineRule="auto"/>
              <w:jc w:val="right"/>
              <w:rPr>
                <w:rFonts w:ascii="Calibri" w:eastAsia="Times New Roman" w:hAnsi="Calibri" w:cs="Arial"/>
                <w:sz w:val="20"/>
                <w:szCs w:val="20"/>
                <w:lang w:eastAsia="sv-SE"/>
              </w:rPr>
            </w:pPr>
            <w:proofErr w:type="gramStart"/>
            <w:r w:rsidRPr="00C25589">
              <w:rPr>
                <w:rFonts w:ascii="Calibri" w:eastAsia="Times New Roman" w:hAnsi="Calibri" w:cs="Arial"/>
                <w:sz w:val="20"/>
                <w:szCs w:val="20"/>
                <w:lang w:eastAsia="sv-SE"/>
              </w:rPr>
              <w:t>86%</w:t>
            </w:r>
            <w:proofErr w:type="gramEnd"/>
          </w:p>
        </w:tc>
      </w:tr>
      <w:tr w:rsidR="00386517" w:rsidRPr="00C25589" w:rsidTr="00F90712">
        <w:trPr>
          <w:trHeight w:val="291"/>
        </w:trPr>
        <w:tc>
          <w:tcPr>
            <w:tcW w:w="3359" w:type="dxa"/>
            <w:tcBorders>
              <w:top w:val="nil"/>
              <w:left w:val="single" w:sz="8" w:space="0" w:color="auto"/>
              <w:bottom w:val="nil"/>
              <w:right w:val="nil"/>
            </w:tcBorders>
            <w:shd w:val="clear" w:color="auto" w:fill="auto"/>
            <w:noWrap/>
            <w:vAlign w:val="bottom"/>
            <w:hideMark/>
          </w:tcPr>
          <w:p w:rsidR="00386517" w:rsidRPr="00C25589" w:rsidRDefault="00386517" w:rsidP="00F90712">
            <w:pPr>
              <w:spacing w:line="240" w:lineRule="auto"/>
              <w:rPr>
                <w:rFonts w:ascii="Calibri" w:eastAsia="Times New Roman" w:hAnsi="Calibri" w:cs="Arial"/>
                <w:lang w:eastAsia="sv-SE"/>
              </w:rPr>
            </w:pPr>
            <w:r w:rsidRPr="00C25589">
              <w:rPr>
                <w:rFonts w:ascii="Calibri" w:eastAsia="Times New Roman" w:hAnsi="Calibri" w:cs="Arial"/>
                <w:lang w:eastAsia="sv-SE"/>
              </w:rPr>
              <w:t>Fastigheter- gymnasiet</w:t>
            </w:r>
          </w:p>
        </w:tc>
        <w:tc>
          <w:tcPr>
            <w:tcW w:w="827"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w:eastAsia="Times New Roman" w:hAnsi="Calibri" w:cs="Arial"/>
                <w:lang w:eastAsia="sv-SE"/>
              </w:rPr>
            </w:pPr>
            <w:r w:rsidRPr="00C25589">
              <w:rPr>
                <w:rFonts w:ascii="Calibri" w:eastAsia="Times New Roman" w:hAnsi="Calibri" w:cs="Arial"/>
                <w:lang w:eastAsia="sv-SE"/>
              </w:rPr>
              <w:t>4</w:t>
            </w:r>
          </w:p>
        </w:tc>
        <w:tc>
          <w:tcPr>
            <w:tcW w:w="930"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w:eastAsia="Times New Roman" w:hAnsi="Calibri" w:cs="Arial"/>
                <w:lang w:eastAsia="sv-SE"/>
              </w:rPr>
            </w:pPr>
            <w:r w:rsidRPr="00C25589">
              <w:rPr>
                <w:rFonts w:ascii="Calibri" w:eastAsia="Times New Roman" w:hAnsi="Calibri" w:cs="Arial"/>
                <w:lang w:eastAsia="sv-SE"/>
              </w:rPr>
              <w:t>23</w:t>
            </w:r>
          </w:p>
        </w:tc>
        <w:tc>
          <w:tcPr>
            <w:tcW w:w="1085"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w:eastAsia="Times New Roman" w:hAnsi="Calibri" w:cs="Arial"/>
                <w:lang w:eastAsia="sv-SE"/>
              </w:rPr>
            </w:pPr>
            <w:r w:rsidRPr="00C25589">
              <w:rPr>
                <w:rFonts w:ascii="Calibri" w:eastAsia="Times New Roman" w:hAnsi="Calibri" w:cs="Arial"/>
                <w:lang w:eastAsia="sv-SE"/>
              </w:rPr>
              <w:t>19</w:t>
            </w:r>
          </w:p>
        </w:tc>
        <w:tc>
          <w:tcPr>
            <w:tcW w:w="1187" w:type="dxa"/>
            <w:tcBorders>
              <w:top w:val="nil"/>
              <w:left w:val="nil"/>
              <w:bottom w:val="nil"/>
              <w:right w:val="single" w:sz="8" w:space="0" w:color="auto"/>
            </w:tcBorders>
            <w:shd w:val="clear" w:color="auto" w:fill="auto"/>
            <w:noWrap/>
            <w:vAlign w:val="bottom"/>
            <w:hideMark/>
          </w:tcPr>
          <w:p w:rsidR="00386517" w:rsidRPr="00C25589" w:rsidRDefault="00386517" w:rsidP="00F90712">
            <w:pPr>
              <w:spacing w:line="240" w:lineRule="auto"/>
              <w:jc w:val="right"/>
              <w:rPr>
                <w:rFonts w:ascii="Calibri" w:eastAsia="Times New Roman" w:hAnsi="Calibri" w:cs="Arial"/>
                <w:sz w:val="20"/>
                <w:szCs w:val="20"/>
                <w:lang w:eastAsia="sv-SE"/>
              </w:rPr>
            </w:pPr>
            <w:proofErr w:type="gramStart"/>
            <w:r w:rsidRPr="00C25589">
              <w:rPr>
                <w:rFonts w:ascii="Calibri" w:eastAsia="Times New Roman" w:hAnsi="Calibri" w:cs="Arial"/>
                <w:sz w:val="20"/>
                <w:szCs w:val="20"/>
                <w:lang w:eastAsia="sv-SE"/>
              </w:rPr>
              <w:t>18%</w:t>
            </w:r>
            <w:proofErr w:type="gramEnd"/>
          </w:p>
        </w:tc>
      </w:tr>
      <w:tr w:rsidR="00386517" w:rsidRPr="00C25589" w:rsidTr="00F90712">
        <w:trPr>
          <w:trHeight w:val="291"/>
        </w:trPr>
        <w:tc>
          <w:tcPr>
            <w:tcW w:w="3359" w:type="dxa"/>
            <w:tcBorders>
              <w:top w:val="nil"/>
              <w:left w:val="single" w:sz="8" w:space="0" w:color="auto"/>
              <w:bottom w:val="nil"/>
              <w:right w:val="nil"/>
            </w:tcBorders>
            <w:shd w:val="clear" w:color="auto" w:fill="auto"/>
            <w:noWrap/>
            <w:vAlign w:val="bottom"/>
            <w:hideMark/>
          </w:tcPr>
          <w:p w:rsidR="00386517" w:rsidRPr="00C25589" w:rsidRDefault="00386517" w:rsidP="00F90712">
            <w:pPr>
              <w:spacing w:line="240" w:lineRule="auto"/>
              <w:rPr>
                <w:rFonts w:ascii="Calibri" w:eastAsia="Times New Roman" w:hAnsi="Calibri" w:cs="Arial"/>
                <w:lang w:eastAsia="sv-SE"/>
              </w:rPr>
            </w:pPr>
            <w:r w:rsidRPr="00C25589">
              <w:rPr>
                <w:rFonts w:ascii="Calibri" w:eastAsia="Times New Roman" w:hAnsi="Calibri" w:cs="Arial"/>
                <w:lang w:eastAsia="sv-SE"/>
              </w:rPr>
              <w:t>Kulturfastigheter</w:t>
            </w:r>
          </w:p>
        </w:tc>
        <w:tc>
          <w:tcPr>
            <w:tcW w:w="827"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w:eastAsia="Times New Roman" w:hAnsi="Calibri" w:cs="Arial"/>
                <w:lang w:eastAsia="sv-SE"/>
              </w:rPr>
            </w:pPr>
            <w:r w:rsidRPr="00C25589">
              <w:rPr>
                <w:rFonts w:ascii="Calibri" w:eastAsia="Times New Roman" w:hAnsi="Calibri" w:cs="Arial"/>
                <w:lang w:eastAsia="sv-SE"/>
              </w:rPr>
              <w:t>1</w:t>
            </w:r>
          </w:p>
        </w:tc>
        <w:tc>
          <w:tcPr>
            <w:tcW w:w="930"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w:eastAsia="Times New Roman" w:hAnsi="Calibri" w:cs="Arial"/>
                <w:lang w:eastAsia="sv-SE"/>
              </w:rPr>
            </w:pPr>
            <w:r w:rsidRPr="00C25589">
              <w:rPr>
                <w:rFonts w:ascii="Calibri" w:eastAsia="Times New Roman" w:hAnsi="Calibri" w:cs="Arial"/>
                <w:lang w:eastAsia="sv-SE"/>
              </w:rPr>
              <w:t>3</w:t>
            </w:r>
          </w:p>
        </w:tc>
        <w:tc>
          <w:tcPr>
            <w:tcW w:w="1085"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w:eastAsia="Times New Roman" w:hAnsi="Calibri" w:cs="Arial"/>
                <w:lang w:eastAsia="sv-SE"/>
              </w:rPr>
            </w:pPr>
            <w:r w:rsidRPr="00C25589">
              <w:rPr>
                <w:rFonts w:ascii="Calibri" w:eastAsia="Times New Roman" w:hAnsi="Calibri" w:cs="Arial"/>
                <w:lang w:eastAsia="sv-SE"/>
              </w:rPr>
              <w:t>2</w:t>
            </w:r>
          </w:p>
        </w:tc>
        <w:tc>
          <w:tcPr>
            <w:tcW w:w="1187" w:type="dxa"/>
            <w:tcBorders>
              <w:top w:val="nil"/>
              <w:left w:val="nil"/>
              <w:bottom w:val="nil"/>
              <w:right w:val="single" w:sz="8" w:space="0" w:color="auto"/>
            </w:tcBorders>
            <w:shd w:val="clear" w:color="auto" w:fill="auto"/>
            <w:noWrap/>
            <w:vAlign w:val="bottom"/>
            <w:hideMark/>
          </w:tcPr>
          <w:p w:rsidR="00386517" w:rsidRPr="00C25589" w:rsidRDefault="00386517" w:rsidP="00F90712">
            <w:pPr>
              <w:spacing w:line="240" w:lineRule="auto"/>
              <w:jc w:val="right"/>
              <w:rPr>
                <w:rFonts w:ascii="Calibri" w:eastAsia="Times New Roman" w:hAnsi="Calibri" w:cs="Arial"/>
                <w:sz w:val="20"/>
                <w:szCs w:val="20"/>
                <w:lang w:eastAsia="sv-SE"/>
              </w:rPr>
            </w:pPr>
            <w:proofErr w:type="gramStart"/>
            <w:r w:rsidRPr="00C25589">
              <w:rPr>
                <w:rFonts w:ascii="Calibri" w:eastAsia="Times New Roman" w:hAnsi="Calibri" w:cs="Arial"/>
                <w:sz w:val="20"/>
                <w:szCs w:val="20"/>
                <w:lang w:eastAsia="sv-SE"/>
              </w:rPr>
              <w:t>30%</w:t>
            </w:r>
            <w:proofErr w:type="gramEnd"/>
          </w:p>
        </w:tc>
      </w:tr>
      <w:tr w:rsidR="00386517" w:rsidRPr="00C25589" w:rsidTr="00F90712">
        <w:trPr>
          <w:trHeight w:val="291"/>
        </w:trPr>
        <w:tc>
          <w:tcPr>
            <w:tcW w:w="3359" w:type="dxa"/>
            <w:tcBorders>
              <w:top w:val="nil"/>
              <w:left w:val="single" w:sz="8" w:space="0" w:color="auto"/>
              <w:bottom w:val="nil"/>
              <w:right w:val="nil"/>
            </w:tcBorders>
            <w:shd w:val="clear" w:color="auto" w:fill="auto"/>
            <w:noWrap/>
            <w:vAlign w:val="bottom"/>
            <w:hideMark/>
          </w:tcPr>
          <w:p w:rsidR="00386517" w:rsidRPr="00C25589" w:rsidRDefault="00386517" w:rsidP="00F90712">
            <w:pPr>
              <w:spacing w:line="240" w:lineRule="auto"/>
              <w:rPr>
                <w:rFonts w:ascii="Calibri" w:eastAsia="Times New Roman" w:hAnsi="Calibri" w:cs="Arial"/>
                <w:lang w:eastAsia="sv-SE"/>
              </w:rPr>
            </w:pPr>
            <w:r w:rsidRPr="00C25589">
              <w:rPr>
                <w:rFonts w:ascii="Calibri" w:eastAsia="Times New Roman" w:hAnsi="Calibri" w:cs="Arial"/>
                <w:lang w:eastAsia="sv-SE"/>
              </w:rPr>
              <w:t>Idrottsfastigheter</w:t>
            </w:r>
          </w:p>
        </w:tc>
        <w:tc>
          <w:tcPr>
            <w:tcW w:w="827"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w:eastAsia="Times New Roman" w:hAnsi="Calibri" w:cs="Arial"/>
                <w:lang w:eastAsia="sv-SE"/>
              </w:rPr>
            </w:pPr>
            <w:r w:rsidRPr="00C25589">
              <w:rPr>
                <w:rFonts w:ascii="Calibri" w:eastAsia="Times New Roman" w:hAnsi="Calibri" w:cs="Arial"/>
                <w:lang w:eastAsia="sv-SE"/>
              </w:rPr>
              <w:t>115</w:t>
            </w:r>
          </w:p>
        </w:tc>
        <w:tc>
          <w:tcPr>
            <w:tcW w:w="930"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w:eastAsia="Times New Roman" w:hAnsi="Calibri" w:cs="Arial"/>
                <w:lang w:eastAsia="sv-SE"/>
              </w:rPr>
            </w:pPr>
            <w:r w:rsidRPr="00C25589">
              <w:rPr>
                <w:rFonts w:ascii="Calibri" w:eastAsia="Times New Roman" w:hAnsi="Calibri" w:cs="Arial"/>
                <w:lang w:eastAsia="sv-SE"/>
              </w:rPr>
              <w:t>143</w:t>
            </w:r>
          </w:p>
        </w:tc>
        <w:tc>
          <w:tcPr>
            <w:tcW w:w="1085"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w:eastAsia="Times New Roman" w:hAnsi="Calibri" w:cs="Arial"/>
                <w:lang w:eastAsia="sv-SE"/>
              </w:rPr>
            </w:pPr>
            <w:r w:rsidRPr="00C25589">
              <w:rPr>
                <w:rFonts w:ascii="Calibri" w:eastAsia="Times New Roman" w:hAnsi="Calibri" w:cs="Arial"/>
                <w:lang w:eastAsia="sv-SE"/>
              </w:rPr>
              <w:t>28</w:t>
            </w:r>
          </w:p>
        </w:tc>
        <w:tc>
          <w:tcPr>
            <w:tcW w:w="1187" w:type="dxa"/>
            <w:tcBorders>
              <w:top w:val="nil"/>
              <w:left w:val="nil"/>
              <w:bottom w:val="nil"/>
              <w:right w:val="single" w:sz="8" w:space="0" w:color="auto"/>
            </w:tcBorders>
            <w:shd w:val="clear" w:color="auto" w:fill="auto"/>
            <w:noWrap/>
            <w:vAlign w:val="bottom"/>
            <w:hideMark/>
          </w:tcPr>
          <w:p w:rsidR="00386517" w:rsidRPr="00C25589" w:rsidRDefault="00386517" w:rsidP="00F90712">
            <w:pPr>
              <w:spacing w:line="240" w:lineRule="auto"/>
              <w:jc w:val="right"/>
              <w:rPr>
                <w:rFonts w:ascii="Calibri" w:eastAsia="Times New Roman" w:hAnsi="Calibri" w:cs="Arial"/>
                <w:sz w:val="20"/>
                <w:szCs w:val="20"/>
                <w:lang w:eastAsia="sv-SE"/>
              </w:rPr>
            </w:pPr>
            <w:proofErr w:type="gramStart"/>
            <w:r w:rsidRPr="00C25589">
              <w:rPr>
                <w:rFonts w:ascii="Calibri" w:eastAsia="Times New Roman" w:hAnsi="Calibri" w:cs="Arial"/>
                <w:sz w:val="20"/>
                <w:szCs w:val="20"/>
                <w:lang w:eastAsia="sv-SE"/>
              </w:rPr>
              <w:t>80%</w:t>
            </w:r>
            <w:proofErr w:type="gramEnd"/>
          </w:p>
        </w:tc>
      </w:tr>
      <w:tr w:rsidR="00386517" w:rsidRPr="00C25589" w:rsidTr="00F90712">
        <w:trPr>
          <w:trHeight w:val="291"/>
        </w:trPr>
        <w:tc>
          <w:tcPr>
            <w:tcW w:w="3359" w:type="dxa"/>
            <w:tcBorders>
              <w:top w:val="nil"/>
              <w:left w:val="single" w:sz="8" w:space="0" w:color="auto"/>
              <w:bottom w:val="nil"/>
              <w:right w:val="nil"/>
            </w:tcBorders>
            <w:shd w:val="clear" w:color="auto" w:fill="auto"/>
            <w:noWrap/>
            <w:vAlign w:val="bottom"/>
            <w:hideMark/>
          </w:tcPr>
          <w:p w:rsidR="00386517" w:rsidRPr="00C25589" w:rsidRDefault="00386517" w:rsidP="00F90712">
            <w:pPr>
              <w:spacing w:line="240" w:lineRule="auto"/>
              <w:rPr>
                <w:rFonts w:ascii="Calibri" w:eastAsia="Times New Roman" w:hAnsi="Calibri" w:cs="Arial"/>
                <w:lang w:eastAsia="sv-SE"/>
              </w:rPr>
            </w:pPr>
            <w:r w:rsidRPr="00C25589">
              <w:rPr>
                <w:rFonts w:ascii="Calibri" w:eastAsia="Times New Roman" w:hAnsi="Calibri" w:cs="Arial"/>
                <w:lang w:eastAsia="sv-SE"/>
              </w:rPr>
              <w:t>Energiinvesteringar fastigheter</w:t>
            </w:r>
          </w:p>
        </w:tc>
        <w:tc>
          <w:tcPr>
            <w:tcW w:w="827"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w:eastAsia="Times New Roman" w:hAnsi="Calibri" w:cs="Arial"/>
                <w:lang w:eastAsia="sv-SE"/>
              </w:rPr>
            </w:pPr>
            <w:r w:rsidRPr="00C25589">
              <w:rPr>
                <w:rFonts w:ascii="Calibri" w:eastAsia="Times New Roman" w:hAnsi="Calibri" w:cs="Arial"/>
                <w:lang w:eastAsia="sv-SE"/>
              </w:rPr>
              <w:t>34</w:t>
            </w:r>
          </w:p>
        </w:tc>
        <w:tc>
          <w:tcPr>
            <w:tcW w:w="930"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w:eastAsia="Times New Roman" w:hAnsi="Calibri" w:cs="Arial"/>
                <w:lang w:eastAsia="sv-SE"/>
              </w:rPr>
            </w:pPr>
            <w:r w:rsidRPr="00C25589">
              <w:rPr>
                <w:rFonts w:ascii="Calibri" w:eastAsia="Times New Roman" w:hAnsi="Calibri" w:cs="Arial"/>
                <w:lang w:eastAsia="sv-SE"/>
              </w:rPr>
              <w:t>54</w:t>
            </w:r>
          </w:p>
        </w:tc>
        <w:tc>
          <w:tcPr>
            <w:tcW w:w="1085"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w:eastAsia="Times New Roman" w:hAnsi="Calibri" w:cs="Arial"/>
                <w:lang w:eastAsia="sv-SE"/>
              </w:rPr>
            </w:pPr>
            <w:r w:rsidRPr="00C25589">
              <w:rPr>
                <w:rFonts w:ascii="Calibri" w:eastAsia="Times New Roman" w:hAnsi="Calibri" w:cs="Arial"/>
                <w:lang w:eastAsia="sv-SE"/>
              </w:rPr>
              <w:t>20</w:t>
            </w:r>
          </w:p>
        </w:tc>
        <w:tc>
          <w:tcPr>
            <w:tcW w:w="1187" w:type="dxa"/>
            <w:tcBorders>
              <w:top w:val="nil"/>
              <w:left w:val="nil"/>
              <w:bottom w:val="nil"/>
              <w:right w:val="single" w:sz="8" w:space="0" w:color="auto"/>
            </w:tcBorders>
            <w:shd w:val="clear" w:color="auto" w:fill="auto"/>
            <w:noWrap/>
            <w:vAlign w:val="bottom"/>
            <w:hideMark/>
          </w:tcPr>
          <w:p w:rsidR="00386517" w:rsidRPr="00C25589" w:rsidRDefault="00386517" w:rsidP="00F90712">
            <w:pPr>
              <w:spacing w:line="240" w:lineRule="auto"/>
              <w:jc w:val="right"/>
              <w:rPr>
                <w:rFonts w:ascii="Calibri" w:eastAsia="Times New Roman" w:hAnsi="Calibri" w:cs="Arial"/>
                <w:sz w:val="20"/>
                <w:szCs w:val="20"/>
                <w:lang w:eastAsia="sv-SE"/>
              </w:rPr>
            </w:pPr>
            <w:proofErr w:type="gramStart"/>
            <w:r w:rsidRPr="00C25589">
              <w:rPr>
                <w:rFonts w:ascii="Calibri" w:eastAsia="Times New Roman" w:hAnsi="Calibri" w:cs="Arial"/>
                <w:sz w:val="20"/>
                <w:szCs w:val="20"/>
                <w:lang w:eastAsia="sv-SE"/>
              </w:rPr>
              <w:t>63%</w:t>
            </w:r>
            <w:proofErr w:type="gramEnd"/>
          </w:p>
        </w:tc>
      </w:tr>
      <w:tr w:rsidR="00386517" w:rsidRPr="00C25589" w:rsidTr="00F90712">
        <w:trPr>
          <w:trHeight w:val="291"/>
        </w:trPr>
        <w:tc>
          <w:tcPr>
            <w:tcW w:w="3359" w:type="dxa"/>
            <w:tcBorders>
              <w:top w:val="nil"/>
              <w:left w:val="single" w:sz="8" w:space="0" w:color="auto"/>
              <w:bottom w:val="nil"/>
              <w:right w:val="nil"/>
            </w:tcBorders>
            <w:shd w:val="clear" w:color="auto" w:fill="auto"/>
            <w:noWrap/>
            <w:vAlign w:val="bottom"/>
            <w:hideMark/>
          </w:tcPr>
          <w:p w:rsidR="00386517" w:rsidRPr="00C25589" w:rsidRDefault="00386517" w:rsidP="00F90712">
            <w:pPr>
              <w:spacing w:line="240" w:lineRule="auto"/>
              <w:rPr>
                <w:rFonts w:ascii="Calibri" w:eastAsia="Times New Roman" w:hAnsi="Calibri" w:cs="Arial"/>
                <w:lang w:eastAsia="sv-SE"/>
              </w:rPr>
            </w:pPr>
            <w:r w:rsidRPr="00C25589">
              <w:rPr>
                <w:rFonts w:ascii="Calibri" w:eastAsia="Times New Roman" w:hAnsi="Calibri" w:cs="Arial"/>
                <w:lang w:eastAsia="sv-SE"/>
              </w:rPr>
              <w:t>Boenden (äldreboenden)</w:t>
            </w:r>
          </w:p>
        </w:tc>
        <w:tc>
          <w:tcPr>
            <w:tcW w:w="827"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w:eastAsia="Times New Roman" w:hAnsi="Calibri" w:cs="Arial"/>
                <w:lang w:eastAsia="sv-SE"/>
              </w:rPr>
            </w:pPr>
            <w:r w:rsidRPr="00C25589">
              <w:rPr>
                <w:rFonts w:ascii="Calibri" w:eastAsia="Times New Roman" w:hAnsi="Calibri" w:cs="Arial"/>
                <w:lang w:eastAsia="sv-SE"/>
              </w:rPr>
              <w:t>92</w:t>
            </w:r>
          </w:p>
        </w:tc>
        <w:tc>
          <w:tcPr>
            <w:tcW w:w="930"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w:eastAsia="Times New Roman" w:hAnsi="Calibri" w:cs="Arial"/>
                <w:lang w:eastAsia="sv-SE"/>
              </w:rPr>
            </w:pPr>
            <w:r w:rsidRPr="00C25589">
              <w:rPr>
                <w:rFonts w:ascii="Calibri" w:eastAsia="Times New Roman" w:hAnsi="Calibri" w:cs="Arial"/>
                <w:lang w:eastAsia="sv-SE"/>
              </w:rPr>
              <w:t>140</w:t>
            </w:r>
          </w:p>
        </w:tc>
        <w:tc>
          <w:tcPr>
            <w:tcW w:w="1085"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w:eastAsia="Times New Roman" w:hAnsi="Calibri" w:cs="Arial"/>
                <w:lang w:eastAsia="sv-SE"/>
              </w:rPr>
            </w:pPr>
            <w:r w:rsidRPr="00C25589">
              <w:rPr>
                <w:rFonts w:ascii="Calibri" w:eastAsia="Times New Roman" w:hAnsi="Calibri" w:cs="Arial"/>
                <w:lang w:eastAsia="sv-SE"/>
              </w:rPr>
              <w:t>48</w:t>
            </w:r>
          </w:p>
        </w:tc>
        <w:tc>
          <w:tcPr>
            <w:tcW w:w="1187" w:type="dxa"/>
            <w:tcBorders>
              <w:top w:val="nil"/>
              <w:left w:val="nil"/>
              <w:bottom w:val="nil"/>
              <w:right w:val="single" w:sz="8" w:space="0" w:color="auto"/>
            </w:tcBorders>
            <w:shd w:val="clear" w:color="auto" w:fill="auto"/>
            <w:noWrap/>
            <w:vAlign w:val="bottom"/>
            <w:hideMark/>
          </w:tcPr>
          <w:p w:rsidR="00386517" w:rsidRPr="00C25589" w:rsidRDefault="00386517" w:rsidP="00F90712">
            <w:pPr>
              <w:spacing w:line="240" w:lineRule="auto"/>
              <w:jc w:val="right"/>
              <w:rPr>
                <w:rFonts w:ascii="Calibri" w:eastAsia="Times New Roman" w:hAnsi="Calibri" w:cs="Arial"/>
                <w:sz w:val="20"/>
                <w:szCs w:val="20"/>
                <w:lang w:eastAsia="sv-SE"/>
              </w:rPr>
            </w:pPr>
            <w:proofErr w:type="gramStart"/>
            <w:r w:rsidRPr="00C25589">
              <w:rPr>
                <w:rFonts w:ascii="Calibri" w:eastAsia="Times New Roman" w:hAnsi="Calibri" w:cs="Arial"/>
                <w:sz w:val="20"/>
                <w:szCs w:val="20"/>
                <w:lang w:eastAsia="sv-SE"/>
              </w:rPr>
              <w:t>66%</w:t>
            </w:r>
            <w:proofErr w:type="gramEnd"/>
          </w:p>
        </w:tc>
      </w:tr>
      <w:tr w:rsidR="00386517" w:rsidRPr="00C25589" w:rsidTr="00F90712">
        <w:trPr>
          <w:trHeight w:val="291"/>
        </w:trPr>
        <w:tc>
          <w:tcPr>
            <w:tcW w:w="3359" w:type="dxa"/>
            <w:tcBorders>
              <w:top w:val="nil"/>
              <w:left w:val="single" w:sz="8" w:space="0" w:color="auto"/>
              <w:bottom w:val="nil"/>
              <w:right w:val="nil"/>
            </w:tcBorders>
            <w:shd w:val="clear" w:color="auto" w:fill="auto"/>
            <w:noWrap/>
            <w:vAlign w:val="bottom"/>
            <w:hideMark/>
          </w:tcPr>
          <w:p w:rsidR="00386517" w:rsidRPr="00C25589" w:rsidRDefault="00386517" w:rsidP="00F90712">
            <w:pPr>
              <w:spacing w:line="240" w:lineRule="auto"/>
              <w:rPr>
                <w:rFonts w:ascii="Calibri" w:eastAsia="Times New Roman" w:hAnsi="Calibri" w:cs="Arial"/>
                <w:lang w:eastAsia="sv-SE"/>
              </w:rPr>
            </w:pPr>
            <w:r w:rsidRPr="00C25589">
              <w:rPr>
                <w:rFonts w:ascii="Calibri" w:eastAsia="Times New Roman" w:hAnsi="Calibri" w:cs="Arial"/>
                <w:lang w:eastAsia="sv-SE"/>
              </w:rPr>
              <w:t>Exploateringsinvesteringar</w:t>
            </w:r>
          </w:p>
        </w:tc>
        <w:tc>
          <w:tcPr>
            <w:tcW w:w="827"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w:eastAsia="Times New Roman" w:hAnsi="Calibri" w:cs="Arial"/>
                <w:lang w:eastAsia="sv-SE"/>
              </w:rPr>
            </w:pPr>
            <w:r w:rsidRPr="00C25589">
              <w:rPr>
                <w:rFonts w:ascii="Calibri" w:eastAsia="Times New Roman" w:hAnsi="Calibri" w:cs="Arial"/>
                <w:lang w:eastAsia="sv-SE"/>
              </w:rPr>
              <w:t>106</w:t>
            </w:r>
          </w:p>
        </w:tc>
        <w:tc>
          <w:tcPr>
            <w:tcW w:w="930"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w:eastAsia="Times New Roman" w:hAnsi="Calibri" w:cs="Arial"/>
                <w:lang w:eastAsia="sv-SE"/>
              </w:rPr>
            </w:pPr>
            <w:r w:rsidRPr="00C25589">
              <w:rPr>
                <w:rFonts w:ascii="Calibri" w:eastAsia="Times New Roman" w:hAnsi="Calibri" w:cs="Arial"/>
                <w:lang w:eastAsia="sv-SE"/>
              </w:rPr>
              <w:t>149</w:t>
            </w:r>
          </w:p>
        </w:tc>
        <w:tc>
          <w:tcPr>
            <w:tcW w:w="1085"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w:eastAsia="Times New Roman" w:hAnsi="Calibri" w:cs="Arial"/>
                <w:lang w:eastAsia="sv-SE"/>
              </w:rPr>
            </w:pPr>
            <w:r w:rsidRPr="00C25589">
              <w:rPr>
                <w:rFonts w:ascii="Calibri" w:eastAsia="Times New Roman" w:hAnsi="Calibri" w:cs="Arial"/>
                <w:lang w:eastAsia="sv-SE"/>
              </w:rPr>
              <w:t>42</w:t>
            </w:r>
          </w:p>
        </w:tc>
        <w:tc>
          <w:tcPr>
            <w:tcW w:w="1187" w:type="dxa"/>
            <w:tcBorders>
              <w:top w:val="nil"/>
              <w:left w:val="nil"/>
              <w:bottom w:val="nil"/>
              <w:right w:val="single" w:sz="8" w:space="0" w:color="auto"/>
            </w:tcBorders>
            <w:shd w:val="clear" w:color="auto" w:fill="auto"/>
            <w:noWrap/>
            <w:vAlign w:val="bottom"/>
            <w:hideMark/>
          </w:tcPr>
          <w:p w:rsidR="00386517" w:rsidRPr="00C25589" w:rsidRDefault="00386517" w:rsidP="00F90712">
            <w:pPr>
              <w:spacing w:line="240" w:lineRule="auto"/>
              <w:jc w:val="right"/>
              <w:rPr>
                <w:rFonts w:ascii="Calibri" w:eastAsia="Times New Roman" w:hAnsi="Calibri" w:cs="Arial"/>
                <w:sz w:val="20"/>
                <w:szCs w:val="20"/>
                <w:lang w:eastAsia="sv-SE"/>
              </w:rPr>
            </w:pPr>
            <w:proofErr w:type="gramStart"/>
            <w:r w:rsidRPr="00C25589">
              <w:rPr>
                <w:rFonts w:ascii="Calibri" w:eastAsia="Times New Roman" w:hAnsi="Calibri" w:cs="Arial"/>
                <w:sz w:val="20"/>
                <w:szCs w:val="20"/>
                <w:lang w:eastAsia="sv-SE"/>
              </w:rPr>
              <w:t>71%</w:t>
            </w:r>
            <w:proofErr w:type="gramEnd"/>
          </w:p>
        </w:tc>
      </w:tr>
      <w:tr w:rsidR="00386517" w:rsidRPr="00C25589" w:rsidTr="00F90712">
        <w:trPr>
          <w:trHeight w:val="291"/>
        </w:trPr>
        <w:tc>
          <w:tcPr>
            <w:tcW w:w="3359" w:type="dxa"/>
            <w:tcBorders>
              <w:top w:val="nil"/>
              <w:left w:val="single" w:sz="8" w:space="0" w:color="auto"/>
              <w:bottom w:val="nil"/>
              <w:right w:val="nil"/>
            </w:tcBorders>
            <w:shd w:val="clear" w:color="auto" w:fill="auto"/>
            <w:noWrap/>
            <w:vAlign w:val="bottom"/>
            <w:hideMark/>
          </w:tcPr>
          <w:p w:rsidR="00386517" w:rsidRPr="00C25589" w:rsidRDefault="00386517" w:rsidP="00F90712">
            <w:pPr>
              <w:spacing w:line="240" w:lineRule="auto"/>
              <w:rPr>
                <w:rFonts w:ascii="Calibri" w:eastAsia="Times New Roman" w:hAnsi="Calibri" w:cs="Arial"/>
                <w:lang w:eastAsia="sv-SE"/>
              </w:rPr>
            </w:pPr>
            <w:r w:rsidRPr="00C25589">
              <w:rPr>
                <w:rFonts w:ascii="Calibri" w:eastAsia="Times New Roman" w:hAnsi="Calibri" w:cs="Arial"/>
                <w:lang w:eastAsia="sv-SE"/>
              </w:rPr>
              <w:t>Hamnen</w:t>
            </w:r>
          </w:p>
        </w:tc>
        <w:tc>
          <w:tcPr>
            <w:tcW w:w="827"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w:eastAsia="Times New Roman" w:hAnsi="Calibri" w:cs="Arial"/>
                <w:lang w:eastAsia="sv-SE"/>
              </w:rPr>
            </w:pPr>
            <w:r w:rsidRPr="00C25589">
              <w:rPr>
                <w:rFonts w:ascii="Calibri" w:eastAsia="Times New Roman" w:hAnsi="Calibri" w:cs="Arial"/>
                <w:lang w:eastAsia="sv-SE"/>
              </w:rPr>
              <w:t>72</w:t>
            </w:r>
          </w:p>
        </w:tc>
        <w:tc>
          <w:tcPr>
            <w:tcW w:w="930"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w:eastAsia="Times New Roman" w:hAnsi="Calibri" w:cs="Arial"/>
                <w:lang w:eastAsia="sv-SE"/>
              </w:rPr>
            </w:pPr>
            <w:r w:rsidRPr="00C25589">
              <w:rPr>
                <w:rFonts w:ascii="Calibri" w:eastAsia="Times New Roman" w:hAnsi="Calibri" w:cs="Arial"/>
                <w:lang w:eastAsia="sv-SE"/>
              </w:rPr>
              <w:t>221</w:t>
            </w:r>
          </w:p>
        </w:tc>
        <w:tc>
          <w:tcPr>
            <w:tcW w:w="1085"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w:eastAsia="Times New Roman" w:hAnsi="Calibri" w:cs="Arial"/>
                <w:lang w:eastAsia="sv-SE"/>
              </w:rPr>
            </w:pPr>
            <w:r w:rsidRPr="00C25589">
              <w:rPr>
                <w:rFonts w:ascii="Calibri" w:eastAsia="Times New Roman" w:hAnsi="Calibri" w:cs="Arial"/>
                <w:lang w:eastAsia="sv-SE"/>
              </w:rPr>
              <w:t>150</w:t>
            </w:r>
          </w:p>
        </w:tc>
        <w:tc>
          <w:tcPr>
            <w:tcW w:w="1187" w:type="dxa"/>
            <w:tcBorders>
              <w:top w:val="nil"/>
              <w:left w:val="nil"/>
              <w:bottom w:val="nil"/>
              <w:right w:val="single" w:sz="8" w:space="0" w:color="auto"/>
            </w:tcBorders>
            <w:shd w:val="clear" w:color="auto" w:fill="auto"/>
            <w:noWrap/>
            <w:vAlign w:val="bottom"/>
            <w:hideMark/>
          </w:tcPr>
          <w:p w:rsidR="00386517" w:rsidRPr="00C25589" w:rsidRDefault="00386517" w:rsidP="00F90712">
            <w:pPr>
              <w:spacing w:line="240" w:lineRule="auto"/>
              <w:jc w:val="right"/>
              <w:rPr>
                <w:rFonts w:ascii="Calibri" w:eastAsia="Times New Roman" w:hAnsi="Calibri" w:cs="Arial"/>
                <w:sz w:val="20"/>
                <w:szCs w:val="20"/>
                <w:lang w:eastAsia="sv-SE"/>
              </w:rPr>
            </w:pPr>
            <w:proofErr w:type="gramStart"/>
            <w:r w:rsidRPr="00C25589">
              <w:rPr>
                <w:rFonts w:ascii="Calibri" w:eastAsia="Times New Roman" w:hAnsi="Calibri" w:cs="Arial"/>
                <w:sz w:val="20"/>
                <w:szCs w:val="20"/>
                <w:lang w:eastAsia="sv-SE"/>
              </w:rPr>
              <w:t>32%</w:t>
            </w:r>
            <w:proofErr w:type="gramEnd"/>
          </w:p>
        </w:tc>
      </w:tr>
      <w:tr w:rsidR="00386517" w:rsidRPr="00C25589" w:rsidTr="00F90712">
        <w:trPr>
          <w:trHeight w:val="291"/>
        </w:trPr>
        <w:tc>
          <w:tcPr>
            <w:tcW w:w="3359" w:type="dxa"/>
            <w:tcBorders>
              <w:top w:val="nil"/>
              <w:left w:val="single" w:sz="8" w:space="0" w:color="auto"/>
              <w:bottom w:val="nil"/>
              <w:right w:val="nil"/>
            </w:tcBorders>
            <w:shd w:val="clear" w:color="auto" w:fill="auto"/>
            <w:noWrap/>
            <w:vAlign w:val="bottom"/>
            <w:hideMark/>
          </w:tcPr>
          <w:p w:rsidR="00386517" w:rsidRPr="00C25589" w:rsidRDefault="00386517" w:rsidP="00F90712">
            <w:pPr>
              <w:spacing w:line="240" w:lineRule="auto"/>
              <w:rPr>
                <w:rFonts w:ascii="Calibri" w:eastAsia="Times New Roman" w:hAnsi="Calibri" w:cs="Arial"/>
                <w:lang w:eastAsia="sv-SE"/>
              </w:rPr>
            </w:pPr>
            <w:r w:rsidRPr="00C25589">
              <w:rPr>
                <w:rFonts w:ascii="Calibri" w:eastAsia="Times New Roman" w:hAnsi="Calibri" w:cs="Arial"/>
                <w:lang w:eastAsia="sv-SE"/>
              </w:rPr>
              <w:t>Hamnen, externa hyresgäster</w:t>
            </w:r>
          </w:p>
        </w:tc>
        <w:tc>
          <w:tcPr>
            <w:tcW w:w="827"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w:eastAsia="Times New Roman" w:hAnsi="Calibri" w:cs="Arial"/>
                <w:lang w:eastAsia="sv-SE"/>
              </w:rPr>
            </w:pPr>
            <w:r w:rsidRPr="00C25589">
              <w:rPr>
                <w:rFonts w:ascii="Calibri" w:eastAsia="Times New Roman" w:hAnsi="Calibri" w:cs="Arial"/>
                <w:lang w:eastAsia="sv-SE"/>
              </w:rPr>
              <w:t>67</w:t>
            </w:r>
          </w:p>
        </w:tc>
        <w:tc>
          <w:tcPr>
            <w:tcW w:w="930"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w:eastAsia="Times New Roman" w:hAnsi="Calibri" w:cs="Arial"/>
                <w:lang w:eastAsia="sv-SE"/>
              </w:rPr>
            </w:pPr>
            <w:r w:rsidRPr="00C25589">
              <w:rPr>
                <w:rFonts w:ascii="Calibri" w:eastAsia="Times New Roman" w:hAnsi="Calibri" w:cs="Arial"/>
                <w:lang w:eastAsia="sv-SE"/>
              </w:rPr>
              <w:t>75</w:t>
            </w:r>
          </w:p>
        </w:tc>
        <w:tc>
          <w:tcPr>
            <w:tcW w:w="1085"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w:eastAsia="Times New Roman" w:hAnsi="Calibri" w:cs="Arial"/>
                <w:lang w:eastAsia="sv-SE"/>
              </w:rPr>
            </w:pPr>
            <w:r w:rsidRPr="00C25589">
              <w:rPr>
                <w:rFonts w:ascii="Calibri" w:eastAsia="Times New Roman" w:hAnsi="Calibri" w:cs="Arial"/>
                <w:lang w:eastAsia="sv-SE"/>
              </w:rPr>
              <w:t>8</w:t>
            </w:r>
          </w:p>
        </w:tc>
        <w:tc>
          <w:tcPr>
            <w:tcW w:w="1187" w:type="dxa"/>
            <w:tcBorders>
              <w:top w:val="nil"/>
              <w:left w:val="nil"/>
              <w:bottom w:val="nil"/>
              <w:right w:val="single" w:sz="8" w:space="0" w:color="auto"/>
            </w:tcBorders>
            <w:shd w:val="clear" w:color="auto" w:fill="auto"/>
            <w:noWrap/>
            <w:vAlign w:val="bottom"/>
            <w:hideMark/>
          </w:tcPr>
          <w:p w:rsidR="00386517" w:rsidRPr="00C25589" w:rsidRDefault="00386517" w:rsidP="00F90712">
            <w:pPr>
              <w:spacing w:line="240" w:lineRule="auto"/>
              <w:jc w:val="right"/>
              <w:rPr>
                <w:rFonts w:ascii="Calibri" w:eastAsia="Times New Roman" w:hAnsi="Calibri" w:cs="Arial"/>
                <w:sz w:val="20"/>
                <w:szCs w:val="20"/>
                <w:lang w:eastAsia="sv-SE"/>
              </w:rPr>
            </w:pPr>
            <w:proofErr w:type="gramStart"/>
            <w:r w:rsidRPr="00C25589">
              <w:rPr>
                <w:rFonts w:ascii="Calibri" w:eastAsia="Times New Roman" w:hAnsi="Calibri" w:cs="Arial"/>
                <w:sz w:val="20"/>
                <w:szCs w:val="20"/>
                <w:lang w:eastAsia="sv-SE"/>
              </w:rPr>
              <w:t>90%</w:t>
            </w:r>
            <w:proofErr w:type="gramEnd"/>
          </w:p>
        </w:tc>
      </w:tr>
      <w:tr w:rsidR="00386517" w:rsidRPr="00C25589" w:rsidTr="00F90712">
        <w:trPr>
          <w:trHeight w:val="303"/>
        </w:trPr>
        <w:tc>
          <w:tcPr>
            <w:tcW w:w="3359" w:type="dxa"/>
            <w:tcBorders>
              <w:top w:val="nil"/>
              <w:left w:val="single" w:sz="8" w:space="0" w:color="auto"/>
              <w:bottom w:val="nil"/>
              <w:right w:val="nil"/>
            </w:tcBorders>
            <w:shd w:val="clear" w:color="auto" w:fill="auto"/>
            <w:noWrap/>
            <w:vAlign w:val="bottom"/>
            <w:hideMark/>
          </w:tcPr>
          <w:p w:rsidR="00386517" w:rsidRPr="00C25589" w:rsidRDefault="00386517" w:rsidP="00F90712">
            <w:pPr>
              <w:spacing w:line="240" w:lineRule="auto"/>
              <w:rPr>
                <w:rFonts w:ascii="Calibri" w:eastAsia="Times New Roman" w:hAnsi="Calibri" w:cs="Arial"/>
                <w:lang w:eastAsia="sv-SE"/>
              </w:rPr>
            </w:pPr>
            <w:r w:rsidRPr="00C25589">
              <w:rPr>
                <w:rFonts w:ascii="Calibri" w:eastAsia="Times New Roman" w:hAnsi="Calibri" w:cs="Arial"/>
                <w:lang w:eastAsia="sv-SE"/>
              </w:rPr>
              <w:t>Övriga fastighetsinvesteringar</w:t>
            </w:r>
          </w:p>
        </w:tc>
        <w:tc>
          <w:tcPr>
            <w:tcW w:w="827"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w:eastAsia="Times New Roman" w:hAnsi="Calibri" w:cs="Arial"/>
                <w:lang w:eastAsia="sv-SE"/>
              </w:rPr>
            </w:pPr>
            <w:r w:rsidRPr="00C25589">
              <w:rPr>
                <w:rFonts w:ascii="Calibri" w:eastAsia="Times New Roman" w:hAnsi="Calibri" w:cs="Arial"/>
                <w:lang w:eastAsia="sv-SE"/>
              </w:rPr>
              <w:t>11</w:t>
            </w:r>
          </w:p>
        </w:tc>
        <w:tc>
          <w:tcPr>
            <w:tcW w:w="930"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w:eastAsia="Times New Roman" w:hAnsi="Calibri" w:cs="Arial"/>
                <w:lang w:eastAsia="sv-SE"/>
              </w:rPr>
            </w:pPr>
            <w:r w:rsidRPr="00C25589">
              <w:rPr>
                <w:rFonts w:ascii="Calibri" w:eastAsia="Times New Roman" w:hAnsi="Calibri" w:cs="Arial"/>
                <w:lang w:eastAsia="sv-SE"/>
              </w:rPr>
              <w:t>41</w:t>
            </w:r>
          </w:p>
        </w:tc>
        <w:tc>
          <w:tcPr>
            <w:tcW w:w="1085"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w:eastAsia="Times New Roman" w:hAnsi="Calibri" w:cs="Arial"/>
                <w:lang w:eastAsia="sv-SE"/>
              </w:rPr>
            </w:pPr>
            <w:r w:rsidRPr="00C25589">
              <w:rPr>
                <w:rFonts w:ascii="Calibri" w:eastAsia="Times New Roman" w:hAnsi="Calibri" w:cs="Arial"/>
                <w:lang w:eastAsia="sv-SE"/>
              </w:rPr>
              <w:t>29</w:t>
            </w:r>
          </w:p>
        </w:tc>
        <w:tc>
          <w:tcPr>
            <w:tcW w:w="1187" w:type="dxa"/>
            <w:tcBorders>
              <w:top w:val="nil"/>
              <w:left w:val="nil"/>
              <w:bottom w:val="nil"/>
              <w:right w:val="single" w:sz="8" w:space="0" w:color="auto"/>
            </w:tcBorders>
            <w:shd w:val="clear" w:color="auto" w:fill="auto"/>
            <w:noWrap/>
            <w:vAlign w:val="bottom"/>
            <w:hideMark/>
          </w:tcPr>
          <w:p w:rsidR="00386517" w:rsidRPr="00C25589" w:rsidRDefault="00386517" w:rsidP="00F90712">
            <w:pPr>
              <w:spacing w:line="240" w:lineRule="auto"/>
              <w:jc w:val="right"/>
              <w:rPr>
                <w:rFonts w:ascii="Calibri" w:eastAsia="Times New Roman" w:hAnsi="Calibri" w:cs="Arial"/>
                <w:sz w:val="20"/>
                <w:szCs w:val="20"/>
                <w:lang w:eastAsia="sv-SE"/>
              </w:rPr>
            </w:pPr>
            <w:proofErr w:type="gramStart"/>
            <w:r w:rsidRPr="00C25589">
              <w:rPr>
                <w:rFonts w:ascii="Calibri" w:eastAsia="Times New Roman" w:hAnsi="Calibri" w:cs="Arial"/>
                <w:sz w:val="20"/>
                <w:szCs w:val="20"/>
                <w:lang w:eastAsia="sv-SE"/>
              </w:rPr>
              <w:t>28%</w:t>
            </w:r>
            <w:proofErr w:type="gramEnd"/>
          </w:p>
        </w:tc>
      </w:tr>
      <w:tr w:rsidR="00386517" w:rsidRPr="00C25589" w:rsidTr="00F90712">
        <w:trPr>
          <w:trHeight w:val="303"/>
        </w:trPr>
        <w:tc>
          <w:tcPr>
            <w:tcW w:w="3359" w:type="dxa"/>
            <w:tcBorders>
              <w:top w:val="single" w:sz="8" w:space="0" w:color="auto"/>
              <w:left w:val="single" w:sz="8" w:space="0" w:color="auto"/>
              <w:bottom w:val="single" w:sz="8" w:space="0" w:color="auto"/>
              <w:right w:val="nil"/>
            </w:tcBorders>
            <w:shd w:val="clear" w:color="auto" w:fill="auto"/>
            <w:noWrap/>
            <w:vAlign w:val="bottom"/>
            <w:hideMark/>
          </w:tcPr>
          <w:p w:rsidR="00386517" w:rsidRPr="00C25589" w:rsidRDefault="00386517" w:rsidP="00F90712">
            <w:pPr>
              <w:spacing w:line="240" w:lineRule="auto"/>
              <w:rPr>
                <w:rFonts w:ascii="Calibri" w:eastAsia="Times New Roman" w:hAnsi="Calibri" w:cs="Arial"/>
                <w:b/>
                <w:bCs/>
                <w:lang w:eastAsia="sv-SE"/>
              </w:rPr>
            </w:pPr>
            <w:r w:rsidRPr="00C25589">
              <w:rPr>
                <w:rFonts w:ascii="Calibri" w:eastAsia="Times New Roman" w:hAnsi="Calibri" w:cs="Arial"/>
                <w:b/>
                <w:bCs/>
                <w:lang w:eastAsia="sv-SE"/>
              </w:rPr>
              <w:t>Fastighetsnämnden totalt</w:t>
            </w:r>
          </w:p>
        </w:tc>
        <w:tc>
          <w:tcPr>
            <w:tcW w:w="827" w:type="dxa"/>
            <w:tcBorders>
              <w:top w:val="single" w:sz="8" w:space="0" w:color="auto"/>
              <w:left w:val="nil"/>
              <w:bottom w:val="single" w:sz="8" w:space="0" w:color="auto"/>
              <w:right w:val="nil"/>
            </w:tcBorders>
            <w:shd w:val="clear" w:color="auto" w:fill="auto"/>
            <w:noWrap/>
            <w:vAlign w:val="bottom"/>
            <w:hideMark/>
          </w:tcPr>
          <w:p w:rsidR="00386517" w:rsidRPr="00C25589" w:rsidRDefault="00386517" w:rsidP="00F90712">
            <w:pPr>
              <w:spacing w:line="240" w:lineRule="auto"/>
              <w:jc w:val="right"/>
              <w:rPr>
                <w:rFonts w:ascii="Calibri" w:eastAsia="Times New Roman" w:hAnsi="Calibri" w:cs="Arial"/>
                <w:b/>
                <w:bCs/>
                <w:lang w:eastAsia="sv-SE"/>
              </w:rPr>
            </w:pPr>
            <w:r w:rsidRPr="00C25589">
              <w:rPr>
                <w:rFonts w:ascii="Calibri" w:eastAsia="Times New Roman" w:hAnsi="Calibri" w:cs="Arial"/>
                <w:b/>
                <w:bCs/>
                <w:lang w:eastAsia="sv-SE"/>
              </w:rPr>
              <w:t>796</w:t>
            </w:r>
          </w:p>
        </w:tc>
        <w:tc>
          <w:tcPr>
            <w:tcW w:w="930" w:type="dxa"/>
            <w:tcBorders>
              <w:top w:val="single" w:sz="8" w:space="0" w:color="auto"/>
              <w:left w:val="nil"/>
              <w:bottom w:val="single" w:sz="8" w:space="0" w:color="auto"/>
              <w:right w:val="nil"/>
            </w:tcBorders>
            <w:shd w:val="clear" w:color="auto" w:fill="auto"/>
            <w:noWrap/>
            <w:vAlign w:val="bottom"/>
            <w:hideMark/>
          </w:tcPr>
          <w:p w:rsidR="00386517" w:rsidRPr="00C25589" w:rsidRDefault="00386517" w:rsidP="00F90712">
            <w:pPr>
              <w:spacing w:line="240" w:lineRule="auto"/>
              <w:jc w:val="right"/>
              <w:rPr>
                <w:rFonts w:ascii="Calibri" w:eastAsia="Times New Roman" w:hAnsi="Calibri" w:cs="Arial"/>
                <w:b/>
                <w:bCs/>
                <w:lang w:eastAsia="sv-SE"/>
              </w:rPr>
            </w:pPr>
            <w:r w:rsidRPr="00C25589">
              <w:rPr>
                <w:rFonts w:ascii="Calibri" w:eastAsia="Times New Roman" w:hAnsi="Calibri" w:cs="Arial"/>
                <w:b/>
                <w:bCs/>
                <w:lang w:eastAsia="sv-SE"/>
              </w:rPr>
              <w:t>1 268</w:t>
            </w:r>
          </w:p>
        </w:tc>
        <w:tc>
          <w:tcPr>
            <w:tcW w:w="1085" w:type="dxa"/>
            <w:tcBorders>
              <w:top w:val="single" w:sz="8" w:space="0" w:color="auto"/>
              <w:left w:val="nil"/>
              <w:bottom w:val="single" w:sz="8" w:space="0" w:color="auto"/>
              <w:right w:val="nil"/>
            </w:tcBorders>
            <w:shd w:val="clear" w:color="auto" w:fill="auto"/>
            <w:noWrap/>
            <w:vAlign w:val="bottom"/>
            <w:hideMark/>
          </w:tcPr>
          <w:p w:rsidR="00386517" w:rsidRPr="00C25589" w:rsidRDefault="00386517" w:rsidP="00F90712">
            <w:pPr>
              <w:spacing w:line="240" w:lineRule="auto"/>
              <w:jc w:val="right"/>
              <w:rPr>
                <w:rFonts w:ascii="Calibri" w:eastAsia="Times New Roman" w:hAnsi="Calibri" w:cs="Arial"/>
                <w:b/>
                <w:bCs/>
                <w:lang w:eastAsia="sv-SE"/>
              </w:rPr>
            </w:pPr>
            <w:r w:rsidRPr="00C25589">
              <w:rPr>
                <w:rFonts w:ascii="Calibri" w:eastAsia="Times New Roman" w:hAnsi="Calibri" w:cs="Arial"/>
                <w:b/>
                <w:bCs/>
                <w:lang w:eastAsia="sv-SE"/>
              </w:rPr>
              <w:t>472</w:t>
            </w:r>
          </w:p>
        </w:tc>
        <w:tc>
          <w:tcPr>
            <w:tcW w:w="1187" w:type="dxa"/>
            <w:tcBorders>
              <w:top w:val="single" w:sz="8" w:space="0" w:color="auto"/>
              <w:left w:val="nil"/>
              <w:bottom w:val="single" w:sz="8" w:space="0" w:color="auto"/>
              <w:right w:val="single" w:sz="8" w:space="0" w:color="auto"/>
            </w:tcBorders>
            <w:shd w:val="clear" w:color="auto" w:fill="auto"/>
            <w:noWrap/>
            <w:vAlign w:val="bottom"/>
            <w:hideMark/>
          </w:tcPr>
          <w:p w:rsidR="00386517" w:rsidRPr="00C25589" w:rsidRDefault="00386517" w:rsidP="00F90712">
            <w:pPr>
              <w:spacing w:line="240" w:lineRule="auto"/>
              <w:jc w:val="right"/>
              <w:rPr>
                <w:rFonts w:ascii="Calibri" w:eastAsia="Times New Roman" w:hAnsi="Calibri" w:cs="Arial"/>
                <w:b/>
                <w:bCs/>
                <w:lang w:eastAsia="sv-SE"/>
              </w:rPr>
            </w:pPr>
            <w:proofErr w:type="gramStart"/>
            <w:r w:rsidRPr="00C25589">
              <w:rPr>
                <w:rFonts w:ascii="Calibri" w:eastAsia="Times New Roman" w:hAnsi="Calibri" w:cs="Arial"/>
                <w:b/>
                <w:bCs/>
                <w:lang w:eastAsia="sv-SE"/>
              </w:rPr>
              <w:t>63%</w:t>
            </w:r>
            <w:proofErr w:type="gramEnd"/>
          </w:p>
        </w:tc>
      </w:tr>
      <w:tr w:rsidR="00386517" w:rsidRPr="00C25589" w:rsidTr="00F90712">
        <w:trPr>
          <w:trHeight w:val="291"/>
        </w:trPr>
        <w:tc>
          <w:tcPr>
            <w:tcW w:w="3359" w:type="dxa"/>
            <w:tcBorders>
              <w:top w:val="nil"/>
              <w:left w:val="single" w:sz="8" w:space="0" w:color="auto"/>
              <w:bottom w:val="nil"/>
              <w:right w:val="nil"/>
            </w:tcBorders>
            <w:shd w:val="clear" w:color="auto" w:fill="auto"/>
            <w:noWrap/>
            <w:vAlign w:val="bottom"/>
            <w:hideMark/>
          </w:tcPr>
          <w:p w:rsidR="00386517" w:rsidRPr="00C25589" w:rsidRDefault="00386517" w:rsidP="00F90712">
            <w:pPr>
              <w:spacing w:line="240" w:lineRule="auto"/>
              <w:rPr>
                <w:rFonts w:ascii="Calibri" w:eastAsia="Times New Roman" w:hAnsi="Calibri" w:cs="Arial"/>
                <w:lang w:eastAsia="sv-SE"/>
              </w:rPr>
            </w:pPr>
            <w:r w:rsidRPr="00C25589">
              <w:rPr>
                <w:rFonts w:ascii="Calibri" w:eastAsia="Times New Roman" w:hAnsi="Calibri" w:cs="Arial"/>
                <w:lang w:eastAsia="sv-SE"/>
              </w:rPr>
              <w:t>Infrastruktur ordinarie</w:t>
            </w:r>
          </w:p>
        </w:tc>
        <w:tc>
          <w:tcPr>
            <w:tcW w:w="827"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w:eastAsia="Times New Roman" w:hAnsi="Calibri" w:cs="Arial"/>
                <w:lang w:eastAsia="sv-SE"/>
              </w:rPr>
            </w:pPr>
            <w:r w:rsidRPr="00C25589">
              <w:rPr>
                <w:rFonts w:ascii="Calibri" w:eastAsia="Times New Roman" w:hAnsi="Calibri" w:cs="Arial"/>
                <w:lang w:eastAsia="sv-SE"/>
              </w:rPr>
              <w:t>85</w:t>
            </w:r>
          </w:p>
        </w:tc>
        <w:tc>
          <w:tcPr>
            <w:tcW w:w="930"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w:eastAsia="Times New Roman" w:hAnsi="Calibri" w:cs="Arial"/>
                <w:lang w:eastAsia="sv-SE"/>
              </w:rPr>
            </w:pPr>
            <w:r w:rsidRPr="00C25589">
              <w:rPr>
                <w:rFonts w:ascii="Calibri" w:eastAsia="Times New Roman" w:hAnsi="Calibri" w:cs="Arial"/>
                <w:lang w:eastAsia="sv-SE"/>
              </w:rPr>
              <w:t>91</w:t>
            </w:r>
          </w:p>
        </w:tc>
        <w:tc>
          <w:tcPr>
            <w:tcW w:w="1085"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w:eastAsia="Times New Roman" w:hAnsi="Calibri" w:cs="Arial"/>
                <w:lang w:eastAsia="sv-SE"/>
              </w:rPr>
            </w:pPr>
            <w:r w:rsidRPr="00C25589">
              <w:rPr>
                <w:rFonts w:ascii="Calibri" w:eastAsia="Times New Roman" w:hAnsi="Calibri" w:cs="Arial"/>
                <w:lang w:eastAsia="sv-SE"/>
              </w:rPr>
              <w:t>6</w:t>
            </w:r>
          </w:p>
        </w:tc>
        <w:tc>
          <w:tcPr>
            <w:tcW w:w="1187" w:type="dxa"/>
            <w:tcBorders>
              <w:top w:val="nil"/>
              <w:left w:val="nil"/>
              <w:bottom w:val="nil"/>
              <w:right w:val="single" w:sz="8" w:space="0" w:color="auto"/>
            </w:tcBorders>
            <w:shd w:val="clear" w:color="auto" w:fill="auto"/>
            <w:noWrap/>
            <w:vAlign w:val="bottom"/>
            <w:hideMark/>
          </w:tcPr>
          <w:p w:rsidR="00386517" w:rsidRPr="00C25589" w:rsidRDefault="00386517" w:rsidP="00F90712">
            <w:pPr>
              <w:spacing w:line="240" w:lineRule="auto"/>
              <w:jc w:val="right"/>
              <w:rPr>
                <w:rFonts w:ascii="Calibri" w:eastAsia="Times New Roman" w:hAnsi="Calibri" w:cs="Arial"/>
                <w:sz w:val="20"/>
                <w:szCs w:val="20"/>
                <w:lang w:eastAsia="sv-SE"/>
              </w:rPr>
            </w:pPr>
            <w:proofErr w:type="gramStart"/>
            <w:r w:rsidRPr="00C25589">
              <w:rPr>
                <w:rFonts w:ascii="Calibri" w:eastAsia="Times New Roman" w:hAnsi="Calibri" w:cs="Arial"/>
                <w:sz w:val="20"/>
                <w:szCs w:val="20"/>
                <w:lang w:eastAsia="sv-SE"/>
              </w:rPr>
              <w:t>94%</w:t>
            </w:r>
            <w:proofErr w:type="gramEnd"/>
          </w:p>
        </w:tc>
      </w:tr>
      <w:tr w:rsidR="00386517" w:rsidRPr="00C25589" w:rsidTr="00F90712">
        <w:trPr>
          <w:trHeight w:val="303"/>
        </w:trPr>
        <w:tc>
          <w:tcPr>
            <w:tcW w:w="3359" w:type="dxa"/>
            <w:tcBorders>
              <w:top w:val="nil"/>
              <w:left w:val="single" w:sz="8" w:space="0" w:color="auto"/>
              <w:bottom w:val="single" w:sz="8" w:space="0" w:color="auto"/>
              <w:right w:val="nil"/>
            </w:tcBorders>
            <w:shd w:val="clear" w:color="auto" w:fill="auto"/>
            <w:noWrap/>
            <w:vAlign w:val="bottom"/>
            <w:hideMark/>
          </w:tcPr>
          <w:p w:rsidR="00386517" w:rsidRPr="00C25589" w:rsidRDefault="00386517" w:rsidP="00F90712">
            <w:pPr>
              <w:spacing w:line="240" w:lineRule="auto"/>
              <w:rPr>
                <w:rFonts w:ascii="Calibri" w:eastAsia="Times New Roman" w:hAnsi="Calibri" w:cs="Arial"/>
                <w:lang w:eastAsia="sv-SE"/>
              </w:rPr>
            </w:pPr>
            <w:r w:rsidRPr="00C25589">
              <w:rPr>
                <w:rFonts w:ascii="Calibri" w:eastAsia="Times New Roman" w:hAnsi="Calibri" w:cs="Arial"/>
                <w:lang w:eastAsia="sv-SE"/>
              </w:rPr>
              <w:t>Infrastruktur strategisk</w:t>
            </w:r>
          </w:p>
        </w:tc>
        <w:tc>
          <w:tcPr>
            <w:tcW w:w="827" w:type="dxa"/>
            <w:tcBorders>
              <w:top w:val="nil"/>
              <w:left w:val="nil"/>
              <w:bottom w:val="single" w:sz="8" w:space="0" w:color="auto"/>
              <w:right w:val="nil"/>
            </w:tcBorders>
            <w:shd w:val="clear" w:color="auto" w:fill="auto"/>
            <w:vAlign w:val="bottom"/>
            <w:hideMark/>
          </w:tcPr>
          <w:p w:rsidR="00386517" w:rsidRPr="00C25589" w:rsidRDefault="00386517" w:rsidP="00F90712">
            <w:pPr>
              <w:spacing w:line="240" w:lineRule="auto"/>
              <w:jc w:val="right"/>
              <w:rPr>
                <w:rFonts w:ascii="Calibri" w:eastAsia="Times New Roman" w:hAnsi="Calibri" w:cs="Arial"/>
                <w:lang w:eastAsia="sv-SE"/>
              </w:rPr>
            </w:pPr>
            <w:r w:rsidRPr="00C25589">
              <w:rPr>
                <w:rFonts w:ascii="Calibri" w:eastAsia="Times New Roman" w:hAnsi="Calibri" w:cs="Arial"/>
                <w:lang w:eastAsia="sv-SE"/>
              </w:rPr>
              <w:t>78</w:t>
            </w:r>
          </w:p>
        </w:tc>
        <w:tc>
          <w:tcPr>
            <w:tcW w:w="930" w:type="dxa"/>
            <w:tcBorders>
              <w:top w:val="nil"/>
              <w:left w:val="nil"/>
              <w:bottom w:val="single" w:sz="8" w:space="0" w:color="auto"/>
              <w:right w:val="nil"/>
            </w:tcBorders>
            <w:shd w:val="clear" w:color="auto" w:fill="auto"/>
            <w:vAlign w:val="bottom"/>
            <w:hideMark/>
          </w:tcPr>
          <w:p w:rsidR="00386517" w:rsidRPr="00C25589" w:rsidRDefault="00386517" w:rsidP="00F90712">
            <w:pPr>
              <w:spacing w:line="240" w:lineRule="auto"/>
              <w:jc w:val="right"/>
              <w:rPr>
                <w:rFonts w:ascii="Calibri" w:eastAsia="Times New Roman" w:hAnsi="Calibri" w:cs="Arial"/>
                <w:lang w:eastAsia="sv-SE"/>
              </w:rPr>
            </w:pPr>
            <w:r w:rsidRPr="00C25589">
              <w:rPr>
                <w:rFonts w:ascii="Calibri" w:eastAsia="Times New Roman" w:hAnsi="Calibri" w:cs="Arial"/>
                <w:lang w:eastAsia="sv-SE"/>
              </w:rPr>
              <w:t>147</w:t>
            </w:r>
          </w:p>
        </w:tc>
        <w:tc>
          <w:tcPr>
            <w:tcW w:w="1085" w:type="dxa"/>
            <w:tcBorders>
              <w:top w:val="nil"/>
              <w:left w:val="nil"/>
              <w:bottom w:val="nil"/>
              <w:right w:val="nil"/>
            </w:tcBorders>
            <w:shd w:val="clear" w:color="auto" w:fill="auto"/>
            <w:vAlign w:val="bottom"/>
            <w:hideMark/>
          </w:tcPr>
          <w:p w:rsidR="00386517" w:rsidRPr="00C25589" w:rsidRDefault="00386517" w:rsidP="00F90712">
            <w:pPr>
              <w:spacing w:line="240" w:lineRule="auto"/>
              <w:jc w:val="right"/>
              <w:rPr>
                <w:rFonts w:ascii="Calibri" w:eastAsia="Times New Roman" w:hAnsi="Calibri" w:cs="Arial"/>
                <w:lang w:eastAsia="sv-SE"/>
              </w:rPr>
            </w:pPr>
            <w:r w:rsidRPr="00C25589">
              <w:rPr>
                <w:rFonts w:ascii="Calibri" w:eastAsia="Times New Roman" w:hAnsi="Calibri" w:cs="Arial"/>
                <w:lang w:eastAsia="sv-SE"/>
              </w:rPr>
              <w:t>69</w:t>
            </w:r>
          </w:p>
        </w:tc>
        <w:tc>
          <w:tcPr>
            <w:tcW w:w="1187" w:type="dxa"/>
            <w:tcBorders>
              <w:top w:val="nil"/>
              <w:left w:val="nil"/>
              <w:bottom w:val="nil"/>
              <w:right w:val="single" w:sz="8" w:space="0" w:color="auto"/>
            </w:tcBorders>
            <w:shd w:val="clear" w:color="auto" w:fill="auto"/>
            <w:noWrap/>
            <w:vAlign w:val="bottom"/>
            <w:hideMark/>
          </w:tcPr>
          <w:p w:rsidR="00386517" w:rsidRPr="00C25589" w:rsidRDefault="00386517" w:rsidP="00F90712">
            <w:pPr>
              <w:spacing w:line="240" w:lineRule="auto"/>
              <w:jc w:val="right"/>
              <w:rPr>
                <w:rFonts w:ascii="Calibri" w:eastAsia="Times New Roman" w:hAnsi="Calibri" w:cs="Arial"/>
                <w:sz w:val="20"/>
                <w:szCs w:val="20"/>
                <w:lang w:eastAsia="sv-SE"/>
              </w:rPr>
            </w:pPr>
            <w:proofErr w:type="gramStart"/>
            <w:r w:rsidRPr="00C25589">
              <w:rPr>
                <w:rFonts w:ascii="Calibri" w:eastAsia="Times New Roman" w:hAnsi="Calibri" w:cs="Arial"/>
                <w:sz w:val="20"/>
                <w:szCs w:val="20"/>
                <w:lang w:eastAsia="sv-SE"/>
              </w:rPr>
              <w:t>53%</w:t>
            </w:r>
            <w:proofErr w:type="gramEnd"/>
          </w:p>
        </w:tc>
      </w:tr>
      <w:tr w:rsidR="00386517" w:rsidRPr="00C25589" w:rsidTr="00F90712">
        <w:trPr>
          <w:trHeight w:val="303"/>
        </w:trPr>
        <w:tc>
          <w:tcPr>
            <w:tcW w:w="3359" w:type="dxa"/>
            <w:tcBorders>
              <w:top w:val="nil"/>
              <w:left w:val="single" w:sz="8" w:space="0" w:color="auto"/>
              <w:bottom w:val="single" w:sz="8" w:space="0" w:color="auto"/>
              <w:right w:val="nil"/>
            </w:tcBorders>
            <w:shd w:val="clear" w:color="auto" w:fill="auto"/>
            <w:noWrap/>
            <w:vAlign w:val="bottom"/>
            <w:hideMark/>
          </w:tcPr>
          <w:p w:rsidR="00386517" w:rsidRPr="00C25589" w:rsidRDefault="00386517" w:rsidP="00F90712">
            <w:pPr>
              <w:spacing w:line="240" w:lineRule="auto"/>
              <w:rPr>
                <w:rFonts w:ascii="Calibri" w:eastAsia="Times New Roman" w:hAnsi="Calibri" w:cs="Arial"/>
                <w:b/>
                <w:bCs/>
                <w:lang w:eastAsia="sv-SE"/>
              </w:rPr>
            </w:pPr>
            <w:r w:rsidRPr="00C25589">
              <w:rPr>
                <w:rFonts w:ascii="Calibri" w:eastAsia="Times New Roman" w:hAnsi="Calibri" w:cs="Arial"/>
                <w:b/>
                <w:bCs/>
                <w:lang w:eastAsia="sv-SE"/>
              </w:rPr>
              <w:t>Tekniska nämnden totalt</w:t>
            </w:r>
          </w:p>
        </w:tc>
        <w:tc>
          <w:tcPr>
            <w:tcW w:w="827" w:type="dxa"/>
            <w:tcBorders>
              <w:top w:val="nil"/>
              <w:left w:val="nil"/>
              <w:bottom w:val="single" w:sz="8" w:space="0" w:color="auto"/>
              <w:right w:val="nil"/>
            </w:tcBorders>
            <w:shd w:val="clear" w:color="auto" w:fill="auto"/>
            <w:noWrap/>
            <w:vAlign w:val="bottom"/>
            <w:hideMark/>
          </w:tcPr>
          <w:p w:rsidR="00386517" w:rsidRPr="00C25589" w:rsidRDefault="00386517" w:rsidP="00F90712">
            <w:pPr>
              <w:spacing w:line="240" w:lineRule="auto"/>
              <w:jc w:val="right"/>
              <w:rPr>
                <w:rFonts w:ascii="Calibri" w:eastAsia="Times New Roman" w:hAnsi="Calibri" w:cs="Arial"/>
                <w:b/>
                <w:bCs/>
                <w:lang w:eastAsia="sv-SE"/>
              </w:rPr>
            </w:pPr>
            <w:r w:rsidRPr="00C25589">
              <w:rPr>
                <w:rFonts w:ascii="Calibri" w:eastAsia="Times New Roman" w:hAnsi="Calibri" w:cs="Arial"/>
                <w:b/>
                <w:bCs/>
                <w:lang w:eastAsia="sv-SE"/>
              </w:rPr>
              <w:t>163</w:t>
            </w:r>
          </w:p>
        </w:tc>
        <w:tc>
          <w:tcPr>
            <w:tcW w:w="930" w:type="dxa"/>
            <w:tcBorders>
              <w:top w:val="nil"/>
              <w:left w:val="nil"/>
              <w:bottom w:val="single" w:sz="8" w:space="0" w:color="auto"/>
              <w:right w:val="nil"/>
            </w:tcBorders>
            <w:shd w:val="clear" w:color="auto" w:fill="auto"/>
            <w:noWrap/>
            <w:vAlign w:val="bottom"/>
            <w:hideMark/>
          </w:tcPr>
          <w:p w:rsidR="00386517" w:rsidRPr="00C25589" w:rsidRDefault="00386517" w:rsidP="00F90712">
            <w:pPr>
              <w:spacing w:line="240" w:lineRule="auto"/>
              <w:jc w:val="right"/>
              <w:rPr>
                <w:rFonts w:ascii="Calibri" w:eastAsia="Times New Roman" w:hAnsi="Calibri" w:cs="Arial"/>
                <w:b/>
                <w:bCs/>
                <w:lang w:eastAsia="sv-SE"/>
              </w:rPr>
            </w:pPr>
            <w:r w:rsidRPr="00C25589">
              <w:rPr>
                <w:rFonts w:ascii="Calibri" w:eastAsia="Times New Roman" w:hAnsi="Calibri" w:cs="Arial"/>
                <w:b/>
                <w:bCs/>
                <w:lang w:eastAsia="sv-SE"/>
              </w:rPr>
              <w:t>238</w:t>
            </w:r>
          </w:p>
        </w:tc>
        <w:tc>
          <w:tcPr>
            <w:tcW w:w="1085" w:type="dxa"/>
            <w:tcBorders>
              <w:top w:val="single" w:sz="8" w:space="0" w:color="auto"/>
              <w:left w:val="nil"/>
              <w:bottom w:val="single" w:sz="8" w:space="0" w:color="auto"/>
              <w:right w:val="nil"/>
            </w:tcBorders>
            <w:shd w:val="clear" w:color="auto" w:fill="auto"/>
            <w:noWrap/>
            <w:vAlign w:val="bottom"/>
            <w:hideMark/>
          </w:tcPr>
          <w:p w:rsidR="00386517" w:rsidRPr="00C25589" w:rsidRDefault="00386517" w:rsidP="00F90712">
            <w:pPr>
              <w:spacing w:line="240" w:lineRule="auto"/>
              <w:jc w:val="right"/>
              <w:rPr>
                <w:rFonts w:ascii="Calibri" w:eastAsia="Times New Roman" w:hAnsi="Calibri" w:cs="Arial"/>
                <w:b/>
                <w:bCs/>
                <w:lang w:eastAsia="sv-SE"/>
              </w:rPr>
            </w:pPr>
            <w:r w:rsidRPr="00C25589">
              <w:rPr>
                <w:rFonts w:ascii="Calibri" w:eastAsia="Times New Roman" w:hAnsi="Calibri" w:cs="Arial"/>
                <w:b/>
                <w:bCs/>
                <w:lang w:eastAsia="sv-SE"/>
              </w:rPr>
              <w:t>75</w:t>
            </w:r>
          </w:p>
        </w:tc>
        <w:tc>
          <w:tcPr>
            <w:tcW w:w="1187" w:type="dxa"/>
            <w:tcBorders>
              <w:top w:val="single" w:sz="8" w:space="0" w:color="auto"/>
              <w:left w:val="nil"/>
              <w:bottom w:val="single" w:sz="8" w:space="0" w:color="auto"/>
              <w:right w:val="single" w:sz="8" w:space="0" w:color="auto"/>
            </w:tcBorders>
            <w:shd w:val="clear" w:color="auto" w:fill="auto"/>
            <w:noWrap/>
            <w:vAlign w:val="bottom"/>
            <w:hideMark/>
          </w:tcPr>
          <w:p w:rsidR="00386517" w:rsidRPr="00C25589" w:rsidRDefault="00386517" w:rsidP="00F90712">
            <w:pPr>
              <w:spacing w:line="240" w:lineRule="auto"/>
              <w:jc w:val="right"/>
              <w:rPr>
                <w:rFonts w:ascii="Calibri" w:eastAsia="Times New Roman" w:hAnsi="Calibri" w:cs="Arial"/>
                <w:b/>
                <w:bCs/>
                <w:lang w:eastAsia="sv-SE"/>
              </w:rPr>
            </w:pPr>
            <w:proofErr w:type="gramStart"/>
            <w:r w:rsidRPr="00C25589">
              <w:rPr>
                <w:rFonts w:ascii="Calibri" w:eastAsia="Times New Roman" w:hAnsi="Calibri" w:cs="Arial"/>
                <w:b/>
                <w:bCs/>
                <w:lang w:eastAsia="sv-SE"/>
              </w:rPr>
              <w:t>69%</w:t>
            </w:r>
            <w:proofErr w:type="gramEnd"/>
          </w:p>
        </w:tc>
      </w:tr>
      <w:tr w:rsidR="00386517" w:rsidRPr="00C25589" w:rsidTr="00F90712">
        <w:trPr>
          <w:trHeight w:val="303"/>
        </w:trPr>
        <w:tc>
          <w:tcPr>
            <w:tcW w:w="3359" w:type="dxa"/>
            <w:tcBorders>
              <w:top w:val="nil"/>
              <w:left w:val="single" w:sz="8" w:space="0" w:color="auto"/>
              <w:bottom w:val="single" w:sz="8" w:space="0" w:color="auto"/>
              <w:right w:val="nil"/>
            </w:tcBorders>
            <w:shd w:val="clear" w:color="auto" w:fill="auto"/>
            <w:noWrap/>
            <w:vAlign w:val="bottom"/>
            <w:hideMark/>
          </w:tcPr>
          <w:p w:rsidR="00386517" w:rsidRPr="00C25589" w:rsidRDefault="00386517" w:rsidP="00F90712">
            <w:pPr>
              <w:spacing w:line="240" w:lineRule="auto"/>
              <w:rPr>
                <w:rFonts w:ascii="Calibri" w:eastAsia="Times New Roman" w:hAnsi="Calibri" w:cs="Arial"/>
                <w:b/>
                <w:bCs/>
                <w:lang w:eastAsia="sv-SE"/>
              </w:rPr>
            </w:pPr>
            <w:proofErr w:type="spellStart"/>
            <w:r w:rsidRPr="00C25589">
              <w:rPr>
                <w:rFonts w:ascii="Calibri" w:eastAsia="Times New Roman" w:hAnsi="Calibri" w:cs="Arial"/>
                <w:b/>
                <w:bCs/>
                <w:lang w:eastAsia="sv-SE"/>
              </w:rPr>
              <w:t>Mälarporten</w:t>
            </w:r>
            <w:proofErr w:type="spellEnd"/>
            <w:r w:rsidRPr="00C25589">
              <w:rPr>
                <w:rFonts w:ascii="Calibri" w:eastAsia="Times New Roman" w:hAnsi="Calibri" w:cs="Arial"/>
                <w:b/>
                <w:bCs/>
                <w:lang w:eastAsia="sv-SE"/>
              </w:rPr>
              <w:t xml:space="preserve"> summa</w:t>
            </w:r>
          </w:p>
        </w:tc>
        <w:tc>
          <w:tcPr>
            <w:tcW w:w="827" w:type="dxa"/>
            <w:tcBorders>
              <w:top w:val="nil"/>
              <w:left w:val="nil"/>
              <w:bottom w:val="single" w:sz="8" w:space="0" w:color="auto"/>
              <w:right w:val="nil"/>
            </w:tcBorders>
            <w:shd w:val="clear" w:color="auto" w:fill="auto"/>
            <w:noWrap/>
            <w:vAlign w:val="bottom"/>
            <w:hideMark/>
          </w:tcPr>
          <w:p w:rsidR="00386517" w:rsidRPr="00C25589" w:rsidRDefault="00386517" w:rsidP="00F90712">
            <w:pPr>
              <w:spacing w:line="240" w:lineRule="auto"/>
              <w:jc w:val="right"/>
              <w:rPr>
                <w:rFonts w:ascii="Calibri" w:eastAsia="Times New Roman" w:hAnsi="Calibri" w:cs="Arial"/>
                <w:b/>
                <w:bCs/>
                <w:lang w:eastAsia="sv-SE"/>
              </w:rPr>
            </w:pPr>
            <w:r w:rsidRPr="00C25589">
              <w:rPr>
                <w:rFonts w:ascii="Calibri" w:eastAsia="Times New Roman" w:hAnsi="Calibri" w:cs="Arial"/>
                <w:b/>
                <w:bCs/>
                <w:lang w:eastAsia="sv-SE"/>
              </w:rPr>
              <w:t>0</w:t>
            </w:r>
          </w:p>
        </w:tc>
        <w:tc>
          <w:tcPr>
            <w:tcW w:w="930" w:type="dxa"/>
            <w:tcBorders>
              <w:top w:val="nil"/>
              <w:left w:val="nil"/>
              <w:bottom w:val="single" w:sz="8" w:space="0" w:color="auto"/>
              <w:right w:val="nil"/>
            </w:tcBorders>
            <w:shd w:val="clear" w:color="auto" w:fill="auto"/>
            <w:noWrap/>
            <w:vAlign w:val="bottom"/>
            <w:hideMark/>
          </w:tcPr>
          <w:p w:rsidR="00386517" w:rsidRPr="00C25589" w:rsidRDefault="00386517" w:rsidP="00F90712">
            <w:pPr>
              <w:spacing w:line="240" w:lineRule="auto"/>
              <w:jc w:val="right"/>
              <w:rPr>
                <w:rFonts w:ascii="Calibri" w:eastAsia="Times New Roman" w:hAnsi="Calibri" w:cs="Arial"/>
                <w:b/>
                <w:bCs/>
                <w:lang w:eastAsia="sv-SE"/>
              </w:rPr>
            </w:pPr>
            <w:r w:rsidRPr="00C25589">
              <w:rPr>
                <w:rFonts w:ascii="Calibri" w:eastAsia="Times New Roman" w:hAnsi="Calibri" w:cs="Arial"/>
                <w:b/>
                <w:bCs/>
                <w:lang w:eastAsia="sv-SE"/>
              </w:rPr>
              <w:t>13</w:t>
            </w:r>
          </w:p>
        </w:tc>
        <w:tc>
          <w:tcPr>
            <w:tcW w:w="1085" w:type="dxa"/>
            <w:tcBorders>
              <w:top w:val="nil"/>
              <w:left w:val="nil"/>
              <w:bottom w:val="single" w:sz="8" w:space="0" w:color="auto"/>
              <w:right w:val="nil"/>
            </w:tcBorders>
            <w:shd w:val="clear" w:color="auto" w:fill="auto"/>
            <w:noWrap/>
            <w:vAlign w:val="bottom"/>
            <w:hideMark/>
          </w:tcPr>
          <w:p w:rsidR="00386517" w:rsidRPr="00C25589" w:rsidRDefault="00386517" w:rsidP="00F90712">
            <w:pPr>
              <w:spacing w:line="240" w:lineRule="auto"/>
              <w:jc w:val="right"/>
              <w:rPr>
                <w:rFonts w:ascii="Calibri" w:eastAsia="Times New Roman" w:hAnsi="Calibri" w:cs="Arial"/>
                <w:b/>
                <w:bCs/>
                <w:lang w:eastAsia="sv-SE"/>
              </w:rPr>
            </w:pPr>
            <w:r w:rsidRPr="00C25589">
              <w:rPr>
                <w:rFonts w:ascii="Calibri" w:eastAsia="Times New Roman" w:hAnsi="Calibri" w:cs="Arial"/>
                <w:b/>
                <w:bCs/>
                <w:lang w:eastAsia="sv-SE"/>
              </w:rPr>
              <w:t>13</w:t>
            </w:r>
          </w:p>
        </w:tc>
        <w:tc>
          <w:tcPr>
            <w:tcW w:w="1187" w:type="dxa"/>
            <w:tcBorders>
              <w:top w:val="nil"/>
              <w:left w:val="nil"/>
              <w:bottom w:val="nil"/>
              <w:right w:val="single" w:sz="8" w:space="0" w:color="auto"/>
            </w:tcBorders>
            <w:shd w:val="clear" w:color="auto" w:fill="auto"/>
            <w:noWrap/>
            <w:vAlign w:val="bottom"/>
            <w:hideMark/>
          </w:tcPr>
          <w:p w:rsidR="00386517" w:rsidRPr="00C25589" w:rsidRDefault="00386517" w:rsidP="00F90712">
            <w:pPr>
              <w:spacing w:line="240" w:lineRule="auto"/>
              <w:jc w:val="right"/>
              <w:rPr>
                <w:rFonts w:ascii="Calibri" w:eastAsia="Times New Roman" w:hAnsi="Calibri" w:cs="Arial"/>
                <w:b/>
                <w:bCs/>
                <w:sz w:val="20"/>
                <w:szCs w:val="20"/>
                <w:lang w:eastAsia="sv-SE"/>
              </w:rPr>
            </w:pPr>
            <w:proofErr w:type="gramStart"/>
            <w:r w:rsidRPr="00C25589">
              <w:rPr>
                <w:rFonts w:ascii="Calibri" w:eastAsia="Times New Roman" w:hAnsi="Calibri" w:cs="Arial"/>
                <w:b/>
                <w:bCs/>
                <w:sz w:val="20"/>
                <w:szCs w:val="20"/>
                <w:lang w:eastAsia="sv-SE"/>
              </w:rPr>
              <w:t>0%</w:t>
            </w:r>
            <w:proofErr w:type="gramEnd"/>
          </w:p>
        </w:tc>
      </w:tr>
      <w:tr w:rsidR="00386517" w:rsidRPr="00C25589" w:rsidTr="00F90712">
        <w:trPr>
          <w:trHeight w:val="303"/>
        </w:trPr>
        <w:tc>
          <w:tcPr>
            <w:tcW w:w="3359" w:type="dxa"/>
            <w:tcBorders>
              <w:top w:val="single" w:sz="8" w:space="0" w:color="auto"/>
              <w:left w:val="single" w:sz="8" w:space="0" w:color="auto"/>
              <w:bottom w:val="single" w:sz="8" w:space="0" w:color="auto"/>
              <w:right w:val="nil"/>
            </w:tcBorders>
            <w:shd w:val="clear" w:color="auto" w:fill="auto"/>
            <w:noWrap/>
            <w:vAlign w:val="bottom"/>
            <w:hideMark/>
          </w:tcPr>
          <w:p w:rsidR="00386517" w:rsidRPr="00C25589" w:rsidRDefault="00386517" w:rsidP="00F90712">
            <w:pPr>
              <w:spacing w:line="240" w:lineRule="auto"/>
              <w:rPr>
                <w:rFonts w:ascii="Calibri" w:eastAsia="Times New Roman" w:hAnsi="Calibri" w:cs="Arial"/>
                <w:b/>
                <w:bCs/>
                <w:lang w:eastAsia="sv-SE"/>
              </w:rPr>
            </w:pPr>
            <w:r w:rsidRPr="00C25589">
              <w:rPr>
                <w:rFonts w:ascii="Calibri" w:eastAsia="Times New Roman" w:hAnsi="Calibri" w:cs="Arial"/>
                <w:b/>
                <w:bCs/>
                <w:lang w:eastAsia="sv-SE"/>
              </w:rPr>
              <w:t xml:space="preserve">Övriga nämnder </w:t>
            </w:r>
          </w:p>
        </w:tc>
        <w:tc>
          <w:tcPr>
            <w:tcW w:w="827" w:type="dxa"/>
            <w:tcBorders>
              <w:top w:val="single" w:sz="8" w:space="0" w:color="auto"/>
              <w:left w:val="nil"/>
              <w:bottom w:val="single" w:sz="8" w:space="0" w:color="auto"/>
              <w:right w:val="nil"/>
            </w:tcBorders>
            <w:shd w:val="clear" w:color="auto" w:fill="auto"/>
            <w:noWrap/>
            <w:vAlign w:val="bottom"/>
            <w:hideMark/>
          </w:tcPr>
          <w:p w:rsidR="00386517" w:rsidRPr="00C25589" w:rsidRDefault="00386517" w:rsidP="00F90712">
            <w:pPr>
              <w:spacing w:line="240" w:lineRule="auto"/>
              <w:jc w:val="right"/>
              <w:rPr>
                <w:rFonts w:ascii="Calibri" w:eastAsia="Times New Roman" w:hAnsi="Calibri" w:cs="Arial"/>
                <w:b/>
                <w:bCs/>
                <w:lang w:eastAsia="sv-SE"/>
              </w:rPr>
            </w:pPr>
            <w:r w:rsidRPr="00C25589">
              <w:rPr>
                <w:rFonts w:ascii="Calibri" w:eastAsia="Times New Roman" w:hAnsi="Calibri" w:cs="Arial"/>
                <w:b/>
                <w:bCs/>
                <w:lang w:eastAsia="sv-SE"/>
              </w:rPr>
              <w:t>98</w:t>
            </w:r>
          </w:p>
        </w:tc>
        <w:tc>
          <w:tcPr>
            <w:tcW w:w="930" w:type="dxa"/>
            <w:tcBorders>
              <w:top w:val="single" w:sz="8" w:space="0" w:color="auto"/>
              <w:left w:val="nil"/>
              <w:bottom w:val="single" w:sz="8" w:space="0" w:color="auto"/>
              <w:right w:val="nil"/>
            </w:tcBorders>
            <w:shd w:val="clear" w:color="auto" w:fill="auto"/>
            <w:noWrap/>
            <w:vAlign w:val="bottom"/>
            <w:hideMark/>
          </w:tcPr>
          <w:p w:rsidR="00386517" w:rsidRPr="00C25589" w:rsidRDefault="00386517" w:rsidP="00F90712">
            <w:pPr>
              <w:spacing w:line="240" w:lineRule="auto"/>
              <w:jc w:val="right"/>
              <w:rPr>
                <w:rFonts w:ascii="Calibri" w:eastAsia="Times New Roman" w:hAnsi="Calibri" w:cs="Arial"/>
                <w:b/>
                <w:bCs/>
                <w:lang w:eastAsia="sv-SE"/>
              </w:rPr>
            </w:pPr>
            <w:r w:rsidRPr="00C25589">
              <w:rPr>
                <w:rFonts w:ascii="Calibri" w:eastAsia="Times New Roman" w:hAnsi="Calibri" w:cs="Arial"/>
                <w:b/>
                <w:bCs/>
                <w:lang w:eastAsia="sv-SE"/>
              </w:rPr>
              <w:t>127</w:t>
            </w:r>
          </w:p>
        </w:tc>
        <w:tc>
          <w:tcPr>
            <w:tcW w:w="1085" w:type="dxa"/>
            <w:tcBorders>
              <w:top w:val="single" w:sz="8" w:space="0" w:color="auto"/>
              <w:left w:val="nil"/>
              <w:bottom w:val="single" w:sz="8" w:space="0" w:color="auto"/>
              <w:right w:val="nil"/>
            </w:tcBorders>
            <w:shd w:val="clear" w:color="auto" w:fill="auto"/>
            <w:noWrap/>
            <w:vAlign w:val="bottom"/>
            <w:hideMark/>
          </w:tcPr>
          <w:p w:rsidR="00386517" w:rsidRPr="00C25589" w:rsidRDefault="00386517" w:rsidP="00F90712">
            <w:pPr>
              <w:spacing w:line="240" w:lineRule="auto"/>
              <w:jc w:val="right"/>
              <w:rPr>
                <w:rFonts w:ascii="Calibri" w:eastAsia="Times New Roman" w:hAnsi="Calibri" w:cs="Arial"/>
                <w:b/>
                <w:bCs/>
                <w:lang w:eastAsia="sv-SE"/>
              </w:rPr>
            </w:pPr>
            <w:r w:rsidRPr="00C25589">
              <w:rPr>
                <w:rFonts w:ascii="Calibri" w:eastAsia="Times New Roman" w:hAnsi="Calibri" w:cs="Arial"/>
                <w:b/>
                <w:bCs/>
                <w:lang w:eastAsia="sv-SE"/>
              </w:rPr>
              <w:t>29</w:t>
            </w:r>
          </w:p>
        </w:tc>
        <w:tc>
          <w:tcPr>
            <w:tcW w:w="1187" w:type="dxa"/>
            <w:tcBorders>
              <w:top w:val="single" w:sz="8" w:space="0" w:color="auto"/>
              <w:left w:val="nil"/>
              <w:bottom w:val="single" w:sz="8" w:space="0" w:color="auto"/>
              <w:right w:val="single" w:sz="8" w:space="0" w:color="auto"/>
            </w:tcBorders>
            <w:shd w:val="clear" w:color="auto" w:fill="auto"/>
            <w:noWrap/>
            <w:vAlign w:val="bottom"/>
            <w:hideMark/>
          </w:tcPr>
          <w:p w:rsidR="00386517" w:rsidRPr="00C25589" w:rsidRDefault="00386517" w:rsidP="00F90712">
            <w:pPr>
              <w:spacing w:line="240" w:lineRule="auto"/>
              <w:jc w:val="right"/>
              <w:rPr>
                <w:rFonts w:ascii="Calibri" w:eastAsia="Times New Roman" w:hAnsi="Calibri" w:cs="Arial"/>
                <w:b/>
                <w:bCs/>
                <w:lang w:eastAsia="sv-SE"/>
              </w:rPr>
            </w:pPr>
            <w:proofErr w:type="gramStart"/>
            <w:r w:rsidRPr="00C25589">
              <w:rPr>
                <w:rFonts w:ascii="Calibri" w:eastAsia="Times New Roman" w:hAnsi="Calibri" w:cs="Arial"/>
                <w:b/>
                <w:bCs/>
                <w:lang w:eastAsia="sv-SE"/>
              </w:rPr>
              <w:t>77%</w:t>
            </w:r>
            <w:proofErr w:type="gramEnd"/>
          </w:p>
        </w:tc>
      </w:tr>
      <w:tr w:rsidR="00386517" w:rsidRPr="00C25589" w:rsidTr="00F90712">
        <w:trPr>
          <w:trHeight w:val="303"/>
        </w:trPr>
        <w:tc>
          <w:tcPr>
            <w:tcW w:w="3359" w:type="dxa"/>
            <w:tcBorders>
              <w:top w:val="nil"/>
              <w:left w:val="single" w:sz="8" w:space="0" w:color="auto"/>
              <w:bottom w:val="nil"/>
              <w:right w:val="nil"/>
            </w:tcBorders>
            <w:shd w:val="clear" w:color="auto" w:fill="auto"/>
            <w:noWrap/>
            <w:vAlign w:val="bottom"/>
            <w:hideMark/>
          </w:tcPr>
          <w:p w:rsidR="00386517" w:rsidRPr="00C25589" w:rsidRDefault="00386517" w:rsidP="00F90712">
            <w:pPr>
              <w:spacing w:line="240" w:lineRule="auto"/>
              <w:rPr>
                <w:rFonts w:ascii="Calibri" w:eastAsia="Times New Roman" w:hAnsi="Calibri" w:cs="Arial"/>
                <w:color w:val="FF0000"/>
                <w:lang w:eastAsia="sv-SE"/>
              </w:rPr>
            </w:pPr>
            <w:r w:rsidRPr="00C25589">
              <w:rPr>
                <w:rFonts w:ascii="Calibri" w:eastAsia="Times New Roman" w:hAnsi="Calibri" w:cs="Arial"/>
                <w:color w:val="FF0000"/>
                <w:lang w:eastAsia="sv-SE"/>
              </w:rPr>
              <w:t> </w:t>
            </w:r>
          </w:p>
        </w:tc>
        <w:tc>
          <w:tcPr>
            <w:tcW w:w="827" w:type="dxa"/>
            <w:tcBorders>
              <w:top w:val="nil"/>
              <w:left w:val="nil"/>
              <w:bottom w:val="nil"/>
              <w:right w:val="nil"/>
            </w:tcBorders>
            <w:shd w:val="clear" w:color="auto" w:fill="auto"/>
            <w:noWrap/>
            <w:vAlign w:val="bottom"/>
            <w:hideMark/>
          </w:tcPr>
          <w:p w:rsidR="00386517" w:rsidRPr="00C25589" w:rsidRDefault="00386517" w:rsidP="00F90712">
            <w:pPr>
              <w:spacing w:line="240" w:lineRule="auto"/>
              <w:rPr>
                <w:rFonts w:ascii="Calibri" w:eastAsia="Times New Roman" w:hAnsi="Calibri" w:cs="Arial"/>
                <w:color w:val="FF0000"/>
                <w:lang w:eastAsia="sv-SE"/>
              </w:rPr>
            </w:pPr>
          </w:p>
        </w:tc>
        <w:tc>
          <w:tcPr>
            <w:tcW w:w="930" w:type="dxa"/>
            <w:tcBorders>
              <w:top w:val="nil"/>
              <w:left w:val="nil"/>
              <w:bottom w:val="nil"/>
              <w:right w:val="nil"/>
            </w:tcBorders>
            <w:shd w:val="clear" w:color="auto" w:fill="auto"/>
            <w:noWrap/>
            <w:vAlign w:val="bottom"/>
            <w:hideMark/>
          </w:tcPr>
          <w:p w:rsidR="00386517" w:rsidRPr="00C25589" w:rsidRDefault="00386517" w:rsidP="00F90712">
            <w:pPr>
              <w:spacing w:line="240" w:lineRule="auto"/>
              <w:rPr>
                <w:rFonts w:ascii="Calibri" w:eastAsia="Times New Roman" w:hAnsi="Calibri" w:cs="Arial"/>
                <w:color w:val="FF0000"/>
                <w:lang w:eastAsia="sv-SE"/>
              </w:rPr>
            </w:pPr>
          </w:p>
        </w:tc>
        <w:tc>
          <w:tcPr>
            <w:tcW w:w="1085" w:type="dxa"/>
            <w:tcBorders>
              <w:top w:val="nil"/>
              <w:left w:val="nil"/>
              <w:bottom w:val="nil"/>
              <w:right w:val="nil"/>
            </w:tcBorders>
            <w:shd w:val="clear" w:color="auto" w:fill="auto"/>
            <w:noWrap/>
            <w:vAlign w:val="bottom"/>
            <w:hideMark/>
          </w:tcPr>
          <w:p w:rsidR="00386517" w:rsidRPr="00C25589" w:rsidRDefault="00386517" w:rsidP="00F90712">
            <w:pPr>
              <w:spacing w:line="240" w:lineRule="auto"/>
              <w:rPr>
                <w:rFonts w:ascii="Calibri" w:eastAsia="Times New Roman" w:hAnsi="Calibri" w:cs="Arial"/>
                <w:color w:val="FF0000"/>
                <w:lang w:eastAsia="sv-SE"/>
              </w:rPr>
            </w:pPr>
          </w:p>
        </w:tc>
        <w:tc>
          <w:tcPr>
            <w:tcW w:w="1187" w:type="dxa"/>
            <w:tcBorders>
              <w:top w:val="nil"/>
              <w:left w:val="nil"/>
              <w:bottom w:val="nil"/>
              <w:right w:val="single" w:sz="8" w:space="0" w:color="auto"/>
            </w:tcBorders>
            <w:shd w:val="clear" w:color="auto" w:fill="auto"/>
            <w:noWrap/>
            <w:vAlign w:val="bottom"/>
            <w:hideMark/>
          </w:tcPr>
          <w:p w:rsidR="00386517" w:rsidRPr="00C25589" w:rsidRDefault="00386517" w:rsidP="00F90712">
            <w:pPr>
              <w:spacing w:line="240" w:lineRule="auto"/>
              <w:rPr>
                <w:rFonts w:ascii="Calibri" w:eastAsia="Times New Roman" w:hAnsi="Calibri" w:cs="Arial"/>
                <w:sz w:val="20"/>
                <w:szCs w:val="20"/>
                <w:lang w:eastAsia="sv-SE"/>
              </w:rPr>
            </w:pPr>
            <w:r w:rsidRPr="00C25589">
              <w:rPr>
                <w:rFonts w:ascii="Calibri" w:eastAsia="Times New Roman" w:hAnsi="Calibri" w:cs="Arial"/>
                <w:sz w:val="20"/>
                <w:szCs w:val="20"/>
                <w:lang w:eastAsia="sv-SE"/>
              </w:rPr>
              <w:t> </w:t>
            </w:r>
          </w:p>
        </w:tc>
      </w:tr>
      <w:tr w:rsidR="00386517" w:rsidRPr="00C25589" w:rsidTr="00F90712">
        <w:trPr>
          <w:trHeight w:val="303"/>
        </w:trPr>
        <w:tc>
          <w:tcPr>
            <w:tcW w:w="3359" w:type="dxa"/>
            <w:tcBorders>
              <w:top w:val="single" w:sz="8" w:space="0" w:color="auto"/>
              <w:left w:val="single" w:sz="8" w:space="0" w:color="auto"/>
              <w:bottom w:val="single" w:sz="8" w:space="0" w:color="auto"/>
              <w:right w:val="nil"/>
            </w:tcBorders>
            <w:shd w:val="clear" w:color="auto" w:fill="auto"/>
            <w:noWrap/>
            <w:vAlign w:val="bottom"/>
            <w:hideMark/>
          </w:tcPr>
          <w:p w:rsidR="00386517" w:rsidRPr="00C25589" w:rsidRDefault="00386517" w:rsidP="00F90712">
            <w:pPr>
              <w:spacing w:line="240" w:lineRule="auto"/>
              <w:rPr>
                <w:rFonts w:ascii="Calibri" w:eastAsia="Times New Roman" w:hAnsi="Calibri" w:cs="Arial"/>
                <w:b/>
                <w:bCs/>
                <w:lang w:eastAsia="sv-SE"/>
              </w:rPr>
            </w:pPr>
            <w:r>
              <w:rPr>
                <w:rFonts w:ascii="Calibri" w:eastAsia="Times New Roman" w:hAnsi="Calibri" w:cs="Arial"/>
                <w:b/>
                <w:bCs/>
                <w:lang w:eastAsia="sv-SE"/>
              </w:rPr>
              <w:t>Total</w:t>
            </w:r>
            <w:r w:rsidRPr="00C25589">
              <w:rPr>
                <w:rFonts w:ascii="Calibri" w:eastAsia="Times New Roman" w:hAnsi="Calibri" w:cs="Arial"/>
                <w:b/>
                <w:bCs/>
                <w:lang w:eastAsia="sv-SE"/>
              </w:rPr>
              <w:t xml:space="preserve"> nettoinvestering</w:t>
            </w:r>
          </w:p>
        </w:tc>
        <w:tc>
          <w:tcPr>
            <w:tcW w:w="827" w:type="dxa"/>
            <w:tcBorders>
              <w:top w:val="single" w:sz="8" w:space="0" w:color="auto"/>
              <w:left w:val="nil"/>
              <w:bottom w:val="single" w:sz="8" w:space="0" w:color="auto"/>
              <w:right w:val="nil"/>
            </w:tcBorders>
            <w:shd w:val="clear" w:color="auto" w:fill="auto"/>
            <w:noWrap/>
            <w:vAlign w:val="bottom"/>
            <w:hideMark/>
          </w:tcPr>
          <w:p w:rsidR="00386517" w:rsidRPr="00C25589" w:rsidRDefault="00386517" w:rsidP="00F90712">
            <w:pPr>
              <w:spacing w:line="240" w:lineRule="auto"/>
              <w:jc w:val="right"/>
              <w:rPr>
                <w:rFonts w:ascii="Calibri" w:eastAsia="Times New Roman" w:hAnsi="Calibri" w:cs="Arial"/>
                <w:b/>
                <w:bCs/>
                <w:lang w:eastAsia="sv-SE"/>
              </w:rPr>
            </w:pPr>
            <w:r w:rsidRPr="00C25589">
              <w:rPr>
                <w:rFonts w:ascii="Calibri" w:eastAsia="Times New Roman" w:hAnsi="Calibri" w:cs="Arial"/>
                <w:b/>
                <w:bCs/>
                <w:lang w:eastAsia="sv-SE"/>
              </w:rPr>
              <w:t>1 058</w:t>
            </w:r>
          </w:p>
        </w:tc>
        <w:tc>
          <w:tcPr>
            <w:tcW w:w="930" w:type="dxa"/>
            <w:tcBorders>
              <w:top w:val="single" w:sz="8" w:space="0" w:color="auto"/>
              <w:left w:val="nil"/>
              <w:bottom w:val="single" w:sz="8" w:space="0" w:color="auto"/>
              <w:right w:val="nil"/>
            </w:tcBorders>
            <w:shd w:val="clear" w:color="auto" w:fill="auto"/>
            <w:noWrap/>
            <w:vAlign w:val="bottom"/>
            <w:hideMark/>
          </w:tcPr>
          <w:p w:rsidR="00386517" w:rsidRPr="00C25589" w:rsidRDefault="00386517" w:rsidP="00F90712">
            <w:pPr>
              <w:spacing w:line="240" w:lineRule="auto"/>
              <w:jc w:val="right"/>
              <w:rPr>
                <w:rFonts w:ascii="Calibri" w:eastAsia="Times New Roman" w:hAnsi="Calibri" w:cs="Arial"/>
                <w:b/>
                <w:bCs/>
                <w:lang w:eastAsia="sv-SE"/>
              </w:rPr>
            </w:pPr>
            <w:r w:rsidRPr="00C25589">
              <w:rPr>
                <w:rFonts w:ascii="Calibri" w:eastAsia="Times New Roman" w:hAnsi="Calibri" w:cs="Arial"/>
                <w:b/>
                <w:bCs/>
                <w:lang w:eastAsia="sv-SE"/>
              </w:rPr>
              <w:t>1 646</w:t>
            </w:r>
          </w:p>
        </w:tc>
        <w:tc>
          <w:tcPr>
            <w:tcW w:w="1085" w:type="dxa"/>
            <w:tcBorders>
              <w:top w:val="single" w:sz="8" w:space="0" w:color="auto"/>
              <w:left w:val="nil"/>
              <w:bottom w:val="single" w:sz="8" w:space="0" w:color="auto"/>
              <w:right w:val="nil"/>
            </w:tcBorders>
            <w:shd w:val="clear" w:color="auto" w:fill="auto"/>
            <w:noWrap/>
            <w:vAlign w:val="bottom"/>
            <w:hideMark/>
          </w:tcPr>
          <w:p w:rsidR="00386517" w:rsidRPr="00C25589" w:rsidRDefault="00386517" w:rsidP="00F90712">
            <w:pPr>
              <w:spacing w:line="240" w:lineRule="auto"/>
              <w:jc w:val="right"/>
              <w:rPr>
                <w:rFonts w:ascii="Calibri" w:eastAsia="Times New Roman" w:hAnsi="Calibri" w:cs="Arial"/>
                <w:b/>
                <w:bCs/>
                <w:lang w:eastAsia="sv-SE"/>
              </w:rPr>
            </w:pPr>
            <w:r w:rsidRPr="00C25589">
              <w:rPr>
                <w:rFonts w:ascii="Calibri" w:eastAsia="Times New Roman" w:hAnsi="Calibri" w:cs="Arial"/>
                <w:b/>
                <w:bCs/>
                <w:lang w:eastAsia="sv-SE"/>
              </w:rPr>
              <w:t>589</w:t>
            </w:r>
          </w:p>
        </w:tc>
        <w:tc>
          <w:tcPr>
            <w:tcW w:w="1187" w:type="dxa"/>
            <w:tcBorders>
              <w:top w:val="single" w:sz="8" w:space="0" w:color="auto"/>
              <w:left w:val="nil"/>
              <w:bottom w:val="single" w:sz="8" w:space="0" w:color="auto"/>
              <w:right w:val="single" w:sz="8" w:space="0" w:color="auto"/>
            </w:tcBorders>
            <w:shd w:val="clear" w:color="auto" w:fill="auto"/>
            <w:noWrap/>
            <w:vAlign w:val="bottom"/>
            <w:hideMark/>
          </w:tcPr>
          <w:p w:rsidR="00386517" w:rsidRPr="00C25589" w:rsidRDefault="00386517" w:rsidP="00F90712">
            <w:pPr>
              <w:spacing w:line="240" w:lineRule="auto"/>
              <w:jc w:val="right"/>
              <w:rPr>
                <w:rFonts w:ascii="Calibri" w:eastAsia="Times New Roman" w:hAnsi="Calibri" w:cs="Arial"/>
                <w:b/>
                <w:bCs/>
                <w:lang w:eastAsia="sv-SE"/>
              </w:rPr>
            </w:pPr>
            <w:proofErr w:type="gramStart"/>
            <w:r w:rsidRPr="00C25589">
              <w:rPr>
                <w:rFonts w:ascii="Calibri" w:eastAsia="Times New Roman" w:hAnsi="Calibri" w:cs="Arial"/>
                <w:b/>
                <w:bCs/>
                <w:lang w:eastAsia="sv-SE"/>
              </w:rPr>
              <w:t>64%</w:t>
            </w:r>
            <w:proofErr w:type="gramEnd"/>
          </w:p>
        </w:tc>
      </w:tr>
    </w:tbl>
    <w:p w:rsidR="00386517" w:rsidRDefault="00386517" w:rsidP="00386517"/>
    <w:p w:rsidR="00386517" w:rsidRDefault="00386517" w:rsidP="00386517">
      <w:pPr>
        <w:spacing w:after="200" w:line="276" w:lineRule="auto"/>
      </w:pPr>
      <w:r>
        <w:br w:type="page"/>
      </w:r>
    </w:p>
    <w:p w:rsidR="00386517" w:rsidRDefault="00386517" w:rsidP="00386517">
      <w:pPr>
        <w:pStyle w:val="Rubrik1"/>
      </w:pPr>
      <w:bookmarkStart w:id="21" w:name="_Toc31010367"/>
      <w:bookmarkStart w:id="22" w:name="_Toc31010833"/>
      <w:r>
        <w:lastRenderedPageBreak/>
        <w:t>Nyckeltal</w:t>
      </w:r>
      <w:bookmarkEnd w:id="21"/>
      <w:bookmarkEnd w:id="22"/>
    </w:p>
    <w:p w:rsidR="00386517" w:rsidRDefault="00386517" w:rsidP="00386517">
      <w:pPr>
        <w:spacing w:before="120" w:after="120" w:line="240" w:lineRule="auto"/>
      </w:pPr>
      <w:r>
        <w:t>Nedanstående är ett urval av nyckeltal som följs under de övergripande målen. Fördjupad analys kommer i årsredovisningen.</w:t>
      </w:r>
    </w:p>
    <w:tbl>
      <w:tblPr>
        <w:tblStyle w:val="Ljuslista-dekorfrg1"/>
        <w:tblW w:w="7621"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4219"/>
        <w:gridCol w:w="851"/>
        <w:gridCol w:w="850"/>
        <w:gridCol w:w="851"/>
        <w:gridCol w:w="850"/>
      </w:tblGrid>
      <w:tr w:rsidR="00386517" w:rsidRPr="00AE3EA8" w:rsidTr="00F907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19" w:type="dxa"/>
          </w:tcPr>
          <w:p w:rsidR="00386517" w:rsidRPr="00AE3EA8" w:rsidRDefault="00386517" w:rsidP="00F90712">
            <w:pPr>
              <w:rPr>
                <w:b w:val="0"/>
                <w:sz w:val="18"/>
              </w:rPr>
            </w:pPr>
            <w:r w:rsidRPr="00AE3EA8">
              <w:rPr>
                <w:b w:val="0"/>
                <w:sz w:val="18"/>
              </w:rPr>
              <w:t>Nyckeltal</w:t>
            </w:r>
          </w:p>
          <w:p w:rsidR="00386517" w:rsidRPr="00AE3EA8" w:rsidRDefault="00386517" w:rsidP="00F90712">
            <w:pPr>
              <w:rPr>
                <w:b w:val="0"/>
                <w:sz w:val="18"/>
              </w:rPr>
            </w:pPr>
          </w:p>
        </w:tc>
        <w:tc>
          <w:tcPr>
            <w:tcW w:w="851" w:type="dxa"/>
          </w:tcPr>
          <w:p w:rsidR="00386517" w:rsidRPr="00AE3EA8" w:rsidRDefault="00386517" w:rsidP="00F90712">
            <w:pPr>
              <w:jc w:val="center"/>
              <w:cnfStyle w:val="100000000000" w:firstRow="1" w:lastRow="0" w:firstColumn="0" w:lastColumn="0" w:oddVBand="0" w:evenVBand="0" w:oddHBand="0" w:evenHBand="0" w:firstRowFirstColumn="0" w:firstRowLastColumn="0" w:lastRowFirstColumn="0" w:lastRowLastColumn="0"/>
              <w:rPr>
                <w:b w:val="0"/>
                <w:sz w:val="18"/>
              </w:rPr>
            </w:pPr>
            <w:r w:rsidRPr="00AE3EA8">
              <w:rPr>
                <w:b w:val="0"/>
                <w:sz w:val="18"/>
              </w:rPr>
              <w:t>Utfall 2016</w:t>
            </w:r>
          </w:p>
        </w:tc>
        <w:tc>
          <w:tcPr>
            <w:tcW w:w="850" w:type="dxa"/>
          </w:tcPr>
          <w:p w:rsidR="00386517" w:rsidRPr="00AE3EA8" w:rsidRDefault="00386517" w:rsidP="00F90712">
            <w:pPr>
              <w:jc w:val="center"/>
              <w:cnfStyle w:val="100000000000" w:firstRow="1" w:lastRow="0" w:firstColumn="0" w:lastColumn="0" w:oddVBand="0" w:evenVBand="0" w:oddHBand="0" w:evenHBand="0" w:firstRowFirstColumn="0" w:firstRowLastColumn="0" w:lastRowFirstColumn="0" w:lastRowLastColumn="0"/>
              <w:rPr>
                <w:b w:val="0"/>
                <w:sz w:val="18"/>
              </w:rPr>
            </w:pPr>
            <w:r w:rsidRPr="00AE3EA8">
              <w:rPr>
                <w:b w:val="0"/>
                <w:sz w:val="18"/>
              </w:rPr>
              <w:t>Utfall 2017</w:t>
            </w:r>
          </w:p>
        </w:tc>
        <w:tc>
          <w:tcPr>
            <w:tcW w:w="851" w:type="dxa"/>
          </w:tcPr>
          <w:p w:rsidR="00386517" w:rsidRPr="000E5D3D" w:rsidRDefault="00386517" w:rsidP="00F90712">
            <w:pPr>
              <w:jc w:val="center"/>
              <w:cnfStyle w:val="100000000000" w:firstRow="1" w:lastRow="0" w:firstColumn="0" w:lastColumn="0" w:oddVBand="0" w:evenVBand="0" w:oddHBand="0" w:evenHBand="0" w:firstRowFirstColumn="0" w:firstRowLastColumn="0" w:lastRowFirstColumn="0" w:lastRowLastColumn="0"/>
              <w:rPr>
                <w:b w:val="0"/>
                <w:sz w:val="18"/>
              </w:rPr>
            </w:pPr>
            <w:r w:rsidRPr="000E5D3D">
              <w:rPr>
                <w:b w:val="0"/>
                <w:sz w:val="18"/>
              </w:rPr>
              <w:t>Utfall 2018</w:t>
            </w:r>
          </w:p>
        </w:tc>
        <w:tc>
          <w:tcPr>
            <w:tcW w:w="850" w:type="dxa"/>
          </w:tcPr>
          <w:p w:rsidR="00386517" w:rsidRPr="00AE3EA8" w:rsidRDefault="00386517" w:rsidP="00F90712">
            <w:pPr>
              <w:jc w:val="center"/>
              <w:cnfStyle w:val="100000000000" w:firstRow="1" w:lastRow="0" w:firstColumn="0" w:lastColumn="0" w:oddVBand="0" w:evenVBand="0" w:oddHBand="0" w:evenHBand="0" w:firstRowFirstColumn="0" w:firstRowLastColumn="0" w:lastRowFirstColumn="0" w:lastRowLastColumn="0"/>
              <w:rPr>
                <w:b w:val="0"/>
                <w:sz w:val="18"/>
              </w:rPr>
            </w:pPr>
            <w:r>
              <w:rPr>
                <w:b w:val="0"/>
                <w:sz w:val="18"/>
              </w:rPr>
              <w:t>Utfall 2019</w:t>
            </w:r>
          </w:p>
        </w:tc>
      </w:tr>
      <w:tr w:rsidR="00386517" w:rsidRPr="00AE3EA8" w:rsidTr="00F90712">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Height w:val="270"/>
        </w:trPr>
        <w:tc>
          <w:tcPr>
            <w:tcW w:w="4219" w:type="dxa"/>
            <w:noWrap/>
          </w:tcPr>
          <w:p w:rsidR="00386517" w:rsidRPr="00AE3EA8" w:rsidRDefault="00386517" w:rsidP="00F90712">
            <w:pPr>
              <w:rPr>
                <w:rFonts w:eastAsia="Times New Roman" w:cs="Arial"/>
                <w:sz w:val="16"/>
                <w:szCs w:val="16"/>
                <w:lang w:eastAsia="sv-SE"/>
              </w:rPr>
            </w:pPr>
            <w:r w:rsidRPr="00AE3EA8">
              <w:rPr>
                <w:rFonts w:eastAsia="Times New Roman" w:cs="Arial"/>
                <w:sz w:val="16"/>
                <w:szCs w:val="16"/>
                <w:lang w:eastAsia="sv-SE"/>
              </w:rPr>
              <w:t xml:space="preserve">Brukarbedömning daglig verksamhet </w:t>
            </w:r>
            <w:proofErr w:type="gramStart"/>
            <w:r w:rsidRPr="00AE3EA8">
              <w:rPr>
                <w:rFonts w:eastAsia="Times New Roman" w:cs="Arial"/>
                <w:sz w:val="16"/>
                <w:szCs w:val="16"/>
                <w:lang w:eastAsia="sv-SE"/>
              </w:rPr>
              <w:t>LSS  -</w:t>
            </w:r>
            <w:proofErr w:type="gramEnd"/>
            <w:r w:rsidRPr="00AE3EA8">
              <w:rPr>
                <w:rFonts w:eastAsia="Times New Roman" w:cs="Arial"/>
                <w:sz w:val="16"/>
                <w:szCs w:val="16"/>
                <w:lang w:eastAsia="sv-SE"/>
              </w:rPr>
              <w:t xml:space="preserve"> Brukaren får bestämma om saker som är viktiga</w:t>
            </w:r>
          </w:p>
        </w:tc>
        <w:tc>
          <w:tcPr>
            <w:tcW w:w="851" w:type="dxa"/>
          </w:tcPr>
          <w:p w:rsidR="00386517" w:rsidRPr="00AE3EA8" w:rsidRDefault="00386517" w:rsidP="00F90712">
            <w:pPr>
              <w:jc w:val="center"/>
              <w:rPr>
                <w:rFonts w:eastAsia="Times New Roman" w:cs="Arial"/>
                <w:sz w:val="16"/>
                <w:szCs w:val="16"/>
                <w:lang w:eastAsia="sv-SE"/>
              </w:rPr>
            </w:pPr>
            <w:proofErr w:type="gramStart"/>
            <w:r w:rsidRPr="00AE3EA8">
              <w:rPr>
                <w:rFonts w:eastAsia="Times New Roman" w:cs="Arial"/>
                <w:sz w:val="16"/>
                <w:szCs w:val="16"/>
                <w:lang w:eastAsia="sv-SE"/>
              </w:rPr>
              <w:t>---</w:t>
            </w:r>
            <w:proofErr w:type="gramEnd"/>
          </w:p>
        </w:tc>
        <w:tc>
          <w:tcPr>
            <w:tcW w:w="850" w:type="dxa"/>
          </w:tcPr>
          <w:p w:rsidR="00386517" w:rsidRPr="00AE3EA8" w:rsidRDefault="00386517" w:rsidP="00F90712">
            <w:pPr>
              <w:jc w:val="center"/>
              <w:rPr>
                <w:rFonts w:eastAsia="Times New Roman" w:cs="Arial"/>
                <w:sz w:val="16"/>
                <w:szCs w:val="16"/>
                <w:lang w:eastAsia="sv-SE"/>
              </w:rPr>
            </w:pPr>
            <w:r w:rsidRPr="00AE3EA8">
              <w:rPr>
                <w:rFonts w:eastAsia="Times New Roman" w:cs="Arial"/>
                <w:sz w:val="16"/>
                <w:szCs w:val="16"/>
                <w:lang w:eastAsia="sv-SE"/>
              </w:rPr>
              <w:t>76</w:t>
            </w:r>
          </w:p>
        </w:tc>
        <w:tc>
          <w:tcPr>
            <w:tcW w:w="851" w:type="dxa"/>
          </w:tcPr>
          <w:p w:rsidR="00386517" w:rsidRPr="00AE3EA8" w:rsidRDefault="00386517" w:rsidP="00F90712">
            <w:pPr>
              <w:jc w:val="center"/>
              <w:rPr>
                <w:rFonts w:eastAsia="Times New Roman" w:cs="Arial"/>
                <w:sz w:val="16"/>
                <w:szCs w:val="16"/>
                <w:lang w:eastAsia="sv-SE"/>
              </w:rPr>
            </w:pPr>
            <w:r>
              <w:rPr>
                <w:rFonts w:eastAsia="Times New Roman" w:cs="Arial"/>
                <w:sz w:val="16"/>
                <w:szCs w:val="16"/>
                <w:lang w:eastAsia="sv-SE"/>
              </w:rPr>
              <w:t>72</w:t>
            </w:r>
          </w:p>
        </w:tc>
        <w:tc>
          <w:tcPr>
            <w:tcW w:w="850" w:type="dxa"/>
          </w:tcPr>
          <w:p w:rsidR="00386517" w:rsidRPr="00AE3EA8" w:rsidRDefault="00386517" w:rsidP="00F90712">
            <w:pPr>
              <w:jc w:val="center"/>
              <w:rPr>
                <w:rFonts w:eastAsia="Times New Roman" w:cs="Arial"/>
                <w:sz w:val="16"/>
                <w:szCs w:val="16"/>
                <w:lang w:eastAsia="sv-SE"/>
              </w:rPr>
            </w:pPr>
            <w:r>
              <w:rPr>
                <w:rFonts w:eastAsia="Times New Roman" w:cs="Arial"/>
                <w:sz w:val="16"/>
                <w:szCs w:val="16"/>
                <w:lang w:eastAsia="sv-SE"/>
              </w:rPr>
              <w:t>87</w:t>
            </w:r>
          </w:p>
        </w:tc>
      </w:tr>
      <w:tr w:rsidR="00386517" w:rsidRPr="00AE3EA8" w:rsidTr="00F90712">
        <w:tblPrEx>
          <w:tblLook w:val="0420" w:firstRow="1" w:lastRow="0" w:firstColumn="0" w:lastColumn="0" w:noHBand="0" w:noVBand="1"/>
        </w:tblPrEx>
        <w:trPr>
          <w:trHeight w:val="270"/>
        </w:trPr>
        <w:tc>
          <w:tcPr>
            <w:tcW w:w="4219" w:type="dxa"/>
            <w:noWrap/>
          </w:tcPr>
          <w:p w:rsidR="00386517" w:rsidRPr="00AE3EA8" w:rsidRDefault="00386517" w:rsidP="00F90712">
            <w:pPr>
              <w:rPr>
                <w:rFonts w:eastAsia="Times New Roman" w:cs="Arial"/>
                <w:sz w:val="16"/>
                <w:szCs w:val="16"/>
                <w:lang w:eastAsia="sv-SE"/>
              </w:rPr>
            </w:pPr>
            <w:r w:rsidRPr="00AE3EA8">
              <w:rPr>
                <w:rFonts w:eastAsia="Times New Roman" w:cs="Arial"/>
                <w:sz w:val="16"/>
                <w:szCs w:val="16"/>
                <w:lang w:eastAsia="sv-SE"/>
              </w:rPr>
              <w:t xml:space="preserve">Brukarbedömning av särskilt boende äldreomsorg </w:t>
            </w:r>
          </w:p>
        </w:tc>
        <w:tc>
          <w:tcPr>
            <w:tcW w:w="851" w:type="dxa"/>
          </w:tcPr>
          <w:p w:rsidR="00386517" w:rsidRPr="00AE3EA8" w:rsidRDefault="00386517" w:rsidP="00F90712">
            <w:pPr>
              <w:jc w:val="center"/>
              <w:rPr>
                <w:rFonts w:eastAsia="Times New Roman" w:cs="Arial"/>
                <w:sz w:val="16"/>
                <w:szCs w:val="16"/>
                <w:lang w:eastAsia="sv-SE"/>
              </w:rPr>
            </w:pPr>
            <w:r w:rsidRPr="00AE3EA8">
              <w:rPr>
                <w:rFonts w:eastAsia="Times New Roman" w:cs="Arial"/>
                <w:sz w:val="16"/>
                <w:szCs w:val="16"/>
                <w:lang w:eastAsia="sv-SE"/>
              </w:rPr>
              <w:t>83</w:t>
            </w:r>
          </w:p>
        </w:tc>
        <w:tc>
          <w:tcPr>
            <w:tcW w:w="850" w:type="dxa"/>
          </w:tcPr>
          <w:p w:rsidR="00386517" w:rsidRPr="00AE3EA8" w:rsidRDefault="00386517" w:rsidP="00F90712">
            <w:pPr>
              <w:jc w:val="center"/>
              <w:rPr>
                <w:rFonts w:eastAsia="Times New Roman" w:cs="Arial"/>
                <w:sz w:val="16"/>
                <w:szCs w:val="16"/>
                <w:lang w:eastAsia="sv-SE"/>
              </w:rPr>
            </w:pPr>
            <w:r w:rsidRPr="00AE3EA8">
              <w:rPr>
                <w:rFonts w:eastAsia="Times New Roman" w:cs="Arial"/>
                <w:sz w:val="16"/>
                <w:szCs w:val="16"/>
                <w:lang w:eastAsia="sv-SE"/>
              </w:rPr>
              <w:t>88</w:t>
            </w:r>
          </w:p>
        </w:tc>
        <w:tc>
          <w:tcPr>
            <w:tcW w:w="851" w:type="dxa"/>
          </w:tcPr>
          <w:p w:rsidR="00386517" w:rsidRPr="00AE3EA8" w:rsidRDefault="00386517" w:rsidP="00F90712">
            <w:pPr>
              <w:jc w:val="center"/>
              <w:rPr>
                <w:rFonts w:eastAsia="Times New Roman" w:cs="Arial"/>
                <w:sz w:val="16"/>
                <w:szCs w:val="16"/>
                <w:lang w:eastAsia="sv-SE"/>
              </w:rPr>
            </w:pPr>
            <w:r>
              <w:rPr>
                <w:rFonts w:eastAsia="Times New Roman" w:cs="Arial"/>
                <w:sz w:val="16"/>
                <w:szCs w:val="16"/>
                <w:lang w:eastAsia="sv-SE"/>
              </w:rPr>
              <w:t>77</w:t>
            </w:r>
          </w:p>
        </w:tc>
        <w:tc>
          <w:tcPr>
            <w:tcW w:w="850" w:type="dxa"/>
          </w:tcPr>
          <w:p w:rsidR="00386517" w:rsidRPr="00AE3EA8" w:rsidRDefault="00386517" w:rsidP="00F90712">
            <w:pPr>
              <w:jc w:val="center"/>
              <w:rPr>
                <w:rFonts w:eastAsia="Times New Roman" w:cs="Arial"/>
                <w:sz w:val="16"/>
                <w:szCs w:val="16"/>
                <w:lang w:eastAsia="sv-SE"/>
              </w:rPr>
            </w:pPr>
            <w:r>
              <w:rPr>
                <w:rFonts w:eastAsia="Times New Roman" w:cs="Arial"/>
                <w:sz w:val="16"/>
                <w:szCs w:val="16"/>
                <w:lang w:eastAsia="sv-SE"/>
              </w:rPr>
              <w:t>79</w:t>
            </w:r>
          </w:p>
        </w:tc>
      </w:tr>
      <w:tr w:rsidR="00386517" w:rsidRPr="00AE3EA8" w:rsidTr="00F90712">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Height w:val="270"/>
        </w:trPr>
        <w:tc>
          <w:tcPr>
            <w:tcW w:w="4219" w:type="dxa"/>
            <w:noWrap/>
          </w:tcPr>
          <w:p w:rsidR="00386517" w:rsidRPr="00AE3EA8" w:rsidRDefault="00386517" w:rsidP="00F90712">
            <w:pPr>
              <w:rPr>
                <w:rFonts w:eastAsia="Times New Roman" w:cs="Arial"/>
                <w:sz w:val="16"/>
                <w:szCs w:val="16"/>
                <w:lang w:eastAsia="sv-SE"/>
              </w:rPr>
            </w:pPr>
            <w:r w:rsidRPr="00AE3EA8">
              <w:rPr>
                <w:rFonts w:eastAsia="Times New Roman" w:cs="Arial"/>
                <w:sz w:val="16"/>
                <w:szCs w:val="16"/>
                <w:lang w:eastAsia="sv-SE"/>
              </w:rPr>
              <w:t>Brukarbedömning av hemtjänst äldreomsorg</w:t>
            </w:r>
          </w:p>
        </w:tc>
        <w:tc>
          <w:tcPr>
            <w:tcW w:w="851" w:type="dxa"/>
          </w:tcPr>
          <w:p w:rsidR="00386517" w:rsidRPr="00AE3EA8" w:rsidRDefault="00386517" w:rsidP="00F90712">
            <w:pPr>
              <w:jc w:val="center"/>
              <w:rPr>
                <w:rFonts w:eastAsia="Times New Roman" w:cs="Arial"/>
                <w:sz w:val="16"/>
                <w:szCs w:val="16"/>
                <w:lang w:eastAsia="sv-SE"/>
              </w:rPr>
            </w:pPr>
            <w:r w:rsidRPr="00AE3EA8">
              <w:rPr>
                <w:rFonts w:eastAsia="Times New Roman" w:cs="Arial"/>
                <w:sz w:val="16"/>
                <w:szCs w:val="16"/>
                <w:lang w:eastAsia="sv-SE"/>
              </w:rPr>
              <w:t>91</w:t>
            </w:r>
          </w:p>
        </w:tc>
        <w:tc>
          <w:tcPr>
            <w:tcW w:w="850" w:type="dxa"/>
          </w:tcPr>
          <w:p w:rsidR="00386517" w:rsidRPr="00AE3EA8" w:rsidRDefault="00386517" w:rsidP="00F90712">
            <w:pPr>
              <w:jc w:val="center"/>
              <w:rPr>
                <w:rFonts w:eastAsia="Times New Roman" w:cs="Arial"/>
                <w:sz w:val="16"/>
                <w:szCs w:val="16"/>
                <w:lang w:eastAsia="sv-SE"/>
              </w:rPr>
            </w:pPr>
            <w:r w:rsidRPr="00AE3EA8">
              <w:rPr>
                <w:rFonts w:eastAsia="Times New Roman" w:cs="Arial"/>
                <w:sz w:val="16"/>
                <w:szCs w:val="16"/>
                <w:lang w:eastAsia="sv-SE"/>
              </w:rPr>
              <w:t>91</w:t>
            </w:r>
          </w:p>
        </w:tc>
        <w:tc>
          <w:tcPr>
            <w:tcW w:w="851" w:type="dxa"/>
          </w:tcPr>
          <w:p w:rsidR="00386517" w:rsidRPr="00AE3EA8" w:rsidRDefault="00386517" w:rsidP="00F90712">
            <w:pPr>
              <w:jc w:val="center"/>
              <w:rPr>
                <w:rFonts w:eastAsia="Times New Roman" w:cs="Arial"/>
                <w:sz w:val="16"/>
                <w:szCs w:val="16"/>
                <w:lang w:eastAsia="sv-SE"/>
              </w:rPr>
            </w:pPr>
            <w:r>
              <w:rPr>
                <w:rFonts w:eastAsia="Times New Roman" w:cs="Arial"/>
                <w:sz w:val="16"/>
                <w:szCs w:val="16"/>
                <w:lang w:eastAsia="sv-SE"/>
              </w:rPr>
              <w:t>88</w:t>
            </w:r>
          </w:p>
        </w:tc>
        <w:tc>
          <w:tcPr>
            <w:tcW w:w="850" w:type="dxa"/>
          </w:tcPr>
          <w:p w:rsidR="00386517" w:rsidRPr="00AE3EA8" w:rsidRDefault="00386517" w:rsidP="00F90712">
            <w:pPr>
              <w:jc w:val="center"/>
              <w:rPr>
                <w:rFonts w:eastAsia="Times New Roman" w:cs="Arial"/>
                <w:sz w:val="16"/>
                <w:szCs w:val="16"/>
                <w:lang w:eastAsia="sv-SE"/>
              </w:rPr>
            </w:pPr>
            <w:r>
              <w:rPr>
                <w:rFonts w:eastAsia="Times New Roman" w:cs="Arial"/>
                <w:sz w:val="16"/>
                <w:szCs w:val="16"/>
                <w:lang w:eastAsia="sv-SE"/>
              </w:rPr>
              <w:t>89</w:t>
            </w:r>
          </w:p>
        </w:tc>
      </w:tr>
      <w:tr w:rsidR="00386517" w:rsidRPr="00AE3EA8" w:rsidTr="00F90712">
        <w:tblPrEx>
          <w:tblLook w:val="0420" w:firstRow="1" w:lastRow="0" w:firstColumn="0" w:lastColumn="0" w:noHBand="0" w:noVBand="1"/>
        </w:tblPrEx>
        <w:trPr>
          <w:trHeight w:val="270"/>
        </w:trPr>
        <w:tc>
          <w:tcPr>
            <w:tcW w:w="4219" w:type="dxa"/>
            <w:noWrap/>
          </w:tcPr>
          <w:p w:rsidR="00386517" w:rsidRPr="00AE3EA8" w:rsidRDefault="00386517" w:rsidP="00F90712">
            <w:pPr>
              <w:rPr>
                <w:rFonts w:eastAsia="Times New Roman" w:cs="Arial"/>
                <w:sz w:val="16"/>
                <w:szCs w:val="16"/>
                <w:lang w:eastAsia="sv-SE"/>
              </w:rPr>
            </w:pPr>
            <w:r w:rsidRPr="00AE3EA8">
              <w:rPr>
                <w:rFonts w:eastAsia="Times New Roman" w:cs="Arial"/>
                <w:sz w:val="16"/>
                <w:szCs w:val="16"/>
                <w:lang w:eastAsia="sv-SE"/>
              </w:rPr>
              <w:t>Andel som får svar på e-post inom en dag</w:t>
            </w:r>
            <w:r>
              <w:rPr>
                <w:rFonts w:eastAsia="Times New Roman" w:cs="Arial"/>
                <w:sz w:val="16"/>
                <w:szCs w:val="16"/>
                <w:lang w:eastAsia="sv-SE"/>
              </w:rPr>
              <w:t>, procent</w:t>
            </w:r>
          </w:p>
        </w:tc>
        <w:tc>
          <w:tcPr>
            <w:tcW w:w="851" w:type="dxa"/>
          </w:tcPr>
          <w:p w:rsidR="00386517" w:rsidRPr="00AE3EA8" w:rsidRDefault="00386517" w:rsidP="00F90712">
            <w:pPr>
              <w:jc w:val="center"/>
              <w:rPr>
                <w:rFonts w:eastAsia="Times New Roman" w:cs="Arial"/>
                <w:sz w:val="16"/>
                <w:szCs w:val="16"/>
                <w:lang w:eastAsia="sv-SE"/>
              </w:rPr>
            </w:pPr>
            <w:proofErr w:type="gramStart"/>
            <w:r w:rsidRPr="00AE3EA8">
              <w:rPr>
                <w:rFonts w:eastAsia="Times New Roman" w:cs="Arial"/>
                <w:sz w:val="16"/>
                <w:szCs w:val="16"/>
                <w:lang w:eastAsia="sv-SE"/>
              </w:rPr>
              <w:t>---</w:t>
            </w:r>
            <w:proofErr w:type="gramEnd"/>
          </w:p>
        </w:tc>
        <w:tc>
          <w:tcPr>
            <w:tcW w:w="850" w:type="dxa"/>
          </w:tcPr>
          <w:p w:rsidR="00386517" w:rsidRPr="00AE3EA8" w:rsidRDefault="00386517" w:rsidP="00F90712">
            <w:pPr>
              <w:jc w:val="center"/>
              <w:rPr>
                <w:rFonts w:eastAsia="Times New Roman" w:cs="Arial"/>
                <w:sz w:val="16"/>
                <w:szCs w:val="16"/>
                <w:lang w:eastAsia="sv-SE"/>
              </w:rPr>
            </w:pPr>
            <w:r w:rsidRPr="00AE3EA8">
              <w:rPr>
                <w:rFonts w:eastAsia="Times New Roman" w:cs="Arial"/>
                <w:sz w:val="16"/>
                <w:szCs w:val="16"/>
                <w:lang w:eastAsia="sv-SE"/>
              </w:rPr>
              <w:t>81</w:t>
            </w:r>
          </w:p>
        </w:tc>
        <w:tc>
          <w:tcPr>
            <w:tcW w:w="851" w:type="dxa"/>
          </w:tcPr>
          <w:p w:rsidR="00386517" w:rsidRPr="00AE3EA8" w:rsidRDefault="00386517" w:rsidP="00F90712">
            <w:pPr>
              <w:jc w:val="center"/>
              <w:rPr>
                <w:rFonts w:eastAsia="Times New Roman" w:cs="Arial"/>
                <w:sz w:val="16"/>
                <w:szCs w:val="16"/>
                <w:lang w:eastAsia="sv-SE"/>
              </w:rPr>
            </w:pPr>
            <w:r>
              <w:rPr>
                <w:rFonts w:eastAsia="Times New Roman" w:cs="Arial"/>
                <w:sz w:val="16"/>
                <w:szCs w:val="16"/>
                <w:lang w:eastAsia="sv-SE"/>
              </w:rPr>
              <w:t>81</w:t>
            </w:r>
          </w:p>
        </w:tc>
        <w:tc>
          <w:tcPr>
            <w:tcW w:w="850" w:type="dxa"/>
          </w:tcPr>
          <w:p w:rsidR="00386517" w:rsidRPr="00AE3EA8" w:rsidRDefault="00386517" w:rsidP="00F90712">
            <w:pPr>
              <w:jc w:val="center"/>
              <w:rPr>
                <w:rFonts w:eastAsia="Times New Roman" w:cs="Arial"/>
                <w:sz w:val="16"/>
                <w:szCs w:val="16"/>
                <w:lang w:eastAsia="sv-SE"/>
              </w:rPr>
            </w:pPr>
            <w:r>
              <w:rPr>
                <w:rFonts w:eastAsia="Times New Roman" w:cs="Arial"/>
                <w:sz w:val="16"/>
                <w:szCs w:val="16"/>
                <w:lang w:eastAsia="sv-SE"/>
              </w:rPr>
              <w:t>84</w:t>
            </w:r>
          </w:p>
        </w:tc>
      </w:tr>
      <w:tr w:rsidR="00386517" w:rsidRPr="00AE3EA8" w:rsidTr="00F90712">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Height w:val="270"/>
        </w:trPr>
        <w:tc>
          <w:tcPr>
            <w:tcW w:w="4219" w:type="dxa"/>
            <w:noWrap/>
          </w:tcPr>
          <w:p w:rsidR="00386517" w:rsidRPr="00AE3EA8" w:rsidRDefault="00386517" w:rsidP="00F90712">
            <w:pPr>
              <w:rPr>
                <w:rFonts w:eastAsia="Times New Roman" w:cs="Arial"/>
                <w:sz w:val="16"/>
                <w:szCs w:val="16"/>
                <w:lang w:eastAsia="sv-SE"/>
              </w:rPr>
            </w:pPr>
            <w:r w:rsidRPr="00AE3EA8">
              <w:rPr>
                <w:rFonts w:eastAsia="Times New Roman" w:cs="Arial"/>
                <w:sz w:val="16"/>
                <w:szCs w:val="16"/>
                <w:lang w:eastAsia="sv-SE"/>
              </w:rPr>
              <w:t>Andel som tar kontakt med kommunen via telefon som får ett direkt svar på en enkel fråga</w:t>
            </w:r>
            <w:r>
              <w:rPr>
                <w:rFonts w:eastAsia="Times New Roman" w:cs="Arial"/>
                <w:sz w:val="16"/>
                <w:szCs w:val="16"/>
                <w:lang w:eastAsia="sv-SE"/>
              </w:rPr>
              <w:t>, procent</w:t>
            </w:r>
          </w:p>
        </w:tc>
        <w:tc>
          <w:tcPr>
            <w:tcW w:w="851" w:type="dxa"/>
          </w:tcPr>
          <w:p w:rsidR="00386517" w:rsidRPr="00AE3EA8" w:rsidRDefault="00386517" w:rsidP="00F90712">
            <w:pPr>
              <w:jc w:val="center"/>
              <w:rPr>
                <w:rFonts w:eastAsia="Times New Roman" w:cs="Arial"/>
                <w:sz w:val="16"/>
                <w:szCs w:val="16"/>
                <w:lang w:eastAsia="sv-SE"/>
              </w:rPr>
            </w:pPr>
            <w:r w:rsidRPr="00AE3EA8">
              <w:rPr>
                <w:rFonts w:eastAsia="Times New Roman" w:cs="Arial"/>
                <w:sz w:val="16"/>
                <w:szCs w:val="16"/>
                <w:lang w:eastAsia="sv-SE"/>
              </w:rPr>
              <w:t>60</w:t>
            </w:r>
          </w:p>
        </w:tc>
        <w:tc>
          <w:tcPr>
            <w:tcW w:w="850" w:type="dxa"/>
          </w:tcPr>
          <w:p w:rsidR="00386517" w:rsidRPr="00AE3EA8" w:rsidRDefault="00386517" w:rsidP="00F90712">
            <w:pPr>
              <w:jc w:val="center"/>
              <w:rPr>
                <w:rFonts w:eastAsia="Times New Roman" w:cs="Arial"/>
                <w:sz w:val="16"/>
                <w:szCs w:val="16"/>
                <w:lang w:eastAsia="sv-SE"/>
              </w:rPr>
            </w:pPr>
            <w:r w:rsidRPr="00AE3EA8">
              <w:rPr>
                <w:rFonts w:eastAsia="Times New Roman" w:cs="Arial"/>
                <w:sz w:val="16"/>
                <w:szCs w:val="16"/>
                <w:lang w:eastAsia="sv-SE"/>
              </w:rPr>
              <w:t>55</w:t>
            </w:r>
          </w:p>
        </w:tc>
        <w:tc>
          <w:tcPr>
            <w:tcW w:w="851" w:type="dxa"/>
          </w:tcPr>
          <w:p w:rsidR="00386517" w:rsidRPr="00AE3EA8" w:rsidRDefault="00386517" w:rsidP="00F90712">
            <w:pPr>
              <w:jc w:val="center"/>
              <w:rPr>
                <w:rFonts w:eastAsia="Times New Roman" w:cs="Arial"/>
                <w:sz w:val="16"/>
                <w:szCs w:val="16"/>
                <w:lang w:eastAsia="sv-SE"/>
              </w:rPr>
            </w:pPr>
            <w:r>
              <w:rPr>
                <w:rFonts w:eastAsia="Times New Roman" w:cs="Arial"/>
                <w:sz w:val="16"/>
                <w:szCs w:val="16"/>
                <w:lang w:eastAsia="sv-SE"/>
              </w:rPr>
              <w:t>58</w:t>
            </w:r>
          </w:p>
        </w:tc>
        <w:tc>
          <w:tcPr>
            <w:tcW w:w="850" w:type="dxa"/>
          </w:tcPr>
          <w:p w:rsidR="00386517" w:rsidRPr="00AE3EA8" w:rsidRDefault="00386517" w:rsidP="00F90712">
            <w:pPr>
              <w:jc w:val="center"/>
              <w:rPr>
                <w:rFonts w:eastAsia="Times New Roman" w:cs="Arial"/>
                <w:sz w:val="16"/>
                <w:szCs w:val="16"/>
                <w:lang w:eastAsia="sv-SE"/>
              </w:rPr>
            </w:pPr>
            <w:r>
              <w:rPr>
                <w:rFonts w:eastAsia="Times New Roman" w:cs="Arial"/>
                <w:sz w:val="16"/>
                <w:szCs w:val="16"/>
                <w:lang w:eastAsia="sv-SE"/>
              </w:rPr>
              <w:t>53</w:t>
            </w:r>
          </w:p>
        </w:tc>
      </w:tr>
      <w:tr w:rsidR="00386517" w:rsidRPr="00AE3EA8" w:rsidTr="00F90712">
        <w:tblPrEx>
          <w:tblLook w:val="0420" w:firstRow="1" w:lastRow="0" w:firstColumn="0" w:lastColumn="0" w:noHBand="0" w:noVBand="1"/>
        </w:tblPrEx>
        <w:trPr>
          <w:trHeight w:val="270"/>
        </w:trPr>
        <w:tc>
          <w:tcPr>
            <w:tcW w:w="4219" w:type="dxa"/>
            <w:noWrap/>
          </w:tcPr>
          <w:p w:rsidR="00386517" w:rsidRPr="00AE3EA8" w:rsidRDefault="00386517" w:rsidP="00F90712">
            <w:pPr>
              <w:rPr>
                <w:rFonts w:eastAsia="Times New Roman" w:cs="Arial"/>
                <w:sz w:val="16"/>
                <w:szCs w:val="16"/>
                <w:lang w:eastAsia="sv-SE"/>
              </w:rPr>
            </w:pPr>
            <w:r w:rsidRPr="00AE3EA8">
              <w:rPr>
                <w:rFonts w:eastAsia="Times New Roman" w:cs="Arial"/>
                <w:sz w:val="16"/>
                <w:szCs w:val="16"/>
                <w:lang w:eastAsia="sv-SE"/>
              </w:rPr>
              <w:t>Andel som upplever gott bemötande vid kontakt med Västerås stad</w:t>
            </w:r>
            <w:r>
              <w:rPr>
                <w:rFonts w:eastAsia="Times New Roman" w:cs="Arial"/>
                <w:sz w:val="16"/>
                <w:szCs w:val="16"/>
                <w:lang w:eastAsia="sv-SE"/>
              </w:rPr>
              <w:t>, procent</w:t>
            </w:r>
          </w:p>
        </w:tc>
        <w:tc>
          <w:tcPr>
            <w:tcW w:w="851" w:type="dxa"/>
          </w:tcPr>
          <w:p w:rsidR="00386517" w:rsidRPr="00AE3EA8" w:rsidRDefault="00386517" w:rsidP="00F90712">
            <w:pPr>
              <w:jc w:val="center"/>
              <w:rPr>
                <w:rFonts w:eastAsia="Times New Roman" w:cs="Arial"/>
                <w:sz w:val="16"/>
                <w:szCs w:val="16"/>
                <w:lang w:eastAsia="sv-SE"/>
              </w:rPr>
            </w:pPr>
            <w:r w:rsidRPr="00AE3EA8">
              <w:rPr>
                <w:rFonts w:eastAsia="Times New Roman" w:cs="Arial"/>
                <w:sz w:val="16"/>
                <w:szCs w:val="16"/>
                <w:lang w:eastAsia="sv-SE"/>
              </w:rPr>
              <w:t>82</w:t>
            </w:r>
          </w:p>
        </w:tc>
        <w:tc>
          <w:tcPr>
            <w:tcW w:w="850" w:type="dxa"/>
          </w:tcPr>
          <w:p w:rsidR="00386517" w:rsidRPr="00AE3EA8" w:rsidRDefault="00386517" w:rsidP="00F90712">
            <w:pPr>
              <w:jc w:val="center"/>
              <w:rPr>
                <w:rFonts w:eastAsia="Times New Roman" w:cs="Arial"/>
                <w:sz w:val="16"/>
                <w:szCs w:val="16"/>
                <w:lang w:eastAsia="sv-SE"/>
              </w:rPr>
            </w:pPr>
            <w:r w:rsidRPr="00AE3EA8">
              <w:rPr>
                <w:rFonts w:eastAsia="Times New Roman" w:cs="Arial"/>
                <w:sz w:val="16"/>
                <w:szCs w:val="16"/>
                <w:lang w:eastAsia="sv-SE"/>
              </w:rPr>
              <w:t>88</w:t>
            </w:r>
          </w:p>
        </w:tc>
        <w:tc>
          <w:tcPr>
            <w:tcW w:w="851" w:type="dxa"/>
          </w:tcPr>
          <w:p w:rsidR="00386517" w:rsidRPr="00AE3EA8" w:rsidRDefault="00386517" w:rsidP="00F90712">
            <w:pPr>
              <w:jc w:val="center"/>
              <w:rPr>
                <w:rFonts w:eastAsia="Times New Roman" w:cs="Arial"/>
                <w:sz w:val="16"/>
                <w:szCs w:val="16"/>
                <w:lang w:eastAsia="sv-SE"/>
              </w:rPr>
            </w:pPr>
            <w:r>
              <w:rPr>
                <w:rFonts w:eastAsia="Times New Roman" w:cs="Arial"/>
                <w:sz w:val="16"/>
                <w:szCs w:val="16"/>
                <w:lang w:eastAsia="sv-SE"/>
              </w:rPr>
              <w:t>91</w:t>
            </w:r>
          </w:p>
        </w:tc>
        <w:tc>
          <w:tcPr>
            <w:tcW w:w="850" w:type="dxa"/>
          </w:tcPr>
          <w:p w:rsidR="00386517" w:rsidRPr="00AE3EA8" w:rsidRDefault="00386517" w:rsidP="00F90712">
            <w:pPr>
              <w:jc w:val="center"/>
              <w:rPr>
                <w:rFonts w:eastAsia="Times New Roman" w:cs="Arial"/>
                <w:sz w:val="16"/>
                <w:szCs w:val="16"/>
                <w:lang w:eastAsia="sv-SE"/>
              </w:rPr>
            </w:pPr>
            <w:r>
              <w:rPr>
                <w:rFonts w:eastAsia="Times New Roman" w:cs="Arial"/>
                <w:sz w:val="16"/>
                <w:szCs w:val="16"/>
                <w:lang w:eastAsia="sv-SE"/>
              </w:rPr>
              <w:t>92</w:t>
            </w:r>
          </w:p>
        </w:tc>
      </w:tr>
      <w:tr w:rsidR="00386517" w:rsidRPr="00AE3EA8" w:rsidTr="00F90712">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Height w:val="270"/>
        </w:trPr>
        <w:tc>
          <w:tcPr>
            <w:tcW w:w="4219" w:type="dxa"/>
            <w:noWrap/>
          </w:tcPr>
          <w:p w:rsidR="00386517" w:rsidRPr="00AE3EA8" w:rsidRDefault="00386517" w:rsidP="00F90712">
            <w:pPr>
              <w:rPr>
                <w:rFonts w:eastAsia="Times New Roman" w:cs="Arial"/>
                <w:sz w:val="16"/>
                <w:szCs w:val="16"/>
                <w:lang w:eastAsia="sv-SE"/>
              </w:rPr>
            </w:pPr>
            <w:r w:rsidRPr="00B23AA0">
              <w:rPr>
                <w:rFonts w:eastAsia="Times New Roman" w:cs="Arial"/>
                <w:sz w:val="16"/>
                <w:szCs w:val="16"/>
                <w:lang w:eastAsia="sv-SE"/>
              </w:rPr>
              <w:t>Personer som tidigare fått försörjningsstöd och som inte kommit tillbaks ett år efter avslutat försörjningsstöd</w:t>
            </w:r>
            <w:r>
              <w:rPr>
                <w:rFonts w:eastAsia="Times New Roman" w:cs="Arial"/>
                <w:sz w:val="16"/>
                <w:szCs w:val="16"/>
                <w:lang w:eastAsia="sv-SE"/>
              </w:rPr>
              <w:t>, procent</w:t>
            </w:r>
          </w:p>
        </w:tc>
        <w:tc>
          <w:tcPr>
            <w:tcW w:w="851" w:type="dxa"/>
          </w:tcPr>
          <w:p w:rsidR="00386517" w:rsidRPr="00AE3EA8" w:rsidRDefault="00386517" w:rsidP="00F90712">
            <w:pPr>
              <w:jc w:val="center"/>
              <w:rPr>
                <w:rFonts w:eastAsia="Times New Roman" w:cs="Arial"/>
                <w:sz w:val="16"/>
                <w:szCs w:val="16"/>
                <w:lang w:eastAsia="sv-SE"/>
              </w:rPr>
            </w:pPr>
            <w:r>
              <w:rPr>
                <w:rFonts w:eastAsia="Times New Roman" w:cs="Arial"/>
                <w:sz w:val="16"/>
                <w:szCs w:val="16"/>
                <w:lang w:eastAsia="sv-SE"/>
              </w:rPr>
              <w:t>64</w:t>
            </w:r>
          </w:p>
        </w:tc>
        <w:tc>
          <w:tcPr>
            <w:tcW w:w="850" w:type="dxa"/>
          </w:tcPr>
          <w:p w:rsidR="00386517" w:rsidRPr="00AE3EA8" w:rsidRDefault="00386517" w:rsidP="00F90712">
            <w:pPr>
              <w:jc w:val="center"/>
              <w:rPr>
                <w:rFonts w:eastAsia="Times New Roman" w:cs="Arial"/>
                <w:sz w:val="16"/>
                <w:szCs w:val="16"/>
                <w:lang w:eastAsia="sv-SE"/>
              </w:rPr>
            </w:pPr>
            <w:r>
              <w:rPr>
                <w:rFonts w:eastAsia="Times New Roman" w:cs="Arial"/>
                <w:sz w:val="16"/>
                <w:szCs w:val="16"/>
                <w:lang w:eastAsia="sv-SE"/>
              </w:rPr>
              <w:t>69</w:t>
            </w:r>
          </w:p>
        </w:tc>
        <w:tc>
          <w:tcPr>
            <w:tcW w:w="851" w:type="dxa"/>
          </w:tcPr>
          <w:p w:rsidR="00386517" w:rsidRDefault="00386517" w:rsidP="00F90712">
            <w:pPr>
              <w:jc w:val="center"/>
              <w:rPr>
                <w:rFonts w:eastAsia="Times New Roman" w:cs="Arial"/>
                <w:sz w:val="16"/>
                <w:szCs w:val="16"/>
                <w:lang w:eastAsia="sv-SE"/>
              </w:rPr>
            </w:pPr>
            <w:r>
              <w:rPr>
                <w:rFonts w:eastAsia="Times New Roman" w:cs="Arial"/>
                <w:sz w:val="16"/>
                <w:szCs w:val="16"/>
                <w:lang w:eastAsia="sv-SE"/>
              </w:rPr>
              <w:t>71</w:t>
            </w:r>
          </w:p>
        </w:tc>
        <w:tc>
          <w:tcPr>
            <w:tcW w:w="850" w:type="dxa"/>
          </w:tcPr>
          <w:p w:rsidR="00386517" w:rsidRDefault="00386517" w:rsidP="00F90712">
            <w:pPr>
              <w:jc w:val="center"/>
              <w:rPr>
                <w:rFonts w:eastAsia="Times New Roman" w:cs="Arial"/>
                <w:sz w:val="16"/>
                <w:szCs w:val="16"/>
                <w:lang w:eastAsia="sv-SE"/>
              </w:rPr>
            </w:pPr>
            <w:r>
              <w:rPr>
                <w:rFonts w:eastAsia="Times New Roman" w:cs="Arial"/>
                <w:sz w:val="16"/>
                <w:szCs w:val="16"/>
                <w:lang w:eastAsia="sv-SE"/>
              </w:rPr>
              <w:t>70</w:t>
            </w:r>
          </w:p>
        </w:tc>
      </w:tr>
      <w:tr w:rsidR="00386517" w:rsidRPr="00AE3EA8" w:rsidTr="00F90712">
        <w:tblPrEx>
          <w:tblLook w:val="0420" w:firstRow="1" w:lastRow="0" w:firstColumn="0" w:lastColumn="0" w:noHBand="0" w:noVBand="1"/>
        </w:tblPrEx>
        <w:trPr>
          <w:trHeight w:val="270"/>
        </w:trPr>
        <w:tc>
          <w:tcPr>
            <w:tcW w:w="4219" w:type="dxa"/>
            <w:noWrap/>
          </w:tcPr>
          <w:p w:rsidR="00386517" w:rsidRPr="00AE3EA8" w:rsidRDefault="00386517" w:rsidP="00F90712">
            <w:pPr>
              <w:rPr>
                <w:rFonts w:eastAsia="Times New Roman" w:cs="Arial"/>
                <w:sz w:val="16"/>
                <w:szCs w:val="16"/>
                <w:lang w:eastAsia="sv-SE"/>
              </w:rPr>
            </w:pPr>
            <w:r w:rsidRPr="00B23AA0">
              <w:rPr>
                <w:rFonts w:eastAsia="Times New Roman" w:cs="Arial"/>
                <w:sz w:val="16"/>
                <w:szCs w:val="16"/>
                <w:lang w:eastAsia="sv-SE"/>
              </w:rPr>
              <w:t>Väntetid från ansökningsdatum till erbjudet inflyttningsdatum till särskilt boende</w:t>
            </w:r>
            <w:r>
              <w:rPr>
                <w:rFonts w:eastAsia="Times New Roman" w:cs="Arial"/>
                <w:sz w:val="16"/>
                <w:szCs w:val="16"/>
                <w:lang w:eastAsia="sv-SE"/>
              </w:rPr>
              <w:t>, dagar</w:t>
            </w:r>
          </w:p>
        </w:tc>
        <w:tc>
          <w:tcPr>
            <w:tcW w:w="851" w:type="dxa"/>
          </w:tcPr>
          <w:p w:rsidR="00386517" w:rsidRPr="00AE3EA8" w:rsidRDefault="00386517" w:rsidP="00F90712">
            <w:pPr>
              <w:jc w:val="center"/>
              <w:rPr>
                <w:rFonts w:eastAsia="Times New Roman" w:cs="Arial"/>
                <w:sz w:val="16"/>
                <w:szCs w:val="16"/>
                <w:lang w:eastAsia="sv-SE"/>
              </w:rPr>
            </w:pPr>
            <w:r>
              <w:rPr>
                <w:rFonts w:eastAsia="Times New Roman" w:cs="Arial"/>
                <w:sz w:val="16"/>
                <w:szCs w:val="16"/>
                <w:lang w:eastAsia="sv-SE"/>
              </w:rPr>
              <w:t>76</w:t>
            </w:r>
          </w:p>
        </w:tc>
        <w:tc>
          <w:tcPr>
            <w:tcW w:w="850" w:type="dxa"/>
          </w:tcPr>
          <w:p w:rsidR="00386517" w:rsidRPr="00AE3EA8" w:rsidRDefault="00386517" w:rsidP="00F90712">
            <w:pPr>
              <w:jc w:val="center"/>
              <w:rPr>
                <w:rFonts w:eastAsia="Times New Roman" w:cs="Arial"/>
                <w:sz w:val="16"/>
                <w:szCs w:val="16"/>
                <w:lang w:eastAsia="sv-SE"/>
              </w:rPr>
            </w:pPr>
            <w:r>
              <w:rPr>
                <w:rFonts w:eastAsia="Times New Roman" w:cs="Arial"/>
                <w:sz w:val="16"/>
                <w:szCs w:val="16"/>
                <w:lang w:eastAsia="sv-SE"/>
              </w:rPr>
              <w:t>80</w:t>
            </w:r>
          </w:p>
        </w:tc>
        <w:tc>
          <w:tcPr>
            <w:tcW w:w="851" w:type="dxa"/>
          </w:tcPr>
          <w:p w:rsidR="00386517" w:rsidRDefault="00386517" w:rsidP="00F90712">
            <w:pPr>
              <w:jc w:val="center"/>
              <w:rPr>
                <w:rFonts w:eastAsia="Times New Roman" w:cs="Arial"/>
                <w:sz w:val="16"/>
                <w:szCs w:val="16"/>
                <w:lang w:eastAsia="sv-SE"/>
              </w:rPr>
            </w:pPr>
            <w:r>
              <w:rPr>
                <w:rFonts w:eastAsia="Times New Roman" w:cs="Arial"/>
                <w:sz w:val="16"/>
                <w:szCs w:val="16"/>
                <w:lang w:eastAsia="sv-SE"/>
              </w:rPr>
              <w:t>70</w:t>
            </w:r>
          </w:p>
        </w:tc>
        <w:tc>
          <w:tcPr>
            <w:tcW w:w="850" w:type="dxa"/>
          </w:tcPr>
          <w:p w:rsidR="00386517" w:rsidRDefault="00386517" w:rsidP="00F90712">
            <w:pPr>
              <w:jc w:val="center"/>
              <w:rPr>
                <w:rFonts w:eastAsia="Times New Roman" w:cs="Arial"/>
                <w:sz w:val="16"/>
                <w:szCs w:val="16"/>
                <w:lang w:eastAsia="sv-SE"/>
              </w:rPr>
            </w:pPr>
            <w:r>
              <w:rPr>
                <w:rFonts w:eastAsia="Times New Roman" w:cs="Arial"/>
                <w:sz w:val="16"/>
                <w:szCs w:val="16"/>
                <w:lang w:eastAsia="sv-SE"/>
              </w:rPr>
              <w:t>69</w:t>
            </w:r>
          </w:p>
        </w:tc>
      </w:tr>
      <w:tr w:rsidR="00386517" w:rsidRPr="00AE3EA8" w:rsidTr="00F90712">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Height w:val="270"/>
        </w:trPr>
        <w:tc>
          <w:tcPr>
            <w:tcW w:w="4219" w:type="dxa"/>
            <w:noWrap/>
          </w:tcPr>
          <w:p w:rsidR="00386517" w:rsidRPr="00AE3EA8" w:rsidRDefault="00386517" w:rsidP="00F90712">
            <w:pPr>
              <w:rPr>
                <w:rFonts w:eastAsia="Times New Roman" w:cs="Arial"/>
                <w:sz w:val="16"/>
                <w:szCs w:val="16"/>
                <w:lang w:eastAsia="sv-SE"/>
              </w:rPr>
            </w:pPr>
            <w:r w:rsidRPr="00AE3EA8">
              <w:rPr>
                <w:rFonts w:eastAsia="Times New Roman" w:cs="Arial"/>
                <w:sz w:val="16"/>
                <w:szCs w:val="16"/>
                <w:lang w:eastAsia="sv-SE"/>
              </w:rPr>
              <w:t>Väntetid från beslut till inflyttning i boende enl. LSS</w:t>
            </w:r>
            <w:r>
              <w:rPr>
                <w:rFonts w:eastAsia="Times New Roman" w:cs="Arial"/>
                <w:sz w:val="16"/>
                <w:szCs w:val="16"/>
                <w:lang w:eastAsia="sv-SE"/>
              </w:rPr>
              <w:t>, dagar</w:t>
            </w:r>
          </w:p>
        </w:tc>
        <w:tc>
          <w:tcPr>
            <w:tcW w:w="851" w:type="dxa"/>
          </w:tcPr>
          <w:p w:rsidR="00386517" w:rsidRDefault="00386517" w:rsidP="00F90712">
            <w:pPr>
              <w:jc w:val="center"/>
              <w:rPr>
                <w:rFonts w:eastAsia="Times New Roman" w:cs="Arial"/>
                <w:sz w:val="16"/>
                <w:szCs w:val="16"/>
                <w:lang w:eastAsia="sv-SE"/>
              </w:rPr>
            </w:pPr>
            <w:r>
              <w:rPr>
                <w:rFonts w:eastAsia="Times New Roman" w:cs="Arial"/>
                <w:sz w:val="16"/>
                <w:szCs w:val="16"/>
                <w:lang w:eastAsia="sv-SE"/>
              </w:rPr>
              <w:t>171</w:t>
            </w:r>
          </w:p>
        </w:tc>
        <w:tc>
          <w:tcPr>
            <w:tcW w:w="850" w:type="dxa"/>
          </w:tcPr>
          <w:p w:rsidR="00386517" w:rsidRDefault="00386517" w:rsidP="00F90712">
            <w:pPr>
              <w:jc w:val="center"/>
              <w:rPr>
                <w:rFonts w:eastAsia="Times New Roman" w:cs="Arial"/>
                <w:sz w:val="16"/>
                <w:szCs w:val="16"/>
                <w:lang w:eastAsia="sv-SE"/>
              </w:rPr>
            </w:pPr>
            <w:r>
              <w:rPr>
                <w:rFonts w:eastAsia="Times New Roman" w:cs="Arial"/>
                <w:sz w:val="16"/>
                <w:szCs w:val="16"/>
                <w:lang w:eastAsia="sv-SE"/>
              </w:rPr>
              <w:t>201</w:t>
            </w:r>
          </w:p>
        </w:tc>
        <w:tc>
          <w:tcPr>
            <w:tcW w:w="851" w:type="dxa"/>
          </w:tcPr>
          <w:p w:rsidR="00386517" w:rsidRDefault="00386517" w:rsidP="00F90712">
            <w:pPr>
              <w:jc w:val="center"/>
              <w:rPr>
                <w:rFonts w:eastAsia="Times New Roman" w:cs="Arial"/>
                <w:sz w:val="16"/>
                <w:szCs w:val="16"/>
                <w:lang w:eastAsia="sv-SE"/>
              </w:rPr>
            </w:pPr>
            <w:r>
              <w:rPr>
                <w:rFonts w:eastAsia="Times New Roman" w:cs="Arial"/>
                <w:sz w:val="16"/>
                <w:szCs w:val="16"/>
                <w:lang w:eastAsia="sv-SE"/>
              </w:rPr>
              <w:t>139</w:t>
            </w:r>
          </w:p>
        </w:tc>
        <w:tc>
          <w:tcPr>
            <w:tcW w:w="850" w:type="dxa"/>
          </w:tcPr>
          <w:p w:rsidR="00386517" w:rsidRDefault="00386517" w:rsidP="00F90712">
            <w:pPr>
              <w:jc w:val="center"/>
              <w:rPr>
                <w:rFonts w:eastAsia="Times New Roman" w:cs="Arial"/>
                <w:sz w:val="16"/>
                <w:szCs w:val="16"/>
                <w:lang w:eastAsia="sv-SE"/>
              </w:rPr>
            </w:pPr>
            <w:r>
              <w:rPr>
                <w:rFonts w:eastAsia="Times New Roman" w:cs="Arial"/>
                <w:sz w:val="16"/>
                <w:szCs w:val="16"/>
                <w:lang w:eastAsia="sv-SE"/>
              </w:rPr>
              <w:t>202</w:t>
            </w:r>
          </w:p>
        </w:tc>
      </w:tr>
      <w:tr w:rsidR="00386517" w:rsidRPr="00AE3EA8" w:rsidTr="00F90712">
        <w:tblPrEx>
          <w:tblLook w:val="0420" w:firstRow="1" w:lastRow="0" w:firstColumn="0" w:lastColumn="0" w:noHBand="0" w:noVBand="1"/>
        </w:tblPrEx>
        <w:trPr>
          <w:trHeight w:val="270"/>
        </w:trPr>
        <w:tc>
          <w:tcPr>
            <w:tcW w:w="4219" w:type="dxa"/>
            <w:noWrap/>
          </w:tcPr>
          <w:p w:rsidR="00386517" w:rsidRPr="00AE3EA8" w:rsidRDefault="00386517" w:rsidP="00F90712">
            <w:pPr>
              <w:rPr>
                <w:rFonts w:eastAsia="Times New Roman" w:cs="Arial"/>
                <w:sz w:val="16"/>
                <w:szCs w:val="16"/>
                <w:lang w:eastAsia="sv-SE"/>
              </w:rPr>
            </w:pPr>
            <w:r w:rsidRPr="00AE3EA8">
              <w:rPr>
                <w:rFonts w:eastAsia="Times New Roman" w:cs="Arial"/>
                <w:sz w:val="16"/>
                <w:szCs w:val="16"/>
                <w:lang w:eastAsia="sv-SE"/>
              </w:rPr>
              <w:t>Antal personal som en hemtjänsttagare möter under 14 dagar</w:t>
            </w:r>
          </w:p>
        </w:tc>
        <w:tc>
          <w:tcPr>
            <w:tcW w:w="851" w:type="dxa"/>
          </w:tcPr>
          <w:p w:rsidR="00386517" w:rsidRDefault="00386517" w:rsidP="00F90712">
            <w:pPr>
              <w:jc w:val="center"/>
              <w:rPr>
                <w:rFonts w:eastAsia="Times New Roman" w:cs="Arial"/>
                <w:sz w:val="16"/>
                <w:szCs w:val="16"/>
                <w:lang w:eastAsia="sv-SE"/>
              </w:rPr>
            </w:pPr>
            <w:r>
              <w:rPr>
                <w:rFonts w:eastAsia="Times New Roman" w:cs="Arial"/>
                <w:sz w:val="16"/>
                <w:szCs w:val="16"/>
                <w:lang w:eastAsia="sv-SE"/>
              </w:rPr>
              <w:t>13</w:t>
            </w:r>
          </w:p>
        </w:tc>
        <w:tc>
          <w:tcPr>
            <w:tcW w:w="850" w:type="dxa"/>
          </w:tcPr>
          <w:p w:rsidR="00386517" w:rsidRDefault="00386517" w:rsidP="00F90712">
            <w:pPr>
              <w:jc w:val="center"/>
              <w:rPr>
                <w:rFonts w:eastAsia="Times New Roman" w:cs="Arial"/>
                <w:sz w:val="16"/>
                <w:szCs w:val="16"/>
                <w:lang w:eastAsia="sv-SE"/>
              </w:rPr>
            </w:pPr>
            <w:r>
              <w:rPr>
                <w:rFonts w:eastAsia="Times New Roman" w:cs="Arial"/>
                <w:sz w:val="16"/>
                <w:szCs w:val="16"/>
                <w:lang w:eastAsia="sv-SE"/>
              </w:rPr>
              <w:t>13</w:t>
            </w:r>
          </w:p>
        </w:tc>
        <w:tc>
          <w:tcPr>
            <w:tcW w:w="851" w:type="dxa"/>
          </w:tcPr>
          <w:p w:rsidR="00386517" w:rsidRDefault="00386517" w:rsidP="00F90712">
            <w:pPr>
              <w:jc w:val="center"/>
              <w:rPr>
                <w:rFonts w:eastAsia="Times New Roman" w:cs="Arial"/>
                <w:sz w:val="16"/>
                <w:szCs w:val="16"/>
                <w:lang w:eastAsia="sv-SE"/>
              </w:rPr>
            </w:pPr>
            <w:r>
              <w:rPr>
                <w:rFonts w:eastAsia="Times New Roman" w:cs="Arial"/>
                <w:sz w:val="16"/>
                <w:szCs w:val="16"/>
                <w:lang w:eastAsia="sv-SE"/>
              </w:rPr>
              <w:t>14</w:t>
            </w:r>
          </w:p>
        </w:tc>
        <w:tc>
          <w:tcPr>
            <w:tcW w:w="850" w:type="dxa"/>
          </w:tcPr>
          <w:p w:rsidR="00386517" w:rsidRDefault="00386517" w:rsidP="00F90712">
            <w:pPr>
              <w:jc w:val="center"/>
              <w:rPr>
                <w:rFonts w:eastAsia="Times New Roman" w:cs="Arial"/>
                <w:sz w:val="16"/>
                <w:szCs w:val="16"/>
                <w:lang w:eastAsia="sv-SE"/>
              </w:rPr>
            </w:pPr>
            <w:r>
              <w:rPr>
                <w:rFonts w:eastAsia="Times New Roman" w:cs="Arial"/>
                <w:sz w:val="16"/>
                <w:szCs w:val="16"/>
                <w:lang w:eastAsia="sv-SE"/>
              </w:rPr>
              <w:t>15</w:t>
            </w:r>
          </w:p>
        </w:tc>
      </w:tr>
      <w:tr w:rsidR="00386517" w:rsidRPr="00AE3EA8" w:rsidTr="00F90712">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Height w:val="270"/>
        </w:trPr>
        <w:tc>
          <w:tcPr>
            <w:tcW w:w="4219" w:type="dxa"/>
            <w:noWrap/>
          </w:tcPr>
          <w:p w:rsidR="00386517" w:rsidRPr="00AE3EA8" w:rsidRDefault="00386517" w:rsidP="00F90712">
            <w:pPr>
              <w:rPr>
                <w:rFonts w:eastAsia="Times New Roman" w:cs="Arial"/>
                <w:sz w:val="16"/>
                <w:szCs w:val="16"/>
                <w:lang w:eastAsia="sv-SE"/>
              </w:rPr>
            </w:pPr>
            <w:r w:rsidRPr="00AE3EA8">
              <w:rPr>
                <w:rFonts w:eastAsia="Times New Roman" w:cs="Arial"/>
                <w:sz w:val="16"/>
                <w:szCs w:val="16"/>
                <w:lang w:eastAsia="sv-SE"/>
              </w:rPr>
              <w:t>Elever i åk. 9 som är behöriga till yrkesprogram, kommunala skolor</w:t>
            </w:r>
            <w:r>
              <w:rPr>
                <w:rFonts w:eastAsia="Times New Roman" w:cs="Arial"/>
                <w:sz w:val="16"/>
                <w:szCs w:val="16"/>
                <w:lang w:eastAsia="sv-SE"/>
              </w:rPr>
              <w:t>, procent</w:t>
            </w:r>
          </w:p>
        </w:tc>
        <w:tc>
          <w:tcPr>
            <w:tcW w:w="851" w:type="dxa"/>
          </w:tcPr>
          <w:p w:rsidR="00386517" w:rsidRPr="00AE3EA8" w:rsidRDefault="00386517" w:rsidP="00F90712">
            <w:pPr>
              <w:jc w:val="center"/>
              <w:rPr>
                <w:rFonts w:eastAsia="Times New Roman" w:cs="Arial"/>
                <w:sz w:val="16"/>
                <w:szCs w:val="16"/>
                <w:lang w:eastAsia="sv-SE"/>
              </w:rPr>
            </w:pPr>
            <w:r>
              <w:rPr>
                <w:rFonts w:eastAsia="Times New Roman" w:cs="Arial"/>
                <w:sz w:val="16"/>
                <w:szCs w:val="16"/>
                <w:lang w:eastAsia="sv-SE"/>
              </w:rPr>
              <w:t>82,5</w:t>
            </w:r>
          </w:p>
        </w:tc>
        <w:tc>
          <w:tcPr>
            <w:tcW w:w="850" w:type="dxa"/>
          </w:tcPr>
          <w:p w:rsidR="00386517" w:rsidRPr="00AE3EA8" w:rsidRDefault="00386517" w:rsidP="00F90712">
            <w:pPr>
              <w:jc w:val="center"/>
              <w:rPr>
                <w:rFonts w:eastAsia="Times New Roman" w:cs="Arial"/>
                <w:sz w:val="16"/>
                <w:szCs w:val="16"/>
                <w:lang w:eastAsia="sv-SE"/>
              </w:rPr>
            </w:pPr>
            <w:r>
              <w:rPr>
                <w:rFonts w:eastAsia="Times New Roman" w:cs="Arial"/>
                <w:sz w:val="16"/>
                <w:szCs w:val="16"/>
                <w:lang w:eastAsia="sv-SE"/>
              </w:rPr>
              <w:t>84,2</w:t>
            </w:r>
          </w:p>
        </w:tc>
        <w:tc>
          <w:tcPr>
            <w:tcW w:w="851" w:type="dxa"/>
          </w:tcPr>
          <w:p w:rsidR="00386517" w:rsidRDefault="00386517" w:rsidP="00F90712">
            <w:pPr>
              <w:jc w:val="center"/>
              <w:rPr>
                <w:rFonts w:eastAsia="Times New Roman" w:cs="Arial"/>
                <w:sz w:val="16"/>
                <w:szCs w:val="16"/>
                <w:lang w:eastAsia="sv-SE"/>
              </w:rPr>
            </w:pPr>
            <w:r>
              <w:rPr>
                <w:rFonts w:eastAsia="Times New Roman" w:cs="Arial"/>
                <w:sz w:val="16"/>
                <w:szCs w:val="16"/>
                <w:lang w:eastAsia="sv-SE"/>
              </w:rPr>
              <w:t>76,9</w:t>
            </w:r>
          </w:p>
        </w:tc>
        <w:tc>
          <w:tcPr>
            <w:tcW w:w="850" w:type="dxa"/>
          </w:tcPr>
          <w:p w:rsidR="00386517" w:rsidRDefault="00386517" w:rsidP="00F90712">
            <w:pPr>
              <w:jc w:val="center"/>
              <w:rPr>
                <w:rFonts w:eastAsia="Times New Roman" w:cs="Arial"/>
                <w:sz w:val="16"/>
                <w:szCs w:val="16"/>
                <w:lang w:eastAsia="sv-SE"/>
              </w:rPr>
            </w:pPr>
            <w:r>
              <w:rPr>
                <w:rFonts w:eastAsia="Times New Roman" w:cs="Arial"/>
                <w:sz w:val="16"/>
                <w:szCs w:val="16"/>
                <w:lang w:eastAsia="sv-SE"/>
              </w:rPr>
              <w:t>78,4</w:t>
            </w:r>
          </w:p>
        </w:tc>
      </w:tr>
      <w:tr w:rsidR="00386517" w:rsidRPr="00AE3EA8" w:rsidTr="00F90712">
        <w:tblPrEx>
          <w:tblLook w:val="0420" w:firstRow="1" w:lastRow="0" w:firstColumn="0" w:lastColumn="0" w:noHBand="0" w:noVBand="1"/>
        </w:tblPrEx>
        <w:trPr>
          <w:trHeight w:val="270"/>
        </w:trPr>
        <w:tc>
          <w:tcPr>
            <w:tcW w:w="4219" w:type="dxa"/>
            <w:noWrap/>
          </w:tcPr>
          <w:p w:rsidR="00386517" w:rsidRPr="00AE3EA8" w:rsidRDefault="00386517" w:rsidP="00F90712">
            <w:pPr>
              <w:rPr>
                <w:rFonts w:eastAsia="Times New Roman" w:cs="Arial"/>
                <w:sz w:val="16"/>
                <w:szCs w:val="16"/>
                <w:lang w:eastAsia="sv-SE"/>
              </w:rPr>
            </w:pPr>
            <w:r>
              <w:rPr>
                <w:rFonts w:eastAsia="Times New Roman" w:cs="Arial"/>
                <w:sz w:val="16"/>
                <w:szCs w:val="16"/>
                <w:lang w:eastAsia="sv-SE"/>
              </w:rPr>
              <w:t>G</w:t>
            </w:r>
            <w:r w:rsidRPr="00AE3EA8">
              <w:rPr>
                <w:rFonts w:eastAsia="Times New Roman" w:cs="Arial"/>
                <w:sz w:val="16"/>
                <w:szCs w:val="16"/>
                <w:lang w:eastAsia="sv-SE"/>
              </w:rPr>
              <w:t>ymnasieelever med examen inom 4 år i kommunala skolor</w:t>
            </w:r>
            <w:r>
              <w:rPr>
                <w:rFonts w:eastAsia="Times New Roman" w:cs="Arial"/>
                <w:sz w:val="16"/>
                <w:szCs w:val="16"/>
                <w:lang w:eastAsia="sv-SE"/>
              </w:rPr>
              <w:t>, procent</w:t>
            </w:r>
          </w:p>
        </w:tc>
        <w:tc>
          <w:tcPr>
            <w:tcW w:w="851" w:type="dxa"/>
          </w:tcPr>
          <w:p w:rsidR="00386517" w:rsidRPr="00AE3EA8" w:rsidRDefault="00386517" w:rsidP="00F90712">
            <w:pPr>
              <w:jc w:val="center"/>
              <w:rPr>
                <w:rFonts w:eastAsia="Times New Roman" w:cs="Arial"/>
                <w:sz w:val="16"/>
                <w:szCs w:val="16"/>
                <w:lang w:eastAsia="sv-SE"/>
              </w:rPr>
            </w:pPr>
            <w:r>
              <w:rPr>
                <w:rFonts w:eastAsia="Times New Roman" w:cs="Arial"/>
                <w:sz w:val="16"/>
                <w:szCs w:val="16"/>
                <w:lang w:eastAsia="sv-SE"/>
              </w:rPr>
              <w:t>71,4</w:t>
            </w:r>
          </w:p>
        </w:tc>
        <w:tc>
          <w:tcPr>
            <w:tcW w:w="850" w:type="dxa"/>
          </w:tcPr>
          <w:p w:rsidR="00386517" w:rsidRPr="00AE3EA8" w:rsidRDefault="00386517" w:rsidP="00F90712">
            <w:pPr>
              <w:jc w:val="center"/>
              <w:rPr>
                <w:rFonts w:eastAsia="Times New Roman" w:cs="Arial"/>
                <w:sz w:val="16"/>
                <w:szCs w:val="16"/>
                <w:lang w:eastAsia="sv-SE"/>
              </w:rPr>
            </w:pPr>
            <w:r>
              <w:rPr>
                <w:rFonts w:eastAsia="Times New Roman" w:cs="Arial"/>
                <w:sz w:val="16"/>
                <w:szCs w:val="16"/>
                <w:lang w:eastAsia="sv-SE"/>
              </w:rPr>
              <w:t>67,0</w:t>
            </w:r>
          </w:p>
        </w:tc>
        <w:tc>
          <w:tcPr>
            <w:tcW w:w="851" w:type="dxa"/>
          </w:tcPr>
          <w:p w:rsidR="00386517" w:rsidRDefault="00386517" w:rsidP="00F90712">
            <w:pPr>
              <w:jc w:val="center"/>
              <w:rPr>
                <w:rFonts w:eastAsia="Times New Roman" w:cs="Arial"/>
                <w:sz w:val="16"/>
                <w:szCs w:val="16"/>
                <w:lang w:eastAsia="sv-SE"/>
              </w:rPr>
            </w:pPr>
            <w:r>
              <w:rPr>
                <w:rFonts w:eastAsia="Times New Roman" w:cs="Arial"/>
                <w:sz w:val="16"/>
                <w:szCs w:val="16"/>
                <w:lang w:eastAsia="sv-SE"/>
              </w:rPr>
              <w:t>69,6</w:t>
            </w:r>
          </w:p>
        </w:tc>
        <w:tc>
          <w:tcPr>
            <w:tcW w:w="850" w:type="dxa"/>
          </w:tcPr>
          <w:p w:rsidR="00386517" w:rsidRDefault="00386517" w:rsidP="00F90712">
            <w:pPr>
              <w:jc w:val="center"/>
              <w:rPr>
                <w:rFonts w:eastAsia="Times New Roman" w:cs="Arial"/>
                <w:sz w:val="16"/>
                <w:szCs w:val="16"/>
                <w:lang w:eastAsia="sv-SE"/>
              </w:rPr>
            </w:pPr>
            <w:r>
              <w:rPr>
                <w:rFonts w:eastAsia="Times New Roman" w:cs="Arial"/>
                <w:sz w:val="16"/>
                <w:szCs w:val="16"/>
                <w:lang w:eastAsia="sv-SE"/>
              </w:rPr>
              <w:t>71,9</w:t>
            </w:r>
          </w:p>
        </w:tc>
      </w:tr>
      <w:tr w:rsidR="00386517" w:rsidRPr="00AE3EA8" w:rsidTr="00F90712">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Height w:val="270"/>
        </w:trPr>
        <w:tc>
          <w:tcPr>
            <w:tcW w:w="4219" w:type="dxa"/>
            <w:noWrap/>
          </w:tcPr>
          <w:p w:rsidR="00386517" w:rsidRPr="00AE3EA8" w:rsidRDefault="00386517" w:rsidP="00F90712">
            <w:pPr>
              <w:rPr>
                <w:rFonts w:eastAsia="Times New Roman" w:cs="Arial"/>
                <w:sz w:val="16"/>
                <w:szCs w:val="16"/>
                <w:lang w:eastAsia="sv-SE"/>
              </w:rPr>
            </w:pPr>
            <w:r w:rsidRPr="00AE3EA8">
              <w:rPr>
                <w:rFonts w:eastAsia="Times New Roman" w:cs="Arial"/>
                <w:sz w:val="16"/>
                <w:szCs w:val="16"/>
                <w:lang w:eastAsia="sv-SE"/>
              </w:rPr>
              <w:t>Andel miljöbilar</w:t>
            </w:r>
            <w:r>
              <w:rPr>
                <w:rFonts w:eastAsia="Times New Roman" w:cs="Arial"/>
                <w:sz w:val="16"/>
                <w:szCs w:val="16"/>
                <w:lang w:eastAsia="sv-SE"/>
              </w:rPr>
              <w:t>, procent</w:t>
            </w:r>
          </w:p>
        </w:tc>
        <w:tc>
          <w:tcPr>
            <w:tcW w:w="851" w:type="dxa"/>
          </w:tcPr>
          <w:p w:rsidR="00386517" w:rsidRPr="00AE3EA8" w:rsidRDefault="00386517" w:rsidP="00F90712">
            <w:pPr>
              <w:jc w:val="center"/>
              <w:rPr>
                <w:rFonts w:eastAsia="Times New Roman" w:cs="Arial"/>
                <w:sz w:val="16"/>
                <w:szCs w:val="16"/>
                <w:lang w:eastAsia="sv-SE"/>
              </w:rPr>
            </w:pPr>
            <w:r>
              <w:rPr>
                <w:rFonts w:eastAsia="Times New Roman" w:cs="Arial"/>
                <w:sz w:val="16"/>
                <w:szCs w:val="16"/>
                <w:lang w:eastAsia="sv-SE"/>
              </w:rPr>
              <w:t>68,4</w:t>
            </w:r>
          </w:p>
        </w:tc>
        <w:tc>
          <w:tcPr>
            <w:tcW w:w="850" w:type="dxa"/>
          </w:tcPr>
          <w:p w:rsidR="00386517" w:rsidRPr="00AE3EA8" w:rsidRDefault="00386517" w:rsidP="00F90712">
            <w:pPr>
              <w:jc w:val="center"/>
              <w:rPr>
                <w:rFonts w:eastAsia="Times New Roman" w:cs="Arial"/>
                <w:sz w:val="16"/>
                <w:szCs w:val="16"/>
                <w:lang w:eastAsia="sv-SE"/>
              </w:rPr>
            </w:pPr>
            <w:r>
              <w:rPr>
                <w:rFonts w:eastAsia="Times New Roman" w:cs="Arial"/>
                <w:sz w:val="16"/>
                <w:szCs w:val="16"/>
                <w:lang w:eastAsia="sv-SE"/>
              </w:rPr>
              <w:t>67,3</w:t>
            </w:r>
          </w:p>
        </w:tc>
        <w:tc>
          <w:tcPr>
            <w:tcW w:w="851" w:type="dxa"/>
          </w:tcPr>
          <w:p w:rsidR="00386517" w:rsidRDefault="00386517" w:rsidP="00F90712">
            <w:pPr>
              <w:jc w:val="center"/>
              <w:rPr>
                <w:rFonts w:eastAsia="Times New Roman" w:cs="Arial"/>
                <w:sz w:val="16"/>
                <w:szCs w:val="16"/>
                <w:lang w:eastAsia="sv-SE"/>
              </w:rPr>
            </w:pPr>
            <w:r>
              <w:rPr>
                <w:rFonts w:eastAsia="Times New Roman" w:cs="Arial"/>
                <w:sz w:val="16"/>
                <w:szCs w:val="16"/>
                <w:lang w:eastAsia="sv-SE"/>
              </w:rPr>
              <w:t>66,7</w:t>
            </w:r>
          </w:p>
        </w:tc>
        <w:tc>
          <w:tcPr>
            <w:tcW w:w="850" w:type="dxa"/>
          </w:tcPr>
          <w:p w:rsidR="00386517" w:rsidRDefault="00386517" w:rsidP="00F90712">
            <w:pPr>
              <w:jc w:val="center"/>
              <w:rPr>
                <w:rFonts w:eastAsia="Times New Roman" w:cs="Arial"/>
                <w:sz w:val="16"/>
                <w:szCs w:val="16"/>
                <w:lang w:eastAsia="sv-SE"/>
              </w:rPr>
            </w:pPr>
            <w:r>
              <w:rPr>
                <w:rFonts w:eastAsia="Times New Roman" w:cs="Arial"/>
                <w:sz w:val="16"/>
                <w:szCs w:val="16"/>
                <w:lang w:eastAsia="sv-SE"/>
              </w:rPr>
              <w:t>66,3</w:t>
            </w:r>
          </w:p>
        </w:tc>
      </w:tr>
      <w:tr w:rsidR="00386517" w:rsidRPr="00AE3EA8" w:rsidTr="00F90712">
        <w:tblPrEx>
          <w:tblLook w:val="0420" w:firstRow="1" w:lastRow="0" w:firstColumn="0" w:lastColumn="0" w:noHBand="0" w:noVBand="1"/>
        </w:tblPrEx>
        <w:trPr>
          <w:trHeight w:val="270"/>
        </w:trPr>
        <w:tc>
          <w:tcPr>
            <w:tcW w:w="4219" w:type="dxa"/>
            <w:noWrap/>
          </w:tcPr>
          <w:p w:rsidR="00386517" w:rsidRPr="0052153E" w:rsidRDefault="00386517" w:rsidP="00F90712">
            <w:pPr>
              <w:rPr>
                <w:rFonts w:eastAsia="Times New Roman" w:cs="Arial"/>
                <w:sz w:val="16"/>
                <w:szCs w:val="16"/>
                <w:lang w:eastAsia="sv-SE"/>
              </w:rPr>
            </w:pPr>
            <w:r w:rsidRPr="0052153E">
              <w:rPr>
                <w:rFonts w:eastAsia="Times New Roman" w:cs="Arial"/>
                <w:sz w:val="16"/>
                <w:szCs w:val="16"/>
                <w:lang w:eastAsia="sv-SE"/>
              </w:rPr>
              <w:t>Total sjukfrånvaro</w:t>
            </w:r>
            <w:r>
              <w:rPr>
                <w:rFonts w:eastAsia="Times New Roman" w:cs="Arial"/>
                <w:sz w:val="16"/>
                <w:szCs w:val="16"/>
                <w:lang w:eastAsia="sv-SE"/>
              </w:rPr>
              <w:t>, procent</w:t>
            </w:r>
          </w:p>
        </w:tc>
        <w:tc>
          <w:tcPr>
            <w:tcW w:w="851" w:type="dxa"/>
          </w:tcPr>
          <w:p w:rsidR="00386517" w:rsidRPr="00AE3EA8" w:rsidRDefault="00386517" w:rsidP="00F90712">
            <w:pPr>
              <w:jc w:val="center"/>
              <w:rPr>
                <w:rFonts w:eastAsia="Times New Roman" w:cs="Arial"/>
                <w:sz w:val="16"/>
                <w:szCs w:val="16"/>
                <w:lang w:eastAsia="sv-SE"/>
              </w:rPr>
            </w:pPr>
            <w:r>
              <w:rPr>
                <w:rFonts w:eastAsia="Times New Roman" w:cs="Arial"/>
                <w:sz w:val="16"/>
                <w:szCs w:val="16"/>
                <w:lang w:eastAsia="sv-SE"/>
              </w:rPr>
              <w:t xml:space="preserve">7,3 </w:t>
            </w:r>
          </w:p>
        </w:tc>
        <w:tc>
          <w:tcPr>
            <w:tcW w:w="850" w:type="dxa"/>
          </w:tcPr>
          <w:p w:rsidR="00386517" w:rsidRPr="00AE3EA8" w:rsidRDefault="00386517" w:rsidP="00F90712">
            <w:pPr>
              <w:jc w:val="center"/>
              <w:rPr>
                <w:rFonts w:eastAsia="Times New Roman" w:cs="Arial"/>
                <w:sz w:val="16"/>
                <w:szCs w:val="16"/>
                <w:lang w:eastAsia="sv-SE"/>
              </w:rPr>
            </w:pPr>
            <w:r>
              <w:rPr>
                <w:rFonts w:eastAsia="Times New Roman" w:cs="Arial"/>
                <w:sz w:val="16"/>
                <w:szCs w:val="16"/>
                <w:lang w:eastAsia="sv-SE"/>
              </w:rPr>
              <w:t xml:space="preserve">7,1 </w:t>
            </w:r>
          </w:p>
        </w:tc>
        <w:tc>
          <w:tcPr>
            <w:tcW w:w="851" w:type="dxa"/>
          </w:tcPr>
          <w:p w:rsidR="00386517" w:rsidRDefault="00386517" w:rsidP="00F90712">
            <w:pPr>
              <w:jc w:val="center"/>
              <w:rPr>
                <w:rFonts w:eastAsia="Times New Roman" w:cs="Arial"/>
                <w:sz w:val="16"/>
                <w:szCs w:val="16"/>
                <w:lang w:eastAsia="sv-SE"/>
              </w:rPr>
            </w:pPr>
            <w:r>
              <w:rPr>
                <w:rFonts w:eastAsia="Times New Roman" w:cs="Arial"/>
                <w:sz w:val="16"/>
                <w:szCs w:val="16"/>
                <w:lang w:eastAsia="sv-SE"/>
              </w:rPr>
              <w:t xml:space="preserve">6,6 </w:t>
            </w:r>
          </w:p>
        </w:tc>
        <w:tc>
          <w:tcPr>
            <w:tcW w:w="850" w:type="dxa"/>
          </w:tcPr>
          <w:p w:rsidR="00386517" w:rsidRDefault="00386517" w:rsidP="00F90712">
            <w:pPr>
              <w:jc w:val="center"/>
              <w:rPr>
                <w:rFonts w:eastAsia="Times New Roman" w:cs="Arial"/>
                <w:sz w:val="16"/>
                <w:szCs w:val="16"/>
                <w:lang w:eastAsia="sv-SE"/>
              </w:rPr>
            </w:pPr>
            <w:r>
              <w:rPr>
                <w:rFonts w:eastAsia="Times New Roman" w:cs="Arial"/>
                <w:sz w:val="16"/>
                <w:szCs w:val="16"/>
                <w:lang w:eastAsia="sv-SE"/>
              </w:rPr>
              <w:t xml:space="preserve">6,2 </w:t>
            </w:r>
          </w:p>
        </w:tc>
      </w:tr>
      <w:tr w:rsidR="00386517" w:rsidRPr="00AE3EA8" w:rsidTr="00F90712">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Height w:val="270"/>
        </w:trPr>
        <w:tc>
          <w:tcPr>
            <w:tcW w:w="4219" w:type="dxa"/>
            <w:noWrap/>
          </w:tcPr>
          <w:p w:rsidR="00386517" w:rsidRPr="0052153E" w:rsidRDefault="00386517" w:rsidP="00F90712">
            <w:pPr>
              <w:rPr>
                <w:rFonts w:eastAsia="Times New Roman" w:cs="Arial"/>
                <w:sz w:val="16"/>
                <w:szCs w:val="16"/>
                <w:lang w:eastAsia="sv-SE"/>
              </w:rPr>
            </w:pPr>
            <w:r w:rsidRPr="0052153E">
              <w:rPr>
                <w:sz w:val="16"/>
                <w:szCs w:val="16"/>
              </w:rPr>
              <w:t>Västerås stads soliditet inklusive samtliga pensionsförpliktelser och exklusive internbanken ska vara minst 40 procent</w:t>
            </w:r>
          </w:p>
        </w:tc>
        <w:tc>
          <w:tcPr>
            <w:tcW w:w="851" w:type="dxa"/>
          </w:tcPr>
          <w:p w:rsidR="00386517" w:rsidRDefault="00386517" w:rsidP="00F90712">
            <w:pPr>
              <w:jc w:val="center"/>
              <w:rPr>
                <w:rFonts w:eastAsia="Times New Roman" w:cs="Arial"/>
                <w:sz w:val="16"/>
                <w:szCs w:val="16"/>
                <w:lang w:eastAsia="sv-SE"/>
              </w:rPr>
            </w:pPr>
            <w:r>
              <w:rPr>
                <w:rFonts w:eastAsia="Times New Roman" w:cs="Arial"/>
                <w:sz w:val="16"/>
                <w:szCs w:val="16"/>
                <w:lang w:eastAsia="sv-SE"/>
              </w:rPr>
              <w:t xml:space="preserve">42,6 </w:t>
            </w:r>
          </w:p>
        </w:tc>
        <w:tc>
          <w:tcPr>
            <w:tcW w:w="850" w:type="dxa"/>
          </w:tcPr>
          <w:p w:rsidR="00386517" w:rsidRDefault="00386517" w:rsidP="00F90712">
            <w:pPr>
              <w:jc w:val="center"/>
              <w:rPr>
                <w:rFonts w:eastAsia="Times New Roman" w:cs="Arial"/>
                <w:sz w:val="16"/>
                <w:szCs w:val="16"/>
                <w:lang w:eastAsia="sv-SE"/>
              </w:rPr>
            </w:pPr>
            <w:r>
              <w:rPr>
                <w:rFonts w:eastAsia="Times New Roman" w:cs="Arial"/>
                <w:sz w:val="16"/>
                <w:szCs w:val="16"/>
                <w:lang w:eastAsia="sv-SE"/>
              </w:rPr>
              <w:t xml:space="preserve">46,3 </w:t>
            </w:r>
          </w:p>
        </w:tc>
        <w:tc>
          <w:tcPr>
            <w:tcW w:w="851" w:type="dxa"/>
          </w:tcPr>
          <w:p w:rsidR="00386517" w:rsidRDefault="00386517" w:rsidP="00F90712">
            <w:pPr>
              <w:jc w:val="center"/>
              <w:rPr>
                <w:rFonts w:eastAsia="Times New Roman" w:cs="Arial"/>
                <w:sz w:val="16"/>
                <w:szCs w:val="16"/>
                <w:lang w:eastAsia="sv-SE"/>
              </w:rPr>
            </w:pPr>
            <w:r>
              <w:rPr>
                <w:rFonts w:eastAsia="Times New Roman" w:cs="Arial"/>
                <w:sz w:val="16"/>
                <w:szCs w:val="16"/>
                <w:lang w:eastAsia="sv-SE"/>
              </w:rPr>
              <w:t xml:space="preserve">49,2 </w:t>
            </w:r>
          </w:p>
        </w:tc>
        <w:tc>
          <w:tcPr>
            <w:tcW w:w="850" w:type="dxa"/>
          </w:tcPr>
          <w:p w:rsidR="00386517" w:rsidRDefault="00386517" w:rsidP="00F90712">
            <w:pPr>
              <w:jc w:val="center"/>
              <w:rPr>
                <w:rFonts w:eastAsia="Times New Roman" w:cs="Arial"/>
                <w:sz w:val="16"/>
                <w:szCs w:val="16"/>
                <w:lang w:eastAsia="sv-SE"/>
              </w:rPr>
            </w:pPr>
            <w:r>
              <w:rPr>
                <w:rFonts w:eastAsia="Times New Roman" w:cs="Arial"/>
                <w:sz w:val="16"/>
                <w:szCs w:val="16"/>
                <w:lang w:eastAsia="sv-SE"/>
              </w:rPr>
              <w:t>53,1</w:t>
            </w:r>
          </w:p>
        </w:tc>
      </w:tr>
      <w:tr w:rsidR="00386517" w:rsidRPr="00AE3EA8" w:rsidTr="00F90712">
        <w:tblPrEx>
          <w:tblLook w:val="0420" w:firstRow="1" w:lastRow="0" w:firstColumn="0" w:lastColumn="0" w:noHBand="0" w:noVBand="1"/>
        </w:tblPrEx>
        <w:trPr>
          <w:trHeight w:val="270"/>
        </w:trPr>
        <w:tc>
          <w:tcPr>
            <w:tcW w:w="4219" w:type="dxa"/>
            <w:noWrap/>
          </w:tcPr>
          <w:p w:rsidR="00386517" w:rsidRPr="0052153E" w:rsidRDefault="00386517" w:rsidP="00F90712">
            <w:pPr>
              <w:rPr>
                <w:rFonts w:eastAsia="Times New Roman" w:cs="Arial"/>
                <w:sz w:val="16"/>
                <w:szCs w:val="16"/>
                <w:lang w:eastAsia="sv-SE"/>
              </w:rPr>
            </w:pPr>
            <w:r w:rsidRPr="0052153E">
              <w:rPr>
                <w:sz w:val="16"/>
                <w:szCs w:val="16"/>
              </w:rPr>
              <w:t>Västerås stads resultat exkl. realisationsvinster och exploatering ska uppgå till 2,5 procent av skatteintäkter</w:t>
            </w:r>
          </w:p>
        </w:tc>
        <w:tc>
          <w:tcPr>
            <w:tcW w:w="851" w:type="dxa"/>
          </w:tcPr>
          <w:p w:rsidR="00386517" w:rsidRDefault="00386517" w:rsidP="00F90712">
            <w:pPr>
              <w:jc w:val="center"/>
              <w:rPr>
                <w:rFonts w:eastAsia="Times New Roman" w:cs="Arial"/>
                <w:sz w:val="16"/>
                <w:szCs w:val="16"/>
                <w:lang w:eastAsia="sv-SE"/>
              </w:rPr>
            </w:pPr>
            <w:r>
              <w:rPr>
                <w:rFonts w:eastAsia="Times New Roman" w:cs="Arial"/>
                <w:sz w:val="16"/>
                <w:szCs w:val="16"/>
                <w:lang w:eastAsia="sv-SE"/>
              </w:rPr>
              <w:t>2,1</w:t>
            </w:r>
          </w:p>
        </w:tc>
        <w:tc>
          <w:tcPr>
            <w:tcW w:w="850" w:type="dxa"/>
          </w:tcPr>
          <w:p w:rsidR="00386517" w:rsidRDefault="00386517" w:rsidP="00F90712">
            <w:pPr>
              <w:jc w:val="center"/>
              <w:rPr>
                <w:rFonts w:eastAsia="Times New Roman" w:cs="Arial"/>
                <w:sz w:val="16"/>
                <w:szCs w:val="16"/>
                <w:lang w:eastAsia="sv-SE"/>
              </w:rPr>
            </w:pPr>
            <w:r>
              <w:rPr>
                <w:rFonts w:eastAsia="Times New Roman" w:cs="Arial"/>
                <w:sz w:val="16"/>
                <w:szCs w:val="16"/>
                <w:lang w:eastAsia="sv-SE"/>
              </w:rPr>
              <w:t>2,5</w:t>
            </w:r>
          </w:p>
        </w:tc>
        <w:tc>
          <w:tcPr>
            <w:tcW w:w="851" w:type="dxa"/>
          </w:tcPr>
          <w:p w:rsidR="00386517" w:rsidRDefault="00386517" w:rsidP="00F90712">
            <w:pPr>
              <w:jc w:val="center"/>
              <w:rPr>
                <w:rFonts w:eastAsia="Times New Roman" w:cs="Arial"/>
                <w:sz w:val="16"/>
                <w:szCs w:val="16"/>
                <w:lang w:eastAsia="sv-SE"/>
              </w:rPr>
            </w:pPr>
            <w:r>
              <w:rPr>
                <w:rFonts w:eastAsia="Times New Roman" w:cs="Arial"/>
                <w:sz w:val="16"/>
                <w:szCs w:val="16"/>
                <w:lang w:eastAsia="sv-SE"/>
              </w:rPr>
              <w:t>1,0</w:t>
            </w:r>
          </w:p>
        </w:tc>
        <w:tc>
          <w:tcPr>
            <w:tcW w:w="850" w:type="dxa"/>
          </w:tcPr>
          <w:p w:rsidR="00386517" w:rsidRDefault="00386517" w:rsidP="00F90712">
            <w:pPr>
              <w:jc w:val="center"/>
              <w:rPr>
                <w:rFonts w:eastAsia="Times New Roman" w:cs="Arial"/>
                <w:sz w:val="16"/>
                <w:szCs w:val="16"/>
                <w:lang w:eastAsia="sv-SE"/>
              </w:rPr>
            </w:pPr>
            <w:r>
              <w:rPr>
                <w:rFonts w:eastAsia="Times New Roman" w:cs="Arial"/>
                <w:sz w:val="16"/>
                <w:szCs w:val="16"/>
                <w:lang w:eastAsia="sv-SE"/>
              </w:rPr>
              <w:t>1,7</w:t>
            </w:r>
          </w:p>
        </w:tc>
      </w:tr>
      <w:tr w:rsidR="00386517" w:rsidRPr="00AE3EA8" w:rsidTr="00F90712">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Height w:val="270"/>
        </w:trPr>
        <w:tc>
          <w:tcPr>
            <w:tcW w:w="4219" w:type="dxa"/>
            <w:noWrap/>
          </w:tcPr>
          <w:p w:rsidR="00386517" w:rsidRPr="0052153E" w:rsidRDefault="00386517" w:rsidP="00F90712">
            <w:pPr>
              <w:rPr>
                <w:rFonts w:eastAsia="Times New Roman" w:cs="Arial"/>
                <w:sz w:val="16"/>
                <w:szCs w:val="16"/>
                <w:lang w:eastAsia="sv-SE"/>
              </w:rPr>
            </w:pPr>
            <w:r w:rsidRPr="0052153E">
              <w:rPr>
                <w:sz w:val="16"/>
                <w:szCs w:val="16"/>
              </w:rPr>
              <w:t>Västerås stads upplåning för egen räkning ska inte överstiga 1 miljard kronor</w:t>
            </w:r>
          </w:p>
        </w:tc>
        <w:tc>
          <w:tcPr>
            <w:tcW w:w="851" w:type="dxa"/>
          </w:tcPr>
          <w:p w:rsidR="00386517" w:rsidRDefault="00386517" w:rsidP="00F90712">
            <w:pPr>
              <w:jc w:val="center"/>
              <w:rPr>
                <w:rFonts w:eastAsia="Times New Roman" w:cs="Arial"/>
                <w:sz w:val="16"/>
                <w:szCs w:val="16"/>
                <w:lang w:eastAsia="sv-SE"/>
              </w:rPr>
            </w:pPr>
            <w:r>
              <w:rPr>
                <w:rFonts w:eastAsia="Times New Roman" w:cs="Arial"/>
                <w:sz w:val="16"/>
                <w:szCs w:val="16"/>
                <w:lang w:eastAsia="sv-SE"/>
              </w:rPr>
              <w:t>0 kr</w:t>
            </w:r>
          </w:p>
        </w:tc>
        <w:tc>
          <w:tcPr>
            <w:tcW w:w="850" w:type="dxa"/>
          </w:tcPr>
          <w:p w:rsidR="00386517" w:rsidRDefault="00386517" w:rsidP="00F90712">
            <w:pPr>
              <w:jc w:val="center"/>
              <w:rPr>
                <w:rFonts w:eastAsia="Times New Roman" w:cs="Arial"/>
                <w:sz w:val="16"/>
                <w:szCs w:val="16"/>
                <w:lang w:eastAsia="sv-SE"/>
              </w:rPr>
            </w:pPr>
            <w:r>
              <w:rPr>
                <w:rFonts w:eastAsia="Times New Roman" w:cs="Arial"/>
                <w:sz w:val="16"/>
                <w:szCs w:val="16"/>
                <w:lang w:eastAsia="sv-SE"/>
              </w:rPr>
              <w:t>0 kr</w:t>
            </w:r>
          </w:p>
        </w:tc>
        <w:tc>
          <w:tcPr>
            <w:tcW w:w="851" w:type="dxa"/>
          </w:tcPr>
          <w:p w:rsidR="00386517" w:rsidRDefault="00386517" w:rsidP="00F90712">
            <w:pPr>
              <w:jc w:val="center"/>
              <w:rPr>
                <w:rFonts w:eastAsia="Times New Roman" w:cs="Arial"/>
                <w:sz w:val="16"/>
                <w:szCs w:val="16"/>
                <w:lang w:eastAsia="sv-SE"/>
              </w:rPr>
            </w:pPr>
            <w:r>
              <w:rPr>
                <w:rFonts w:eastAsia="Times New Roman" w:cs="Arial"/>
                <w:sz w:val="16"/>
                <w:szCs w:val="16"/>
                <w:lang w:eastAsia="sv-SE"/>
              </w:rPr>
              <w:t>0 kr</w:t>
            </w:r>
          </w:p>
        </w:tc>
        <w:tc>
          <w:tcPr>
            <w:tcW w:w="850" w:type="dxa"/>
          </w:tcPr>
          <w:p w:rsidR="00386517" w:rsidRDefault="00386517" w:rsidP="00F90712">
            <w:pPr>
              <w:jc w:val="center"/>
              <w:rPr>
                <w:rFonts w:eastAsia="Times New Roman" w:cs="Arial"/>
                <w:sz w:val="16"/>
                <w:szCs w:val="16"/>
                <w:lang w:eastAsia="sv-SE"/>
              </w:rPr>
            </w:pPr>
            <w:r>
              <w:rPr>
                <w:rFonts w:eastAsia="Times New Roman" w:cs="Arial"/>
                <w:sz w:val="16"/>
                <w:szCs w:val="16"/>
                <w:lang w:eastAsia="sv-SE"/>
              </w:rPr>
              <w:t>0 kr</w:t>
            </w:r>
          </w:p>
        </w:tc>
      </w:tr>
    </w:tbl>
    <w:p w:rsidR="00F97D50" w:rsidRPr="00386517" w:rsidRDefault="00F97D50" w:rsidP="00A36197">
      <w:bookmarkStart w:id="23" w:name="_Toc401320494"/>
      <w:bookmarkEnd w:id="23"/>
    </w:p>
    <w:sectPr w:rsidR="00F97D50" w:rsidRPr="00386517" w:rsidSect="003C2432">
      <w:headerReference w:type="default" r:id="rId14"/>
      <w:footerReference w:type="default" r:id="rId15"/>
      <w:headerReference w:type="first" r:id="rId16"/>
      <w:pgSz w:w="11906" w:h="16838"/>
      <w:pgMar w:top="3119" w:right="2268" w:bottom="1701" w:left="2268"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712" w:rsidRPr="00386517" w:rsidRDefault="00F90712" w:rsidP="00386296">
      <w:pPr>
        <w:spacing w:line="240" w:lineRule="auto"/>
      </w:pPr>
      <w:r w:rsidRPr="00386517">
        <w:separator/>
      </w:r>
    </w:p>
  </w:endnote>
  <w:endnote w:type="continuationSeparator" w:id="0">
    <w:p w:rsidR="00F90712" w:rsidRPr="00386517" w:rsidRDefault="00F90712" w:rsidP="00386296">
      <w:pPr>
        <w:spacing w:line="240" w:lineRule="auto"/>
      </w:pPr>
      <w:r w:rsidRPr="0038651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vertAnchor="page" w:horzAnchor="page" w:tblpXSpec="center" w:tblpY="15197"/>
      <w:tblOverlap w:val="never"/>
      <w:tblW w:w="9072"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F90712" w:rsidRPr="00386517" w:rsidTr="00DF13D3">
      <w:trPr>
        <w:trHeight w:hRule="exact" w:val="113"/>
      </w:trPr>
      <w:tc>
        <w:tcPr>
          <w:tcW w:w="7510" w:type="dxa"/>
        </w:tcPr>
        <w:p w:rsidR="00F90712" w:rsidRPr="00386517" w:rsidRDefault="00F90712" w:rsidP="00DF13D3">
          <w:pPr>
            <w:pStyle w:val="Sidfot"/>
          </w:pPr>
        </w:p>
      </w:tc>
    </w:tr>
    <w:tr w:rsidR="00F90712" w:rsidRPr="00386517" w:rsidTr="003C2432">
      <w:tc>
        <w:tcPr>
          <w:tcW w:w="7510" w:type="dxa"/>
        </w:tcPr>
        <w:p w:rsidR="00F90712" w:rsidRPr="00386517" w:rsidRDefault="00F90712" w:rsidP="0068267C">
          <w:pPr>
            <w:pStyle w:val="PageHeader"/>
            <w:framePr w:wrap="auto" w:vAnchor="margin" w:hAnchor="text" w:xAlign="left" w:yAlign="inline"/>
            <w:suppressOverlap w:val="0"/>
            <w:jc w:val="center"/>
            <w:rPr>
              <w:lang w:val="sv-SE"/>
            </w:rPr>
          </w:pPr>
          <w:r w:rsidRPr="00386517">
            <w:rPr>
              <w:lang w:val="sv-SE"/>
            </w:rPr>
            <w:fldChar w:fldCharType="begin"/>
          </w:r>
          <w:r w:rsidRPr="00386517">
            <w:rPr>
              <w:lang w:val="sv-SE"/>
            </w:rPr>
            <w:instrText xml:space="preserve"> PAGE   \* MERGEFORMAT </w:instrText>
          </w:r>
          <w:r w:rsidRPr="00386517">
            <w:rPr>
              <w:lang w:val="sv-SE"/>
            </w:rPr>
            <w:fldChar w:fldCharType="separate"/>
          </w:r>
          <w:r w:rsidR="00C34A05">
            <w:rPr>
              <w:noProof/>
              <w:lang w:val="sv-SE"/>
            </w:rPr>
            <w:t>1</w:t>
          </w:r>
          <w:r w:rsidRPr="00386517">
            <w:rPr>
              <w:lang w:val="sv-SE"/>
            </w:rPr>
            <w:fldChar w:fldCharType="end"/>
          </w:r>
        </w:p>
      </w:tc>
    </w:tr>
  </w:tbl>
  <w:p w:rsidR="00F90712" w:rsidRPr="00386517" w:rsidRDefault="00F90712" w:rsidP="0074507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712" w:rsidRPr="00386517" w:rsidRDefault="00F90712" w:rsidP="00386296">
      <w:pPr>
        <w:spacing w:line="240" w:lineRule="auto"/>
      </w:pPr>
      <w:r w:rsidRPr="00386517">
        <w:separator/>
      </w:r>
    </w:p>
  </w:footnote>
  <w:footnote w:type="continuationSeparator" w:id="0">
    <w:p w:rsidR="00F90712" w:rsidRPr="00386517" w:rsidRDefault="00F90712" w:rsidP="00386296">
      <w:pPr>
        <w:spacing w:line="240" w:lineRule="auto"/>
      </w:pPr>
      <w:r w:rsidRPr="0038651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vertAnchor="page" w:horzAnchor="page" w:tblpX="1419" w:tblpY="1135"/>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3"/>
      <w:gridCol w:w="4819"/>
    </w:tblGrid>
    <w:tr w:rsidR="00F90712" w:rsidRPr="00386517" w:rsidTr="00971839">
      <w:tc>
        <w:tcPr>
          <w:tcW w:w="4253" w:type="dxa"/>
        </w:tcPr>
        <w:p w:rsidR="00F90712" w:rsidRPr="00386517" w:rsidRDefault="00F90712" w:rsidP="00971839">
          <w:pPr>
            <w:pStyle w:val="PageHeader"/>
            <w:framePr w:wrap="auto" w:vAnchor="margin" w:hAnchor="text" w:xAlign="left" w:yAlign="inline"/>
            <w:suppressOverlap w:val="0"/>
            <w:rPr>
              <w:lang w:val="sv-SE"/>
            </w:rPr>
          </w:pPr>
          <w:r w:rsidRPr="00386517">
            <w:rPr>
              <w:lang w:val="sv-SE"/>
            </w:rPr>
            <w:t>VÄSTERÅS STAD</w:t>
          </w:r>
        </w:p>
      </w:tc>
      <w:tc>
        <w:tcPr>
          <w:tcW w:w="4819" w:type="dxa"/>
        </w:tcPr>
        <w:p w:rsidR="00F90712" w:rsidRPr="00386517" w:rsidRDefault="00F90712" w:rsidP="00CE656D">
          <w:pPr>
            <w:pStyle w:val="PageHeader"/>
            <w:framePr w:wrap="auto" w:vAnchor="margin" w:hAnchor="text" w:xAlign="left" w:yAlign="inline"/>
            <w:spacing w:line="276" w:lineRule="auto"/>
            <w:ind w:left="3118"/>
            <w:suppressOverlap w:val="0"/>
            <w:rPr>
              <w:lang w:val="sv-SE"/>
            </w:rPr>
          </w:pPr>
          <w:r>
            <w:rPr>
              <w:lang w:val="sv-SE"/>
            </w:rPr>
            <w:t>Dnr 2020/00050</w:t>
          </w:r>
        </w:p>
      </w:tc>
    </w:tr>
    <w:tr w:rsidR="00F90712" w:rsidRPr="00386517" w:rsidTr="00971839">
      <w:trPr>
        <w:trHeight w:hRule="exact" w:val="227"/>
      </w:trPr>
      <w:tc>
        <w:tcPr>
          <w:tcW w:w="9072" w:type="dxa"/>
          <w:gridSpan w:val="2"/>
        </w:tcPr>
        <w:p w:rsidR="00F90712" w:rsidRPr="00386517" w:rsidRDefault="00F90712" w:rsidP="00971839">
          <w:pPr>
            <w:pStyle w:val="PageHeader"/>
            <w:framePr w:wrap="auto" w:vAnchor="margin" w:hAnchor="text" w:xAlign="left" w:yAlign="inline"/>
            <w:suppressOverlap w:val="0"/>
            <w:rPr>
              <w:lang w:val="sv-SE"/>
            </w:rPr>
          </w:pPr>
        </w:p>
      </w:tc>
    </w:tr>
    <w:tr w:rsidR="00F90712" w:rsidRPr="00386517" w:rsidTr="00971839">
      <w:tc>
        <w:tcPr>
          <w:tcW w:w="4253" w:type="dxa"/>
        </w:tcPr>
        <w:p w:rsidR="00F90712" w:rsidRPr="00386517" w:rsidRDefault="00F90712" w:rsidP="00971839">
          <w:pPr>
            <w:pStyle w:val="PageHeader"/>
            <w:framePr w:wrap="auto" w:vAnchor="margin" w:hAnchor="text" w:xAlign="left" w:yAlign="inline"/>
            <w:suppressOverlap w:val="0"/>
            <w:rPr>
              <w:lang w:val="sv-SE"/>
            </w:rPr>
          </w:pPr>
        </w:p>
      </w:tc>
      <w:tc>
        <w:tcPr>
          <w:tcW w:w="4819" w:type="dxa"/>
        </w:tcPr>
        <w:p w:rsidR="00F90712" w:rsidRPr="00386517" w:rsidRDefault="00E371E7" w:rsidP="00CE656D">
          <w:pPr>
            <w:pStyle w:val="PageHeader"/>
            <w:framePr w:wrap="auto" w:vAnchor="margin" w:hAnchor="text" w:xAlign="left" w:yAlign="inline"/>
            <w:spacing w:line="276" w:lineRule="auto"/>
            <w:ind w:left="3118"/>
            <w:suppressOverlap w:val="0"/>
            <w:rPr>
              <w:lang w:val="sv-SE"/>
            </w:rPr>
          </w:pPr>
          <w:r>
            <w:rPr>
              <w:rFonts w:ascii="Calibri" w:hAnsi="Calibri"/>
              <w:lang w:val="sv-SE"/>
            </w:rPr>
            <w:t>2020-01-28</w:t>
          </w:r>
        </w:p>
      </w:tc>
    </w:tr>
  </w:tbl>
  <w:p w:rsidR="00F90712" w:rsidRPr="00386517" w:rsidRDefault="00F90712" w:rsidP="0066056F">
    <w:pPr>
      <w:pStyle w:val="Sidhuvud"/>
      <w:spacing w:line="36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54"/>
      <w:gridCol w:w="3616"/>
    </w:tblGrid>
    <w:tr w:rsidR="00F90712" w:rsidRPr="00386517" w:rsidTr="00C00B26">
      <w:tc>
        <w:tcPr>
          <w:tcW w:w="4508" w:type="dxa"/>
        </w:tcPr>
        <w:p w:rsidR="00F90712" w:rsidRPr="00386517" w:rsidRDefault="00F90712" w:rsidP="00C00B26">
          <w:pPr>
            <w:pStyle w:val="Sidhuvud"/>
          </w:pPr>
          <w:r w:rsidRPr="00386517">
            <w:t>&lt;Förvaltning&gt;</w:t>
          </w:r>
        </w:p>
      </w:tc>
      <w:tc>
        <w:tcPr>
          <w:tcW w:w="4508" w:type="dxa"/>
        </w:tcPr>
        <w:p w:rsidR="00F90712" w:rsidRPr="00386517" w:rsidRDefault="00F90712" w:rsidP="00C00B26">
          <w:pPr>
            <w:pStyle w:val="Sidhuvud"/>
          </w:pPr>
        </w:p>
      </w:tc>
    </w:tr>
    <w:tr w:rsidR="00F90712" w:rsidRPr="00386517" w:rsidTr="00C00B26">
      <w:tc>
        <w:tcPr>
          <w:tcW w:w="4508" w:type="dxa"/>
        </w:tcPr>
        <w:p w:rsidR="00F90712" w:rsidRPr="00386517" w:rsidRDefault="00F90712" w:rsidP="00C00B26">
          <w:pPr>
            <w:pStyle w:val="Sidhuvud"/>
          </w:pPr>
          <w:r w:rsidRPr="00386517">
            <w:t>&lt;</w:t>
          </w:r>
          <w:proofErr w:type="spellStart"/>
          <w:r w:rsidRPr="00386517">
            <w:t>Title</w:t>
          </w:r>
          <w:proofErr w:type="spellEnd"/>
          <w:r w:rsidRPr="00386517">
            <w:t>&gt;</w:t>
          </w:r>
        </w:p>
      </w:tc>
      <w:tc>
        <w:tcPr>
          <w:tcW w:w="4508" w:type="dxa"/>
        </w:tcPr>
        <w:p w:rsidR="00F90712" w:rsidRPr="00386517" w:rsidRDefault="00F90712" w:rsidP="00C00B26">
          <w:pPr>
            <w:pStyle w:val="Sidhuvud"/>
            <w:jc w:val="right"/>
          </w:pPr>
          <w:r w:rsidRPr="00386517">
            <w:t>Dnr: &lt;Dnr&gt;</w:t>
          </w:r>
        </w:p>
      </w:tc>
    </w:tr>
  </w:tbl>
  <w:p w:rsidR="00F90712" w:rsidRPr="00386517" w:rsidRDefault="00F90712" w:rsidP="00C00B2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3F12"/>
    <w:multiLevelType w:val="multilevel"/>
    <w:tmpl w:val="150CEC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B6D1D66"/>
    <w:multiLevelType w:val="multilevel"/>
    <w:tmpl w:val="B18023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5AB370F"/>
    <w:multiLevelType w:val="multilevel"/>
    <w:tmpl w:val="E2160D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9A52757"/>
    <w:multiLevelType w:val="multilevel"/>
    <w:tmpl w:val="F4D652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94820D6"/>
    <w:multiLevelType w:val="multilevel"/>
    <w:tmpl w:val="B86CBE02"/>
    <w:lvl w:ilvl="0">
      <w:start w:val="1"/>
      <w:numFmt w:val="decimal"/>
      <w:pStyle w:val="Rubrik1-Numrering"/>
      <w:lvlText w:val="%1."/>
      <w:lvlJc w:val="left"/>
      <w:pPr>
        <w:ind w:left="360" w:hanging="360"/>
      </w:pPr>
      <w:rPr>
        <w:rFonts w:hint="default"/>
      </w:rPr>
    </w:lvl>
    <w:lvl w:ilvl="1">
      <w:start w:val="1"/>
      <w:numFmt w:val="decimal"/>
      <w:pStyle w:val="Rubrik2-Numrering"/>
      <w:lvlText w:val="%1.%2."/>
      <w:lvlJc w:val="left"/>
      <w:pPr>
        <w:ind w:left="584" w:hanging="584"/>
      </w:pPr>
      <w:rPr>
        <w:rFonts w:hint="default"/>
      </w:rPr>
    </w:lvl>
    <w:lvl w:ilvl="2">
      <w:start w:val="1"/>
      <w:numFmt w:val="decimal"/>
      <w:pStyle w:val="Rubrik3-Numrering"/>
      <w:lvlText w:val="%1.%2.%3."/>
      <w:lvlJc w:val="left"/>
      <w:pPr>
        <w:ind w:left="811" w:hanging="811"/>
      </w:pPr>
      <w:rPr>
        <w:rFonts w:hint="default"/>
      </w:rPr>
    </w:lvl>
    <w:lvl w:ilvl="3">
      <w:start w:val="1"/>
      <w:numFmt w:val="decimal"/>
      <w:pStyle w:val="Rubrik4-Numrering"/>
      <w:lvlText w:val="%1.%2.%3.%4."/>
      <w:lvlJc w:val="left"/>
      <w:pPr>
        <w:ind w:left="1038" w:hanging="103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BD60CDD"/>
    <w:multiLevelType w:val="multilevel"/>
    <w:tmpl w:val="88B038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achedTemplatePath" w:val="Rapport.dotm"/>
    <w:docVar w:name="CreatedWithDtVersion" w:val="2.3.017"/>
    <w:docVar w:name="DocumentCreated" w:val="DocumentCreated"/>
    <w:docVar w:name="DocumentCreatedOK" w:val="DocumentCreatedOK"/>
    <w:docVar w:name="DocumentInitialized" w:val="OK"/>
    <w:docVar w:name="IntegrationType" w:val="StandAlone"/>
  </w:docVars>
  <w:rsids>
    <w:rsidRoot w:val="00386517"/>
    <w:rsid w:val="00005131"/>
    <w:rsid w:val="00012A2E"/>
    <w:rsid w:val="000130D9"/>
    <w:rsid w:val="000309A2"/>
    <w:rsid w:val="00063AEF"/>
    <w:rsid w:val="0006534D"/>
    <w:rsid w:val="000B362A"/>
    <w:rsid w:val="000B4E84"/>
    <w:rsid w:val="000C144C"/>
    <w:rsid w:val="000F1195"/>
    <w:rsid w:val="000F5B26"/>
    <w:rsid w:val="001048F5"/>
    <w:rsid w:val="00115BF9"/>
    <w:rsid w:val="00121163"/>
    <w:rsid w:val="001447B2"/>
    <w:rsid w:val="00172EFA"/>
    <w:rsid w:val="00173E1A"/>
    <w:rsid w:val="001925B3"/>
    <w:rsid w:val="001B667E"/>
    <w:rsid w:val="001B6A96"/>
    <w:rsid w:val="001E2B97"/>
    <w:rsid w:val="001E2BF1"/>
    <w:rsid w:val="001E3455"/>
    <w:rsid w:val="00212C02"/>
    <w:rsid w:val="002159BA"/>
    <w:rsid w:val="0024700A"/>
    <w:rsid w:val="002717BF"/>
    <w:rsid w:val="00297298"/>
    <w:rsid w:val="002C4684"/>
    <w:rsid w:val="002C7FD1"/>
    <w:rsid w:val="002F5853"/>
    <w:rsid w:val="00315662"/>
    <w:rsid w:val="00315B48"/>
    <w:rsid w:val="00345261"/>
    <w:rsid w:val="003752F3"/>
    <w:rsid w:val="00384A63"/>
    <w:rsid w:val="00386296"/>
    <w:rsid w:val="00386517"/>
    <w:rsid w:val="00397470"/>
    <w:rsid w:val="003C2432"/>
    <w:rsid w:val="0040368E"/>
    <w:rsid w:val="00404E6E"/>
    <w:rsid w:val="004A1710"/>
    <w:rsid w:val="004B646F"/>
    <w:rsid w:val="004D015A"/>
    <w:rsid w:val="00524924"/>
    <w:rsid w:val="00546B8D"/>
    <w:rsid w:val="00560690"/>
    <w:rsid w:val="00576B0B"/>
    <w:rsid w:val="0059263D"/>
    <w:rsid w:val="005C5165"/>
    <w:rsid w:val="005C7E7B"/>
    <w:rsid w:val="005D4D8F"/>
    <w:rsid w:val="005D6243"/>
    <w:rsid w:val="005D68EE"/>
    <w:rsid w:val="005F5F5B"/>
    <w:rsid w:val="00607B8D"/>
    <w:rsid w:val="00610C9E"/>
    <w:rsid w:val="0061779D"/>
    <w:rsid w:val="0066056F"/>
    <w:rsid w:val="0066225D"/>
    <w:rsid w:val="00670E92"/>
    <w:rsid w:val="006730AE"/>
    <w:rsid w:val="0068267C"/>
    <w:rsid w:val="00692FDD"/>
    <w:rsid w:val="006E0594"/>
    <w:rsid w:val="006E7014"/>
    <w:rsid w:val="006F2CAC"/>
    <w:rsid w:val="0071394D"/>
    <w:rsid w:val="00716932"/>
    <w:rsid w:val="0074052F"/>
    <w:rsid w:val="00743907"/>
    <w:rsid w:val="00745077"/>
    <w:rsid w:val="0075331C"/>
    <w:rsid w:val="00776FC4"/>
    <w:rsid w:val="00790117"/>
    <w:rsid w:val="007B2D8C"/>
    <w:rsid w:val="007B62AB"/>
    <w:rsid w:val="007D5B0A"/>
    <w:rsid w:val="007E431E"/>
    <w:rsid w:val="00835BEA"/>
    <w:rsid w:val="00854DE6"/>
    <w:rsid w:val="00860808"/>
    <w:rsid w:val="00863A3C"/>
    <w:rsid w:val="008739E5"/>
    <w:rsid w:val="008835B5"/>
    <w:rsid w:val="00891875"/>
    <w:rsid w:val="008B5B6E"/>
    <w:rsid w:val="008C3406"/>
    <w:rsid w:val="008D256B"/>
    <w:rsid w:val="008F0009"/>
    <w:rsid w:val="0091459C"/>
    <w:rsid w:val="009349DF"/>
    <w:rsid w:val="009449A1"/>
    <w:rsid w:val="00971839"/>
    <w:rsid w:val="009B4C84"/>
    <w:rsid w:val="009E4E15"/>
    <w:rsid w:val="009F5E14"/>
    <w:rsid w:val="00A328C7"/>
    <w:rsid w:val="00A36197"/>
    <w:rsid w:val="00A508C2"/>
    <w:rsid w:val="00A54F9A"/>
    <w:rsid w:val="00A84FA8"/>
    <w:rsid w:val="00A8541B"/>
    <w:rsid w:val="00AA3BE0"/>
    <w:rsid w:val="00AA662F"/>
    <w:rsid w:val="00AD0C16"/>
    <w:rsid w:val="00AD1768"/>
    <w:rsid w:val="00AE1467"/>
    <w:rsid w:val="00B023D6"/>
    <w:rsid w:val="00B05CE3"/>
    <w:rsid w:val="00B271AE"/>
    <w:rsid w:val="00B3004C"/>
    <w:rsid w:val="00B31B8A"/>
    <w:rsid w:val="00B334DF"/>
    <w:rsid w:val="00B33CDE"/>
    <w:rsid w:val="00B54185"/>
    <w:rsid w:val="00B741A5"/>
    <w:rsid w:val="00BA3CF7"/>
    <w:rsid w:val="00BC6A36"/>
    <w:rsid w:val="00BD18F6"/>
    <w:rsid w:val="00BD3092"/>
    <w:rsid w:val="00BD61C0"/>
    <w:rsid w:val="00BE074F"/>
    <w:rsid w:val="00C00B26"/>
    <w:rsid w:val="00C34A05"/>
    <w:rsid w:val="00C40435"/>
    <w:rsid w:val="00C617D1"/>
    <w:rsid w:val="00C653E3"/>
    <w:rsid w:val="00C73D5A"/>
    <w:rsid w:val="00CA2A48"/>
    <w:rsid w:val="00CA358C"/>
    <w:rsid w:val="00CD77BB"/>
    <w:rsid w:val="00CE656D"/>
    <w:rsid w:val="00CF2D2D"/>
    <w:rsid w:val="00D010F8"/>
    <w:rsid w:val="00D213D1"/>
    <w:rsid w:val="00D37819"/>
    <w:rsid w:val="00D64A54"/>
    <w:rsid w:val="00D666BB"/>
    <w:rsid w:val="00DA12E2"/>
    <w:rsid w:val="00DA1D76"/>
    <w:rsid w:val="00DE0E66"/>
    <w:rsid w:val="00DE74AB"/>
    <w:rsid w:val="00DF08F1"/>
    <w:rsid w:val="00DF13D3"/>
    <w:rsid w:val="00E03EA5"/>
    <w:rsid w:val="00E213A7"/>
    <w:rsid w:val="00E26766"/>
    <w:rsid w:val="00E27D60"/>
    <w:rsid w:val="00E33282"/>
    <w:rsid w:val="00E34569"/>
    <w:rsid w:val="00E371E7"/>
    <w:rsid w:val="00E55137"/>
    <w:rsid w:val="00E64C51"/>
    <w:rsid w:val="00EC37F9"/>
    <w:rsid w:val="00ED11D0"/>
    <w:rsid w:val="00EF3A8E"/>
    <w:rsid w:val="00F0466D"/>
    <w:rsid w:val="00F13BD4"/>
    <w:rsid w:val="00F46E45"/>
    <w:rsid w:val="00F73EB5"/>
    <w:rsid w:val="00F76648"/>
    <w:rsid w:val="00F90712"/>
    <w:rsid w:val="00F923AA"/>
    <w:rsid w:val="00F97D50"/>
    <w:rsid w:val="00FA4E55"/>
    <w:rsid w:val="00FB0A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D015A"/>
    <w:pPr>
      <w:spacing w:after="0" w:line="264" w:lineRule="auto"/>
    </w:pPr>
    <w:rPr>
      <w:lang w:val="sv-SE"/>
    </w:rPr>
  </w:style>
  <w:style w:type="paragraph" w:styleId="Rubrik1">
    <w:name w:val="heading 1"/>
    <w:basedOn w:val="Normal"/>
    <w:next w:val="Normal"/>
    <w:link w:val="Rubrik1Char"/>
    <w:uiPriority w:val="9"/>
    <w:qFormat/>
    <w:rsid w:val="00607B8D"/>
    <w:pPr>
      <w:keepNext/>
      <w:keepLines/>
      <w:spacing w:before="240" w:after="120" w:line="240" w:lineRule="atLeast"/>
      <w:outlineLvl w:val="0"/>
    </w:pPr>
    <w:rPr>
      <w:rFonts w:ascii="Calibri" w:eastAsiaTheme="majorEastAsia" w:hAnsi="Calibri" w:cstheme="majorBidi"/>
      <w:sz w:val="36"/>
      <w:szCs w:val="32"/>
    </w:rPr>
  </w:style>
  <w:style w:type="paragraph" w:styleId="Rubrik2">
    <w:name w:val="heading 2"/>
    <w:basedOn w:val="Normal"/>
    <w:next w:val="Normal"/>
    <w:link w:val="Rubrik2Char"/>
    <w:uiPriority w:val="9"/>
    <w:qFormat/>
    <w:rsid w:val="00607B8D"/>
    <w:pPr>
      <w:keepNext/>
      <w:keepLines/>
      <w:spacing w:before="240" w:after="60" w:line="240" w:lineRule="atLeast"/>
      <w:outlineLvl w:val="1"/>
    </w:pPr>
    <w:rPr>
      <w:rFonts w:ascii="Calibri" w:eastAsiaTheme="majorEastAsia" w:hAnsi="Calibri" w:cstheme="majorBidi"/>
      <w:b/>
      <w:sz w:val="25"/>
      <w:szCs w:val="26"/>
    </w:rPr>
  </w:style>
  <w:style w:type="paragraph" w:styleId="Rubrik3">
    <w:name w:val="heading 3"/>
    <w:basedOn w:val="Normal"/>
    <w:next w:val="Normal"/>
    <w:link w:val="Rubrik3Char"/>
    <w:uiPriority w:val="9"/>
    <w:qFormat/>
    <w:rsid w:val="00607B8D"/>
    <w:pPr>
      <w:keepNext/>
      <w:keepLines/>
      <w:spacing w:before="240" w:after="60" w:line="240" w:lineRule="atLeast"/>
      <w:outlineLvl w:val="2"/>
    </w:pPr>
    <w:rPr>
      <w:rFonts w:ascii="Calibri" w:eastAsiaTheme="majorEastAsia" w:hAnsi="Calibri" w:cstheme="majorBidi"/>
      <w:caps/>
      <w:szCs w:val="24"/>
    </w:rPr>
  </w:style>
  <w:style w:type="paragraph" w:styleId="Rubrik4">
    <w:name w:val="heading 4"/>
    <w:basedOn w:val="Normal"/>
    <w:next w:val="Normal"/>
    <w:link w:val="Rubrik4Char"/>
    <w:uiPriority w:val="9"/>
    <w:qFormat/>
    <w:rsid w:val="00AE1467"/>
    <w:pPr>
      <w:keepNext/>
      <w:keepLines/>
      <w:spacing w:before="240" w:after="60" w:line="240" w:lineRule="atLeast"/>
      <w:outlineLvl w:val="3"/>
    </w:pPr>
    <w:rPr>
      <w:rFonts w:ascii="Calibri" w:eastAsiaTheme="majorEastAsia" w:hAnsi="Calibri" w:cstheme="majorBidi"/>
      <w:i/>
      <w:iCs/>
    </w:rPr>
  </w:style>
  <w:style w:type="paragraph" w:styleId="Rubrik5">
    <w:name w:val="heading 5"/>
    <w:basedOn w:val="Normal"/>
    <w:next w:val="Normal"/>
    <w:link w:val="Rubrik5Char"/>
    <w:uiPriority w:val="9"/>
    <w:semiHidden/>
    <w:unhideWhenUsed/>
    <w:rsid w:val="00692FDD"/>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449A1"/>
    <w:pPr>
      <w:tabs>
        <w:tab w:val="center" w:pos="4513"/>
        <w:tab w:val="right" w:pos="9026"/>
      </w:tabs>
      <w:spacing w:line="240" w:lineRule="auto"/>
    </w:pPr>
    <w:rPr>
      <w:sz w:val="20"/>
    </w:rPr>
  </w:style>
  <w:style w:type="character" w:customStyle="1" w:styleId="SidhuvudChar">
    <w:name w:val="Sidhuvud Char"/>
    <w:basedOn w:val="Standardstycketeckensnitt"/>
    <w:link w:val="Sidhuvud"/>
    <w:uiPriority w:val="99"/>
    <w:rsid w:val="009449A1"/>
    <w:rPr>
      <w:sz w:val="20"/>
    </w:rPr>
  </w:style>
  <w:style w:type="paragraph" w:styleId="Sidfot">
    <w:name w:val="footer"/>
    <w:basedOn w:val="Normal"/>
    <w:link w:val="SidfotChar"/>
    <w:uiPriority w:val="99"/>
    <w:unhideWhenUsed/>
    <w:rsid w:val="00386296"/>
    <w:pPr>
      <w:tabs>
        <w:tab w:val="center" w:pos="4513"/>
        <w:tab w:val="right" w:pos="9026"/>
      </w:tabs>
      <w:spacing w:line="240" w:lineRule="auto"/>
    </w:pPr>
  </w:style>
  <w:style w:type="character" w:customStyle="1" w:styleId="SidfotChar">
    <w:name w:val="Sidfot Char"/>
    <w:basedOn w:val="Standardstycketeckensnitt"/>
    <w:link w:val="Sidfot"/>
    <w:uiPriority w:val="99"/>
    <w:rsid w:val="00386296"/>
  </w:style>
  <w:style w:type="character" w:customStyle="1" w:styleId="VsTimes12">
    <w:name w:val="Vås Times 12"/>
    <w:uiPriority w:val="1"/>
    <w:rsid w:val="00386296"/>
    <w:rPr>
      <w:rFonts w:ascii="Times New Roman" w:hAnsi="Times New Roman" w:cs="Times New Roman" w:hint="default"/>
      <w:sz w:val="24"/>
    </w:rPr>
  </w:style>
  <w:style w:type="character" w:customStyle="1" w:styleId="VsArialfet">
    <w:name w:val="Vås Arial fet"/>
    <w:uiPriority w:val="1"/>
    <w:rsid w:val="00386296"/>
    <w:rPr>
      <w:rFonts w:ascii="Arial" w:hAnsi="Arial" w:cs="Arial" w:hint="default"/>
      <w:b/>
      <w:bCs w:val="0"/>
      <w:sz w:val="20"/>
    </w:rPr>
  </w:style>
  <w:style w:type="character" w:customStyle="1" w:styleId="RubrikISidhuvudGrChar">
    <w:name w:val="RubrikISidhuvudGrå Char"/>
    <w:basedOn w:val="Standardstycketeckensnitt"/>
    <w:link w:val="RubrikISidhuvudGr"/>
    <w:locked/>
    <w:rsid w:val="00386296"/>
  </w:style>
  <w:style w:type="paragraph" w:customStyle="1" w:styleId="RubrikISidhuvudGr">
    <w:name w:val="RubrikISidhuvudGrå"/>
    <w:basedOn w:val="Sidhuvud"/>
    <w:next w:val="Normal"/>
    <w:link w:val="RubrikISidhuvudGrChar"/>
    <w:rsid w:val="00386296"/>
    <w:pPr>
      <w:tabs>
        <w:tab w:val="clear" w:pos="4513"/>
        <w:tab w:val="clear" w:pos="9026"/>
        <w:tab w:val="center" w:pos="4536"/>
        <w:tab w:val="right" w:pos="9072"/>
      </w:tabs>
    </w:pPr>
  </w:style>
  <w:style w:type="paragraph" w:styleId="Ingetavstnd">
    <w:name w:val="No Spacing"/>
    <w:aliases w:val="Vås Stad Brödtext"/>
    <w:uiPriority w:val="1"/>
    <w:rsid w:val="006F2CAC"/>
    <w:pPr>
      <w:spacing w:before="240" w:after="60" w:line="240" w:lineRule="atLeast"/>
    </w:pPr>
    <w:rPr>
      <w:color w:val="5A5A5A"/>
    </w:rPr>
  </w:style>
  <w:style w:type="character" w:customStyle="1" w:styleId="Rubrik1Char">
    <w:name w:val="Rubrik 1 Char"/>
    <w:basedOn w:val="Standardstycketeckensnitt"/>
    <w:link w:val="Rubrik1"/>
    <w:uiPriority w:val="9"/>
    <w:rsid w:val="00607B8D"/>
    <w:rPr>
      <w:rFonts w:ascii="Calibri" w:eastAsiaTheme="majorEastAsia" w:hAnsi="Calibri" w:cstheme="majorBidi"/>
      <w:sz w:val="36"/>
      <w:szCs w:val="32"/>
    </w:rPr>
  </w:style>
  <w:style w:type="character" w:customStyle="1" w:styleId="Rubrik2Char">
    <w:name w:val="Rubrik 2 Char"/>
    <w:basedOn w:val="Standardstycketeckensnitt"/>
    <w:link w:val="Rubrik2"/>
    <w:uiPriority w:val="9"/>
    <w:rsid w:val="00607B8D"/>
    <w:rPr>
      <w:rFonts w:ascii="Calibri" w:eastAsiaTheme="majorEastAsia" w:hAnsi="Calibri" w:cstheme="majorBidi"/>
      <w:b/>
      <w:sz w:val="25"/>
      <w:szCs w:val="26"/>
    </w:rPr>
  </w:style>
  <w:style w:type="character" w:customStyle="1" w:styleId="Rubrik3Char">
    <w:name w:val="Rubrik 3 Char"/>
    <w:basedOn w:val="Standardstycketeckensnitt"/>
    <w:link w:val="Rubrik3"/>
    <w:uiPriority w:val="9"/>
    <w:rsid w:val="00607B8D"/>
    <w:rPr>
      <w:rFonts w:ascii="Calibri" w:eastAsiaTheme="majorEastAsia" w:hAnsi="Calibri" w:cstheme="majorBidi"/>
      <w:caps/>
      <w:szCs w:val="24"/>
    </w:rPr>
  </w:style>
  <w:style w:type="paragraph" w:customStyle="1" w:styleId="Typografi1">
    <w:name w:val="Typografi1"/>
    <w:basedOn w:val="Normal"/>
    <w:link w:val="Typografi1Tegn"/>
    <w:rsid w:val="004B646F"/>
  </w:style>
  <w:style w:type="character" w:customStyle="1" w:styleId="Typografi1Tegn">
    <w:name w:val="Typografi1 Tegn"/>
    <w:basedOn w:val="Standardstycketeckensnitt"/>
    <w:link w:val="Typografi1"/>
    <w:rsid w:val="004B646F"/>
  </w:style>
  <w:style w:type="character" w:customStyle="1" w:styleId="Rubrik4Char">
    <w:name w:val="Rubrik 4 Char"/>
    <w:basedOn w:val="Standardstycketeckensnitt"/>
    <w:link w:val="Rubrik4"/>
    <w:uiPriority w:val="9"/>
    <w:rsid w:val="00AE1467"/>
    <w:rPr>
      <w:rFonts w:ascii="Calibri" w:eastAsiaTheme="majorEastAsia" w:hAnsi="Calibri" w:cstheme="majorBidi"/>
      <w:i/>
      <w:iCs/>
    </w:rPr>
  </w:style>
  <w:style w:type="table" w:styleId="Tabellrutnt">
    <w:name w:val="Table Grid"/>
    <w:basedOn w:val="Normaltabell"/>
    <w:rsid w:val="00560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sfrteckningsrubrik">
    <w:name w:val="TOC Heading"/>
    <w:basedOn w:val="Rubrik1"/>
    <w:next w:val="Normal"/>
    <w:uiPriority w:val="39"/>
    <w:unhideWhenUsed/>
    <w:qFormat/>
    <w:rsid w:val="0075331C"/>
    <w:pPr>
      <w:spacing w:after="0" w:line="259" w:lineRule="auto"/>
      <w:outlineLvl w:val="9"/>
    </w:pPr>
    <w:rPr>
      <w:b/>
      <w:sz w:val="22"/>
      <w:lang w:eastAsia="da-DK"/>
    </w:rPr>
  </w:style>
  <w:style w:type="paragraph" w:styleId="Innehll1">
    <w:name w:val="toc 1"/>
    <w:basedOn w:val="Normal"/>
    <w:next w:val="Normal"/>
    <w:autoRedefine/>
    <w:uiPriority w:val="39"/>
    <w:unhideWhenUsed/>
    <w:qFormat/>
    <w:rsid w:val="00173E1A"/>
    <w:pPr>
      <w:spacing w:after="100" w:line="240" w:lineRule="atLeast"/>
    </w:pPr>
  </w:style>
  <w:style w:type="paragraph" w:styleId="Innehll2">
    <w:name w:val="toc 2"/>
    <w:basedOn w:val="Normal"/>
    <w:next w:val="Normal"/>
    <w:autoRedefine/>
    <w:uiPriority w:val="39"/>
    <w:unhideWhenUsed/>
    <w:rsid w:val="00CA2A48"/>
    <w:pPr>
      <w:spacing w:after="100" w:line="240" w:lineRule="atLeast"/>
      <w:ind w:left="221"/>
    </w:pPr>
    <w:rPr>
      <w:rFonts w:eastAsiaTheme="minorEastAsia" w:cs="Times New Roman"/>
      <w:b/>
      <w:sz w:val="20"/>
      <w:lang w:eastAsia="da-DK"/>
    </w:rPr>
  </w:style>
  <w:style w:type="paragraph" w:styleId="Innehll3">
    <w:name w:val="toc 3"/>
    <w:basedOn w:val="Normal"/>
    <w:next w:val="Normal"/>
    <w:autoRedefine/>
    <w:uiPriority w:val="39"/>
    <w:unhideWhenUsed/>
    <w:rsid w:val="00CA2A48"/>
    <w:pPr>
      <w:spacing w:after="100" w:line="240" w:lineRule="atLeast"/>
      <w:ind w:left="442"/>
    </w:pPr>
    <w:rPr>
      <w:rFonts w:eastAsiaTheme="minorEastAsia" w:cs="Times New Roman"/>
      <w:caps/>
      <w:sz w:val="20"/>
      <w:lang w:eastAsia="da-DK"/>
    </w:rPr>
  </w:style>
  <w:style w:type="character" w:styleId="Hyperlnk">
    <w:name w:val="Hyperlink"/>
    <w:basedOn w:val="Standardstycketeckensnitt"/>
    <w:uiPriority w:val="99"/>
    <w:unhideWhenUsed/>
    <w:rsid w:val="007B2D8C"/>
    <w:rPr>
      <w:color w:val="0000FF" w:themeColor="hyperlink"/>
      <w:u w:val="single"/>
    </w:rPr>
  </w:style>
  <w:style w:type="paragraph" w:styleId="Ballongtext">
    <w:name w:val="Balloon Text"/>
    <w:basedOn w:val="Normal"/>
    <w:link w:val="BallongtextChar"/>
    <w:uiPriority w:val="99"/>
    <w:semiHidden/>
    <w:unhideWhenUsed/>
    <w:rsid w:val="00776FC4"/>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76FC4"/>
    <w:rPr>
      <w:rFonts w:ascii="Tahoma" w:hAnsi="Tahoma" w:cs="Tahoma"/>
      <w:sz w:val="16"/>
      <w:szCs w:val="16"/>
    </w:rPr>
  </w:style>
  <w:style w:type="paragraph" w:customStyle="1" w:styleId="SidehovedHoejrestillet">
    <w:name w:val="SidehovedHoejrestillet"/>
    <w:basedOn w:val="Sidhuvud"/>
    <w:rsid w:val="001E2BF1"/>
    <w:pPr>
      <w:jc w:val="right"/>
    </w:pPr>
  </w:style>
  <w:style w:type="paragraph" w:customStyle="1" w:styleId="RapportTitel">
    <w:name w:val="RapportTitel"/>
    <w:basedOn w:val="Ingetavstnd"/>
    <w:rsid w:val="008B5B6E"/>
    <w:pPr>
      <w:spacing w:before="0"/>
      <w:jc w:val="center"/>
    </w:pPr>
    <w:rPr>
      <w:rFonts w:ascii="Calibri" w:hAnsi="Calibri" w:cs="Tahoma"/>
      <w:color w:val="auto"/>
      <w:sz w:val="80"/>
      <w:szCs w:val="32"/>
    </w:rPr>
  </w:style>
  <w:style w:type="paragraph" w:customStyle="1" w:styleId="RapportUndertitel">
    <w:name w:val="RapportUndertitel"/>
    <w:basedOn w:val="Ingetavstnd"/>
    <w:rsid w:val="00AD0C16"/>
    <w:pPr>
      <w:jc w:val="center"/>
    </w:pPr>
    <w:rPr>
      <w:rFonts w:ascii="Calibri" w:hAnsi="Calibri" w:cs="Tahoma"/>
      <w:color w:val="auto"/>
    </w:rPr>
  </w:style>
  <w:style w:type="paragraph" w:styleId="Innehll4">
    <w:name w:val="toc 4"/>
    <w:basedOn w:val="Normal"/>
    <w:next w:val="Normal"/>
    <w:autoRedefine/>
    <w:uiPriority w:val="39"/>
    <w:semiHidden/>
    <w:unhideWhenUsed/>
    <w:rsid w:val="00172EFA"/>
    <w:pPr>
      <w:spacing w:after="100"/>
      <w:ind w:left="660"/>
    </w:pPr>
    <w:rPr>
      <w:i/>
      <w:sz w:val="20"/>
    </w:rPr>
  </w:style>
  <w:style w:type="paragraph" w:customStyle="1" w:styleId="PageHeader">
    <w:name w:val="PageHeader"/>
    <w:rsid w:val="0068267C"/>
    <w:pPr>
      <w:framePr w:wrap="around" w:vAnchor="page" w:hAnchor="page" w:x="1419" w:y="1419"/>
      <w:spacing w:after="0"/>
      <w:suppressOverlap/>
    </w:pPr>
  </w:style>
  <w:style w:type="paragraph" w:customStyle="1" w:styleId="PageFooter">
    <w:name w:val="PageFooter"/>
    <w:rsid w:val="00297298"/>
    <w:pPr>
      <w:framePr w:wrap="around" w:vAnchor="page" w:hAnchor="page" w:x="1419" w:y="14913"/>
      <w:spacing w:after="0" w:line="240" w:lineRule="auto"/>
      <w:suppressOverlap/>
    </w:pPr>
    <w:rPr>
      <w:color w:val="FFFFFF" w:themeColor="background1"/>
      <w:lang w:val="nb-NO"/>
    </w:rPr>
  </w:style>
  <w:style w:type="paragraph" w:customStyle="1" w:styleId="FirstPageHeader">
    <w:name w:val="FirstPageHeader"/>
    <w:rsid w:val="0068267C"/>
    <w:pPr>
      <w:framePr w:wrap="auto" w:hAnchor="text" w:x="6450" w:y="1418"/>
      <w:spacing w:after="0" w:line="240" w:lineRule="atLeast"/>
      <w:jc w:val="right"/>
    </w:pPr>
  </w:style>
  <w:style w:type="paragraph" w:customStyle="1" w:styleId="PageFooter2">
    <w:name w:val="PageFooter2"/>
    <w:basedOn w:val="PageFooter"/>
    <w:rsid w:val="00297298"/>
    <w:pPr>
      <w:framePr w:wrap="around" w:y="14630"/>
    </w:pPr>
    <w:rPr>
      <w:sz w:val="16"/>
      <w:lang w:val="sv-SE"/>
    </w:rPr>
  </w:style>
  <w:style w:type="paragraph" w:customStyle="1" w:styleId="Rubrik1-Numrering">
    <w:name w:val="Rubrik 1 - Numrering"/>
    <w:basedOn w:val="Rubrik1"/>
    <w:next w:val="Normal"/>
    <w:qFormat/>
    <w:rsid w:val="004A1710"/>
    <w:pPr>
      <w:numPr>
        <w:numId w:val="6"/>
      </w:numPr>
    </w:pPr>
  </w:style>
  <w:style w:type="paragraph" w:customStyle="1" w:styleId="Rubrik2-Numrering">
    <w:name w:val="Rubrik 2 - Numrering"/>
    <w:basedOn w:val="Rubrik2"/>
    <w:next w:val="Normal"/>
    <w:qFormat/>
    <w:rsid w:val="004A1710"/>
    <w:pPr>
      <w:numPr>
        <w:ilvl w:val="1"/>
        <w:numId w:val="6"/>
      </w:numPr>
    </w:pPr>
  </w:style>
  <w:style w:type="paragraph" w:customStyle="1" w:styleId="Rubrik3-Numrering">
    <w:name w:val="Rubrik 3 - Numrering"/>
    <w:basedOn w:val="Rubrik3"/>
    <w:next w:val="Normal"/>
    <w:qFormat/>
    <w:rsid w:val="004A1710"/>
    <w:pPr>
      <w:numPr>
        <w:ilvl w:val="2"/>
        <w:numId w:val="6"/>
      </w:numPr>
    </w:pPr>
  </w:style>
  <w:style w:type="paragraph" w:customStyle="1" w:styleId="Rubrik4-Numrering">
    <w:name w:val="Rubrik 4 - Numrering"/>
    <w:basedOn w:val="Rubrik4"/>
    <w:next w:val="Normal"/>
    <w:qFormat/>
    <w:rsid w:val="00A36197"/>
    <w:pPr>
      <w:numPr>
        <w:ilvl w:val="3"/>
        <w:numId w:val="6"/>
      </w:numPr>
    </w:pPr>
    <w:rPr>
      <w:lang w:val="nb-NO"/>
    </w:rPr>
  </w:style>
  <w:style w:type="character" w:customStyle="1" w:styleId="Rubrik5Char">
    <w:name w:val="Rubrik 5 Char"/>
    <w:basedOn w:val="Standardstycketeckensnitt"/>
    <w:link w:val="Rubrik5"/>
    <w:uiPriority w:val="9"/>
    <w:semiHidden/>
    <w:rsid w:val="00692FDD"/>
    <w:rPr>
      <w:rFonts w:asciiTheme="majorHAnsi" w:eastAsiaTheme="majorEastAsia" w:hAnsiTheme="majorHAnsi" w:cstheme="majorBidi"/>
      <w:color w:val="365F91" w:themeColor="accent1" w:themeShade="BF"/>
    </w:rPr>
  </w:style>
  <w:style w:type="character" w:styleId="Kommentarsreferens">
    <w:name w:val="annotation reference"/>
    <w:basedOn w:val="Standardstycketeckensnitt"/>
    <w:uiPriority w:val="99"/>
    <w:semiHidden/>
    <w:unhideWhenUsed/>
    <w:rsid w:val="00386517"/>
    <w:rPr>
      <w:sz w:val="16"/>
      <w:szCs w:val="16"/>
    </w:rPr>
  </w:style>
  <w:style w:type="paragraph" w:styleId="Kommentarer">
    <w:name w:val="annotation text"/>
    <w:basedOn w:val="Normal"/>
    <w:link w:val="KommentarerChar"/>
    <w:uiPriority w:val="99"/>
    <w:unhideWhenUsed/>
    <w:rsid w:val="00386517"/>
    <w:pPr>
      <w:spacing w:line="240" w:lineRule="auto"/>
    </w:pPr>
    <w:rPr>
      <w:sz w:val="20"/>
      <w:szCs w:val="20"/>
    </w:rPr>
  </w:style>
  <w:style w:type="character" w:customStyle="1" w:styleId="KommentarerChar">
    <w:name w:val="Kommentarer Char"/>
    <w:basedOn w:val="Standardstycketeckensnitt"/>
    <w:link w:val="Kommentarer"/>
    <w:uiPriority w:val="99"/>
    <w:rsid w:val="00386517"/>
    <w:rPr>
      <w:sz w:val="20"/>
      <w:szCs w:val="20"/>
      <w:lang w:val="sv-SE"/>
    </w:rPr>
  </w:style>
  <w:style w:type="table" w:styleId="Ljuslista-dekorfrg1">
    <w:name w:val="Light List Accent 1"/>
    <w:basedOn w:val="Normaltabell"/>
    <w:uiPriority w:val="61"/>
    <w:rsid w:val="00386517"/>
    <w:pPr>
      <w:spacing w:after="0" w:line="240" w:lineRule="auto"/>
    </w:pPr>
    <w:rPr>
      <w:lang w:val="sv-S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D015A"/>
    <w:pPr>
      <w:spacing w:after="0" w:line="264" w:lineRule="auto"/>
    </w:pPr>
    <w:rPr>
      <w:lang w:val="sv-SE"/>
    </w:rPr>
  </w:style>
  <w:style w:type="paragraph" w:styleId="Rubrik1">
    <w:name w:val="heading 1"/>
    <w:basedOn w:val="Normal"/>
    <w:next w:val="Normal"/>
    <w:link w:val="Rubrik1Char"/>
    <w:uiPriority w:val="9"/>
    <w:qFormat/>
    <w:rsid w:val="00607B8D"/>
    <w:pPr>
      <w:keepNext/>
      <w:keepLines/>
      <w:spacing w:before="240" w:after="120" w:line="240" w:lineRule="atLeast"/>
      <w:outlineLvl w:val="0"/>
    </w:pPr>
    <w:rPr>
      <w:rFonts w:ascii="Calibri" w:eastAsiaTheme="majorEastAsia" w:hAnsi="Calibri" w:cstheme="majorBidi"/>
      <w:sz w:val="36"/>
      <w:szCs w:val="32"/>
    </w:rPr>
  </w:style>
  <w:style w:type="paragraph" w:styleId="Rubrik2">
    <w:name w:val="heading 2"/>
    <w:basedOn w:val="Normal"/>
    <w:next w:val="Normal"/>
    <w:link w:val="Rubrik2Char"/>
    <w:uiPriority w:val="9"/>
    <w:qFormat/>
    <w:rsid w:val="00607B8D"/>
    <w:pPr>
      <w:keepNext/>
      <w:keepLines/>
      <w:spacing w:before="240" w:after="60" w:line="240" w:lineRule="atLeast"/>
      <w:outlineLvl w:val="1"/>
    </w:pPr>
    <w:rPr>
      <w:rFonts w:ascii="Calibri" w:eastAsiaTheme="majorEastAsia" w:hAnsi="Calibri" w:cstheme="majorBidi"/>
      <w:b/>
      <w:sz w:val="25"/>
      <w:szCs w:val="26"/>
    </w:rPr>
  </w:style>
  <w:style w:type="paragraph" w:styleId="Rubrik3">
    <w:name w:val="heading 3"/>
    <w:basedOn w:val="Normal"/>
    <w:next w:val="Normal"/>
    <w:link w:val="Rubrik3Char"/>
    <w:uiPriority w:val="9"/>
    <w:qFormat/>
    <w:rsid w:val="00607B8D"/>
    <w:pPr>
      <w:keepNext/>
      <w:keepLines/>
      <w:spacing w:before="240" w:after="60" w:line="240" w:lineRule="atLeast"/>
      <w:outlineLvl w:val="2"/>
    </w:pPr>
    <w:rPr>
      <w:rFonts w:ascii="Calibri" w:eastAsiaTheme="majorEastAsia" w:hAnsi="Calibri" w:cstheme="majorBidi"/>
      <w:caps/>
      <w:szCs w:val="24"/>
    </w:rPr>
  </w:style>
  <w:style w:type="paragraph" w:styleId="Rubrik4">
    <w:name w:val="heading 4"/>
    <w:basedOn w:val="Normal"/>
    <w:next w:val="Normal"/>
    <w:link w:val="Rubrik4Char"/>
    <w:uiPriority w:val="9"/>
    <w:qFormat/>
    <w:rsid w:val="00AE1467"/>
    <w:pPr>
      <w:keepNext/>
      <w:keepLines/>
      <w:spacing w:before="240" w:after="60" w:line="240" w:lineRule="atLeast"/>
      <w:outlineLvl w:val="3"/>
    </w:pPr>
    <w:rPr>
      <w:rFonts w:ascii="Calibri" w:eastAsiaTheme="majorEastAsia" w:hAnsi="Calibri" w:cstheme="majorBidi"/>
      <w:i/>
      <w:iCs/>
    </w:rPr>
  </w:style>
  <w:style w:type="paragraph" w:styleId="Rubrik5">
    <w:name w:val="heading 5"/>
    <w:basedOn w:val="Normal"/>
    <w:next w:val="Normal"/>
    <w:link w:val="Rubrik5Char"/>
    <w:uiPriority w:val="9"/>
    <w:semiHidden/>
    <w:unhideWhenUsed/>
    <w:rsid w:val="00692FDD"/>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449A1"/>
    <w:pPr>
      <w:tabs>
        <w:tab w:val="center" w:pos="4513"/>
        <w:tab w:val="right" w:pos="9026"/>
      </w:tabs>
      <w:spacing w:line="240" w:lineRule="auto"/>
    </w:pPr>
    <w:rPr>
      <w:sz w:val="20"/>
    </w:rPr>
  </w:style>
  <w:style w:type="character" w:customStyle="1" w:styleId="SidhuvudChar">
    <w:name w:val="Sidhuvud Char"/>
    <w:basedOn w:val="Standardstycketeckensnitt"/>
    <w:link w:val="Sidhuvud"/>
    <w:uiPriority w:val="99"/>
    <w:rsid w:val="009449A1"/>
    <w:rPr>
      <w:sz w:val="20"/>
    </w:rPr>
  </w:style>
  <w:style w:type="paragraph" w:styleId="Sidfot">
    <w:name w:val="footer"/>
    <w:basedOn w:val="Normal"/>
    <w:link w:val="SidfotChar"/>
    <w:uiPriority w:val="99"/>
    <w:unhideWhenUsed/>
    <w:rsid w:val="00386296"/>
    <w:pPr>
      <w:tabs>
        <w:tab w:val="center" w:pos="4513"/>
        <w:tab w:val="right" w:pos="9026"/>
      </w:tabs>
      <w:spacing w:line="240" w:lineRule="auto"/>
    </w:pPr>
  </w:style>
  <w:style w:type="character" w:customStyle="1" w:styleId="SidfotChar">
    <w:name w:val="Sidfot Char"/>
    <w:basedOn w:val="Standardstycketeckensnitt"/>
    <w:link w:val="Sidfot"/>
    <w:uiPriority w:val="99"/>
    <w:rsid w:val="00386296"/>
  </w:style>
  <w:style w:type="character" w:customStyle="1" w:styleId="VsTimes12">
    <w:name w:val="Vås Times 12"/>
    <w:uiPriority w:val="1"/>
    <w:rsid w:val="00386296"/>
    <w:rPr>
      <w:rFonts w:ascii="Times New Roman" w:hAnsi="Times New Roman" w:cs="Times New Roman" w:hint="default"/>
      <w:sz w:val="24"/>
    </w:rPr>
  </w:style>
  <w:style w:type="character" w:customStyle="1" w:styleId="VsArialfet">
    <w:name w:val="Vås Arial fet"/>
    <w:uiPriority w:val="1"/>
    <w:rsid w:val="00386296"/>
    <w:rPr>
      <w:rFonts w:ascii="Arial" w:hAnsi="Arial" w:cs="Arial" w:hint="default"/>
      <w:b/>
      <w:bCs w:val="0"/>
      <w:sz w:val="20"/>
    </w:rPr>
  </w:style>
  <w:style w:type="character" w:customStyle="1" w:styleId="RubrikISidhuvudGrChar">
    <w:name w:val="RubrikISidhuvudGrå Char"/>
    <w:basedOn w:val="Standardstycketeckensnitt"/>
    <w:link w:val="RubrikISidhuvudGr"/>
    <w:locked/>
    <w:rsid w:val="00386296"/>
  </w:style>
  <w:style w:type="paragraph" w:customStyle="1" w:styleId="RubrikISidhuvudGr">
    <w:name w:val="RubrikISidhuvudGrå"/>
    <w:basedOn w:val="Sidhuvud"/>
    <w:next w:val="Normal"/>
    <w:link w:val="RubrikISidhuvudGrChar"/>
    <w:rsid w:val="00386296"/>
    <w:pPr>
      <w:tabs>
        <w:tab w:val="clear" w:pos="4513"/>
        <w:tab w:val="clear" w:pos="9026"/>
        <w:tab w:val="center" w:pos="4536"/>
        <w:tab w:val="right" w:pos="9072"/>
      </w:tabs>
    </w:pPr>
  </w:style>
  <w:style w:type="paragraph" w:styleId="Ingetavstnd">
    <w:name w:val="No Spacing"/>
    <w:aliases w:val="Vås Stad Brödtext"/>
    <w:uiPriority w:val="1"/>
    <w:rsid w:val="006F2CAC"/>
    <w:pPr>
      <w:spacing w:before="240" w:after="60" w:line="240" w:lineRule="atLeast"/>
    </w:pPr>
    <w:rPr>
      <w:color w:val="5A5A5A"/>
    </w:rPr>
  </w:style>
  <w:style w:type="character" w:customStyle="1" w:styleId="Rubrik1Char">
    <w:name w:val="Rubrik 1 Char"/>
    <w:basedOn w:val="Standardstycketeckensnitt"/>
    <w:link w:val="Rubrik1"/>
    <w:uiPriority w:val="9"/>
    <w:rsid w:val="00607B8D"/>
    <w:rPr>
      <w:rFonts w:ascii="Calibri" w:eastAsiaTheme="majorEastAsia" w:hAnsi="Calibri" w:cstheme="majorBidi"/>
      <w:sz w:val="36"/>
      <w:szCs w:val="32"/>
    </w:rPr>
  </w:style>
  <w:style w:type="character" w:customStyle="1" w:styleId="Rubrik2Char">
    <w:name w:val="Rubrik 2 Char"/>
    <w:basedOn w:val="Standardstycketeckensnitt"/>
    <w:link w:val="Rubrik2"/>
    <w:uiPriority w:val="9"/>
    <w:rsid w:val="00607B8D"/>
    <w:rPr>
      <w:rFonts w:ascii="Calibri" w:eastAsiaTheme="majorEastAsia" w:hAnsi="Calibri" w:cstheme="majorBidi"/>
      <w:b/>
      <w:sz w:val="25"/>
      <w:szCs w:val="26"/>
    </w:rPr>
  </w:style>
  <w:style w:type="character" w:customStyle="1" w:styleId="Rubrik3Char">
    <w:name w:val="Rubrik 3 Char"/>
    <w:basedOn w:val="Standardstycketeckensnitt"/>
    <w:link w:val="Rubrik3"/>
    <w:uiPriority w:val="9"/>
    <w:rsid w:val="00607B8D"/>
    <w:rPr>
      <w:rFonts w:ascii="Calibri" w:eastAsiaTheme="majorEastAsia" w:hAnsi="Calibri" w:cstheme="majorBidi"/>
      <w:caps/>
      <w:szCs w:val="24"/>
    </w:rPr>
  </w:style>
  <w:style w:type="paragraph" w:customStyle="1" w:styleId="Typografi1">
    <w:name w:val="Typografi1"/>
    <w:basedOn w:val="Normal"/>
    <w:link w:val="Typografi1Tegn"/>
    <w:rsid w:val="004B646F"/>
  </w:style>
  <w:style w:type="character" w:customStyle="1" w:styleId="Typografi1Tegn">
    <w:name w:val="Typografi1 Tegn"/>
    <w:basedOn w:val="Standardstycketeckensnitt"/>
    <w:link w:val="Typografi1"/>
    <w:rsid w:val="004B646F"/>
  </w:style>
  <w:style w:type="character" w:customStyle="1" w:styleId="Rubrik4Char">
    <w:name w:val="Rubrik 4 Char"/>
    <w:basedOn w:val="Standardstycketeckensnitt"/>
    <w:link w:val="Rubrik4"/>
    <w:uiPriority w:val="9"/>
    <w:rsid w:val="00AE1467"/>
    <w:rPr>
      <w:rFonts w:ascii="Calibri" w:eastAsiaTheme="majorEastAsia" w:hAnsi="Calibri" w:cstheme="majorBidi"/>
      <w:i/>
      <w:iCs/>
    </w:rPr>
  </w:style>
  <w:style w:type="table" w:styleId="Tabellrutnt">
    <w:name w:val="Table Grid"/>
    <w:basedOn w:val="Normaltabell"/>
    <w:rsid w:val="00560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sfrteckningsrubrik">
    <w:name w:val="TOC Heading"/>
    <w:basedOn w:val="Rubrik1"/>
    <w:next w:val="Normal"/>
    <w:uiPriority w:val="39"/>
    <w:unhideWhenUsed/>
    <w:qFormat/>
    <w:rsid w:val="0075331C"/>
    <w:pPr>
      <w:spacing w:after="0" w:line="259" w:lineRule="auto"/>
      <w:outlineLvl w:val="9"/>
    </w:pPr>
    <w:rPr>
      <w:b/>
      <w:sz w:val="22"/>
      <w:lang w:eastAsia="da-DK"/>
    </w:rPr>
  </w:style>
  <w:style w:type="paragraph" w:styleId="Innehll1">
    <w:name w:val="toc 1"/>
    <w:basedOn w:val="Normal"/>
    <w:next w:val="Normal"/>
    <w:autoRedefine/>
    <w:uiPriority w:val="39"/>
    <w:unhideWhenUsed/>
    <w:qFormat/>
    <w:rsid w:val="00173E1A"/>
    <w:pPr>
      <w:spacing w:after="100" w:line="240" w:lineRule="atLeast"/>
    </w:pPr>
  </w:style>
  <w:style w:type="paragraph" w:styleId="Innehll2">
    <w:name w:val="toc 2"/>
    <w:basedOn w:val="Normal"/>
    <w:next w:val="Normal"/>
    <w:autoRedefine/>
    <w:uiPriority w:val="39"/>
    <w:unhideWhenUsed/>
    <w:rsid w:val="00CA2A48"/>
    <w:pPr>
      <w:spacing w:after="100" w:line="240" w:lineRule="atLeast"/>
      <w:ind w:left="221"/>
    </w:pPr>
    <w:rPr>
      <w:rFonts w:eastAsiaTheme="minorEastAsia" w:cs="Times New Roman"/>
      <w:b/>
      <w:sz w:val="20"/>
      <w:lang w:eastAsia="da-DK"/>
    </w:rPr>
  </w:style>
  <w:style w:type="paragraph" w:styleId="Innehll3">
    <w:name w:val="toc 3"/>
    <w:basedOn w:val="Normal"/>
    <w:next w:val="Normal"/>
    <w:autoRedefine/>
    <w:uiPriority w:val="39"/>
    <w:unhideWhenUsed/>
    <w:rsid w:val="00CA2A48"/>
    <w:pPr>
      <w:spacing w:after="100" w:line="240" w:lineRule="atLeast"/>
      <w:ind w:left="442"/>
    </w:pPr>
    <w:rPr>
      <w:rFonts w:eastAsiaTheme="minorEastAsia" w:cs="Times New Roman"/>
      <w:caps/>
      <w:sz w:val="20"/>
      <w:lang w:eastAsia="da-DK"/>
    </w:rPr>
  </w:style>
  <w:style w:type="character" w:styleId="Hyperlnk">
    <w:name w:val="Hyperlink"/>
    <w:basedOn w:val="Standardstycketeckensnitt"/>
    <w:uiPriority w:val="99"/>
    <w:unhideWhenUsed/>
    <w:rsid w:val="007B2D8C"/>
    <w:rPr>
      <w:color w:val="0000FF" w:themeColor="hyperlink"/>
      <w:u w:val="single"/>
    </w:rPr>
  </w:style>
  <w:style w:type="paragraph" w:styleId="Ballongtext">
    <w:name w:val="Balloon Text"/>
    <w:basedOn w:val="Normal"/>
    <w:link w:val="BallongtextChar"/>
    <w:uiPriority w:val="99"/>
    <w:semiHidden/>
    <w:unhideWhenUsed/>
    <w:rsid w:val="00776FC4"/>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76FC4"/>
    <w:rPr>
      <w:rFonts w:ascii="Tahoma" w:hAnsi="Tahoma" w:cs="Tahoma"/>
      <w:sz w:val="16"/>
      <w:szCs w:val="16"/>
    </w:rPr>
  </w:style>
  <w:style w:type="paragraph" w:customStyle="1" w:styleId="SidehovedHoejrestillet">
    <w:name w:val="SidehovedHoejrestillet"/>
    <w:basedOn w:val="Sidhuvud"/>
    <w:rsid w:val="001E2BF1"/>
    <w:pPr>
      <w:jc w:val="right"/>
    </w:pPr>
  </w:style>
  <w:style w:type="paragraph" w:customStyle="1" w:styleId="RapportTitel">
    <w:name w:val="RapportTitel"/>
    <w:basedOn w:val="Ingetavstnd"/>
    <w:rsid w:val="008B5B6E"/>
    <w:pPr>
      <w:spacing w:before="0"/>
      <w:jc w:val="center"/>
    </w:pPr>
    <w:rPr>
      <w:rFonts w:ascii="Calibri" w:hAnsi="Calibri" w:cs="Tahoma"/>
      <w:color w:val="auto"/>
      <w:sz w:val="80"/>
      <w:szCs w:val="32"/>
    </w:rPr>
  </w:style>
  <w:style w:type="paragraph" w:customStyle="1" w:styleId="RapportUndertitel">
    <w:name w:val="RapportUndertitel"/>
    <w:basedOn w:val="Ingetavstnd"/>
    <w:rsid w:val="00AD0C16"/>
    <w:pPr>
      <w:jc w:val="center"/>
    </w:pPr>
    <w:rPr>
      <w:rFonts w:ascii="Calibri" w:hAnsi="Calibri" w:cs="Tahoma"/>
      <w:color w:val="auto"/>
    </w:rPr>
  </w:style>
  <w:style w:type="paragraph" w:styleId="Innehll4">
    <w:name w:val="toc 4"/>
    <w:basedOn w:val="Normal"/>
    <w:next w:val="Normal"/>
    <w:autoRedefine/>
    <w:uiPriority w:val="39"/>
    <w:semiHidden/>
    <w:unhideWhenUsed/>
    <w:rsid w:val="00172EFA"/>
    <w:pPr>
      <w:spacing w:after="100"/>
      <w:ind w:left="660"/>
    </w:pPr>
    <w:rPr>
      <w:i/>
      <w:sz w:val="20"/>
    </w:rPr>
  </w:style>
  <w:style w:type="paragraph" w:customStyle="1" w:styleId="PageHeader">
    <w:name w:val="PageHeader"/>
    <w:rsid w:val="0068267C"/>
    <w:pPr>
      <w:framePr w:wrap="around" w:vAnchor="page" w:hAnchor="page" w:x="1419" w:y="1419"/>
      <w:spacing w:after="0"/>
      <w:suppressOverlap/>
    </w:pPr>
  </w:style>
  <w:style w:type="paragraph" w:customStyle="1" w:styleId="PageFooter">
    <w:name w:val="PageFooter"/>
    <w:rsid w:val="00297298"/>
    <w:pPr>
      <w:framePr w:wrap="around" w:vAnchor="page" w:hAnchor="page" w:x="1419" w:y="14913"/>
      <w:spacing w:after="0" w:line="240" w:lineRule="auto"/>
      <w:suppressOverlap/>
    </w:pPr>
    <w:rPr>
      <w:color w:val="FFFFFF" w:themeColor="background1"/>
      <w:lang w:val="nb-NO"/>
    </w:rPr>
  </w:style>
  <w:style w:type="paragraph" w:customStyle="1" w:styleId="FirstPageHeader">
    <w:name w:val="FirstPageHeader"/>
    <w:rsid w:val="0068267C"/>
    <w:pPr>
      <w:framePr w:wrap="auto" w:hAnchor="text" w:x="6450" w:y="1418"/>
      <w:spacing w:after="0" w:line="240" w:lineRule="atLeast"/>
      <w:jc w:val="right"/>
    </w:pPr>
  </w:style>
  <w:style w:type="paragraph" w:customStyle="1" w:styleId="PageFooter2">
    <w:name w:val="PageFooter2"/>
    <w:basedOn w:val="PageFooter"/>
    <w:rsid w:val="00297298"/>
    <w:pPr>
      <w:framePr w:wrap="around" w:y="14630"/>
    </w:pPr>
    <w:rPr>
      <w:sz w:val="16"/>
      <w:lang w:val="sv-SE"/>
    </w:rPr>
  </w:style>
  <w:style w:type="paragraph" w:customStyle="1" w:styleId="Rubrik1-Numrering">
    <w:name w:val="Rubrik 1 - Numrering"/>
    <w:basedOn w:val="Rubrik1"/>
    <w:next w:val="Normal"/>
    <w:qFormat/>
    <w:rsid w:val="004A1710"/>
    <w:pPr>
      <w:numPr>
        <w:numId w:val="6"/>
      </w:numPr>
    </w:pPr>
  </w:style>
  <w:style w:type="paragraph" w:customStyle="1" w:styleId="Rubrik2-Numrering">
    <w:name w:val="Rubrik 2 - Numrering"/>
    <w:basedOn w:val="Rubrik2"/>
    <w:next w:val="Normal"/>
    <w:qFormat/>
    <w:rsid w:val="004A1710"/>
    <w:pPr>
      <w:numPr>
        <w:ilvl w:val="1"/>
        <w:numId w:val="6"/>
      </w:numPr>
    </w:pPr>
  </w:style>
  <w:style w:type="paragraph" w:customStyle="1" w:styleId="Rubrik3-Numrering">
    <w:name w:val="Rubrik 3 - Numrering"/>
    <w:basedOn w:val="Rubrik3"/>
    <w:next w:val="Normal"/>
    <w:qFormat/>
    <w:rsid w:val="004A1710"/>
    <w:pPr>
      <w:numPr>
        <w:ilvl w:val="2"/>
        <w:numId w:val="6"/>
      </w:numPr>
    </w:pPr>
  </w:style>
  <w:style w:type="paragraph" w:customStyle="1" w:styleId="Rubrik4-Numrering">
    <w:name w:val="Rubrik 4 - Numrering"/>
    <w:basedOn w:val="Rubrik4"/>
    <w:next w:val="Normal"/>
    <w:qFormat/>
    <w:rsid w:val="00A36197"/>
    <w:pPr>
      <w:numPr>
        <w:ilvl w:val="3"/>
        <w:numId w:val="6"/>
      </w:numPr>
    </w:pPr>
    <w:rPr>
      <w:lang w:val="nb-NO"/>
    </w:rPr>
  </w:style>
  <w:style w:type="character" w:customStyle="1" w:styleId="Rubrik5Char">
    <w:name w:val="Rubrik 5 Char"/>
    <w:basedOn w:val="Standardstycketeckensnitt"/>
    <w:link w:val="Rubrik5"/>
    <w:uiPriority w:val="9"/>
    <w:semiHidden/>
    <w:rsid w:val="00692FDD"/>
    <w:rPr>
      <w:rFonts w:asciiTheme="majorHAnsi" w:eastAsiaTheme="majorEastAsia" w:hAnsiTheme="majorHAnsi" w:cstheme="majorBidi"/>
      <w:color w:val="365F91" w:themeColor="accent1" w:themeShade="BF"/>
    </w:rPr>
  </w:style>
  <w:style w:type="character" w:styleId="Kommentarsreferens">
    <w:name w:val="annotation reference"/>
    <w:basedOn w:val="Standardstycketeckensnitt"/>
    <w:uiPriority w:val="99"/>
    <w:semiHidden/>
    <w:unhideWhenUsed/>
    <w:rsid w:val="00386517"/>
    <w:rPr>
      <w:sz w:val="16"/>
      <w:szCs w:val="16"/>
    </w:rPr>
  </w:style>
  <w:style w:type="paragraph" w:styleId="Kommentarer">
    <w:name w:val="annotation text"/>
    <w:basedOn w:val="Normal"/>
    <w:link w:val="KommentarerChar"/>
    <w:uiPriority w:val="99"/>
    <w:unhideWhenUsed/>
    <w:rsid w:val="00386517"/>
    <w:pPr>
      <w:spacing w:line="240" w:lineRule="auto"/>
    </w:pPr>
    <w:rPr>
      <w:sz w:val="20"/>
      <w:szCs w:val="20"/>
    </w:rPr>
  </w:style>
  <w:style w:type="character" w:customStyle="1" w:styleId="KommentarerChar">
    <w:name w:val="Kommentarer Char"/>
    <w:basedOn w:val="Standardstycketeckensnitt"/>
    <w:link w:val="Kommentarer"/>
    <w:uiPriority w:val="99"/>
    <w:rsid w:val="00386517"/>
    <w:rPr>
      <w:sz w:val="20"/>
      <w:szCs w:val="20"/>
      <w:lang w:val="sv-SE"/>
    </w:rPr>
  </w:style>
  <w:style w:type="table" w:styleId="Ljuslista-dekorfrg1">
    <w:name w:val="Light List Accent 1"/>
    <w:basedOn w:val="Normaltabell"/>
    <w:uiPriority w:val="61"/>
    <w:rsid w:val="00386517"/>
    <w:pPr>
      <w:spacing w:after="0" w:line="240" w:lineRule="auto"/>
    </w:pPr>
    <w:rPr>
      <w:lang w:val="sv-S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4491">
      <w:bodyDiv w:val="1"/>
      <w:marLeft w:val="0"/>
      <w:marRight w:val="0"/>
      <w:marTop w:val="0"/>
      <w:marBottom w:val="0"/>
      <w:divBdr>
        <w:top w:val="none" w:sz="0" w:space="0" w:color="auto"/>
        <w:left w:val="none" w:sz="0" w:space="0" w:color="auto"/>
        <w:bottom w:val="none" w:sz="0" w:space="0" w:color="auto"/>
        <w:right w:val="none" w:sz="0" w:space="0" w:color="auto"/>
      </w:divBdr>
    </w:div>
    <w:div w:id="84231787">
      <w:bodyDiv w:val="1"/>
      <w:marLeft w:val="0"/>
      <w:marRight w:val="0"/>
      <w:marTop w:val="0"/>
      <w:marBottom w:val="0"/>
      <w:divBdr>
        <w:top w:val="none" w:sz="0" w:space="0" w:color="auto"/>
        <w:left w:val="none" w:sz="0" w:space="0" w:color="auto"/>
        <w:bottom w:val="none" w:sz="0" w:space="0" w:color="auto"/>
        <w:right w:val="none" w:sz="0" w:space="0" w:color="auto"/>
      </w:divBdr>
    </w:div>
    <w:div w:id="966855282">
      <w:bodyDiv w:val="1"/>
      <w:marLeft w:val="0"/>
      <w:marRight w:val="0"/>
      <w:marTop w:val="0"/>
      <w:marBottom w:val="0"/>
      <w:divBdr>
        <w:top w:val="none" w:sz="0" w:space="0" w:color="auto"/>
        <w:left w:val="none" w:sz="0" w:space="0" w:color="auto"/>
        <w:bottom w:val="none" w:sz="0" w:space="0" w:color="auto"/>
        <w:right w:val="none" w:sz="0" w:space="0" w:color="auto"/>
      </w:divBdr>
    </w:div>
    <w:div w:id="1506941926">
      <w:bodyDiv w:val="1"/>
      <w:marLeft w:val="0"/>
      <w:marRight w:val="0"/>
      <w:marTop w:val="0"/>
      <w:marBottom w:val="0"/>
      <w:divBdr>
        <w:top w:val="none" w:sz="0" w:space="0" w:color="auto"/>
        <w:left w:val="none" w:sz="0" w:space="0" w:color="auto"/>
        <w:bottom w:val="none" w:sz="0" w:space="0" w:color="auto"/>
        <w:right w:val="none" w:sz="0" w:space="0" w:color="auto"/>
      </w:divBdr>
    </w:div>
    <w:div w:id="1901091907">
      <w:bodyDiv w:val="1"/>
      <w:marLeft w:val="0"/>
      <w:marRight w:val="0"/>
      <w:marTop w:val="0"/>
      <w:marBottom w:val="0"/>
      <w:divBdr>
        <w:top w:val="none" w:sz="0" w:space="0" w:color="auto"/>
        <w:left w:val="none" w:sz="0" w:space="0" w:color="auto"/>
        <w:bottom w:val="none" w:sz="0" w:space="0" w:color="auto"/>
        <w:right w:val="none" w:sz="0" w:space="0" w:color="auto"/>
      </w:divBdr>
    </w:div>
    <w:div w:id="1911689891">
      <w:bodyDiv w:val="1"/>
      <w:marLeft w:val="0"/>
      <w:marRight w:val="0"/>
      <w:marTop w:val="0"/>
      <w:marBottom w:val="0"/>
      <w:divBdr>
        <w:top w:val="none" w:sz="0" w:space="0" w:color="auto"/>
        <w:left w:val="none" w:sz="0" w:space="0" w:color="auto"/>
        <w:bottom w:val="none" w:sz="0" w:space="0" w:color="auto"/>
        <w:right w:val="none" w:sz="0" w:space="0" w:color="auto"/>
      </w:divBdr>
    </w:div>
    <w:div w:id="213478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st.local\employees\DynamicT\Skabeloner\Rapport.dot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VST00193C\NyGemensam\StadsLedningsKontoret\Ekonomi%20o%20styrning\Uppf&#246;ljning\Resultatutveckling%20fr&#229;n%20201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VST00193C\NyGemensam\StadsLedningsKontoret\Ekonomi%20o%20styrning\Uppf&#246;ljning\Nyckelt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VST00193C\NyGemensam\StadsLedningsKontoret\Ekonomi%20o%20styrning\Uppf&#246;ljning\Nyckelt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VST00193C\NyGemensam\StadsLedningsKontoret\Ekonomi%20o%20styrning\Uppf&#246;ljning\Uppf%202019\&#197;rsbokslut\Siffror\Tabeller%20till%20bokslut%20och%20&#197;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Verksamhetens resultat, mnkr</a:t>
            </a:r>
          </a:p>
        </c:rich>
      </c:tx>
      <c:layout/>
      <c:overlay val="0"/>
    </c:title>
    <c:autoTitleDeleted val="0"/>
    <c:plotArea>
      <c:layout/>
      <c:barChart>
        <c:barDir val="col"/>
        <c:grouping val="stacked"/>
        <c:varyColors val="0"/>
        <c:ser>
          <c:idx val="2"/>
          <c:order val="0"/>
          <c:tx>
            <c:strRef>
              <c:f>'Resultat fr 2020'!$A$38</c:f>
              <c:strCache>
                <c:ptCount val="1"/>
                <c:pt idx="0">
                  <c:v>Resultat, exkl reavinster och exploatering</c:v>
                </c:pt>
              </c:strCache>
            </c:strRef>
          </c:tx>
          <c:spPr>
            <a:solidFill>
              <a:schemeClr val="tx2">
                <a:lumMod val="60000"/>
                <a:lumOff val="40000"/>
              </a:schemeClr>
            </a:solidFill>
            <a:ln>
              <a:solidFill>
                <a:schemeClr val="accent1">
                  <a:lumMod val="40000"/>
                  <a:lumOff val="60000"/>
                </a:schemeClr>
              </a:solidFill>
            </a:ln>
          </c:spPr>
          <c:invertIfNegative val="0"/>
          <c:dPt>
            <c:idx val="2"/>
            <c:invertIfNegative val="0"/>
            <c:bubble3D val="0"/>
          </c:dPt>
          <c:cat>
            <c:numRef>
              <c:f>'Resultat tom 2019'!$C$20:$I$20</c:f>
              <c:numCache>
                <c:formatCode>General</c:formatCode>
                <c:ptCount val="7"/>
                <c:pt idx="0">
                  <c:v>2013</c:v>
                </c:pt>
                <c:pt idx="1">
                  <c:v>2014</c:v>
                </c:pt>
                <c:pt idx="2">
                  <c:v>2015</c:v>
                </c:pt>
                <c:pt idx="3">
                  <c:v>2016</c:v>
                </c:pt>
                <c:pt idx="4">
                  <c:v>2017</c:v>
                </c:pt>
                <c:pt idx="5">
                  <c:v>2018</c:v>
                </c:pt>
                <c:pt idx="6">
                  <c:v>2019</c:v>
                </c:pt>
              </c:numCache>
            </c:numRef>
          </c:cat>
          <c:val>
            <c:numRef>
              <c:f>'Resultat fr 2020'!$C$38:$I$38</c:f>
              <c:numCache>
                <c:formatCode>General</c:formatCode>
                <c:ptCount val="7"/>
                <c:pt idx="0" formatCode="0">
                  <c:v>121.8</c:v>
                </c:pt>
                <c:pt idx="1">
                  <c:v>-110.5</c:v>
                </c:pt>
                <c:pt idx="2">
                  <c:v>-143.5</c:v>
                </c:pt>
                <c:pt idx="3">
                  <c:v>171</c:v>
                </c:pt>
                <c:pt idx="4" formatCode="0">
                  <c:v>164.6</c:v>
                </c:pt>
                <c:pt idx="5" formatCode="0">
                  <c:v>186.6</c:v>
                </c:pt>
                <c:pt idx="6">
                  <c:v>105</c:v>
                </c:pt>
              </c:numCache>
            </c:numRef>
          </c:val>
        </c:ser>
        <c:ser>
          <c:idx val="1"/>
          <c:order val="1"/>
          <c:tx>
            <c:strRef>
              <c:f>'Resultat fr 2020'!$A$35</c:f>
              <c:strCache>
                <c:ptCount val="1"/>
                <c:pt idx="0">
                  <c:v>Reavinster o exploatering</c:v>
                </c:pt>
              </c:strCache>
            </c:strRef>
          </c:tx>
          <c:spPr>
            <a:solidFill>
              <a:schemeClr val="tx2">
                <a:lumMod val="40000"/>
                <a:lumOff val="60000"/>
              </a:schemeClr>
            </a:solidFill>
            <a:ln>
              <a:noFill/>
            </a:ln>
          </c:spPr>
          <c:invertIfNegative val="0"/>
          <c:dPt>
            <c:idx val="4"/>
            <c:invertIfNegative val="0"/>
            <c:bubble3D val="0"/>
          </c:dPt>
          <c:cat>
            <c:numRef>
              <c:f>'Resultat tom 2019'!$C$20:$I$20</c:f>
              <c:numCache>
                <c:formatCode>General</c:formatCode>
                <c:ptCount val="7"/>
                <c:pt idx="0">
                  <c:v>2013</c:v>
                </c:pt>
                <c:pt idx="1">
                  <c:v>2014</c:v>
                </c:pt>
                <c:pt idx="2">
                  <c:v>2015</c:v>
                </c:pt>
                <c:pt idx="3">
                  <c:v>2016</c:v>
                </c:pt>
                <c:pt idx="4">
                  <c:v>2017</c:v>
                </c:pt>
                <c:pt idx="5">
                  <c:v>2018</c:v>
                </c:pt>
                <c:pt idx="6">
                  <c:v>2019</c:v>
                </c:pt>
              </c:numCache>
            </c:numRef>
          </c:cat>
          <c:val>
            <c:numRef>
              <c:f>'Resultat fr 2020'!$C$35:$I$35</c:f>
              <c:numCache>
                <c:formatCode>0</c:formatCode>
                <c:ptCount val="7"/>
                <c:pt idx="0">
                  <c:v>30.200000000000003</c:v>
                </c:pt>
                <c:pt idx="1">
                  <c:v>36.5</c:v>
                </c:pt>
                <c:pt idx="2">
                  <c:v>466.5</c:v>
                </c:pt>
                <c:pt idx="3">
                  <c:v>172</c:v>
                </c:pt>
                <c:pt idx="4">
                  <c:v>314.39999999999998</c:v>
                </c:pt>
                <c:pt idx="5">
                  <c:v>97.4</c:v>
                </c:pt>
                <c:pt idx="6">
                  <c:v>200</c:v>
                </c:pt>
              </c:numCache>
            </c:numRef>
          </c:val>
        </c:ser>
        <c:dLbls>
          <c:showLegendKey val="0"/>
          <c:showVal val="0"/>
          <c:showCatName val="0"/>
          <c:showSerName val="0"/>
          <c:showPercent val="0"/>
          <c:showBubbleSize val="0"/>
        </c:dLbls>
        <c:gapWidth val="55"/>
        <c:overlap val="100"/>
        <c:axId val="50893568"/>
        <c:axId val="50895104"/>
      </c:barChart>
      <c:lineChart>
        <c:grouping val="standard"/>
        <c:varyColors val="0"/>
        <c:ser>
          <c:idx val="0"/>
          <c:order val="2"/>
          <c:tx>
            <c:strRef>
              <c:f>'Resultat fr 2020'!$A$36</c:f>
              <c:strCache>
                <c:ptCount val="1"/>
                <c:pt idx="0">
                  <c:v>Budgeterat resultat</c:v>
                </c:pt>
              </c:strCache>
            </c:strRef>
          </c:tx>
          <c:spPr>
            <a:ln w="38100">
              <a:solidFill>
                <a:srgbClr val="FF0000"/>
              </a:solidFill>
            </a:ln>
          </c:spPr>
          <c:marker>
            <c:symbol val="none"/>
          </c:marker>
          <c:cat>
            <c:numRef>
              <c:f>'Resultat tom 2019'!$C$20:$I$20</c:f>
              <c:numCache>
                <c:formatCode>General</c:formatCode>
                <c:ptCount val="7"/>
                <c:pt idx="0">
                  <c:v>2013</c:v>
                </c:pt>
                <c:pt idx="1">
                  <c:v>2014</c:v>
                </c:pt>
                <c:pt idx="2">
                  <c:v>2015</c:v>
                </c:pt>
                <c:pt idx="3">
                  <c:v>2016</c:v>
                </c:pt>
                <c:pt idx="4">
                  <c:v>2017</c:v>
                </c:pt>
                <c:pt idx="5">
                  <c:v>2018</c:v>
                </c:pt>
                <c:pt idx="6">
                  <c:v>2019</c:v>
                </c:pt>
              </c:numCache>
            </c:numRef>
          </c:cat>
          <c:val>
            <c:numRef>
              <c:f>'Resultat fr 2020'!$C$36:$I$36</c:f>
              <c:numCache>
                <c:formatCode>General</c:formatCode>
                <c:ptCount val="7"/>
                <c:pt idx="0">
                  <c:v>31</c:v>
                </c:pt>
                <c:pt idx="1">
                  <c:v>-47</c:v>
                </c:pt>
                <c:pt idx="2">
                  <c:v>-32</c:v>
                </c:pt>
                <c:pt idx="3" formatCode="0">
                  <c:v>47.8</c:v>
                </c:pt>
                <c:pt idx="4">
                  <c:v>93</c:v>
                </c:pt>
                <c:pt idx="5">
                  <c:v>102</c:v>
                </c:pt>
                <c:pt idx="6">
                  <c:v>112</c:v>
                </c:pt>
              </c:numCache>
            </c:numRef>
          </c:val>
          <c:smooth val="0"/>
        </c:ser>
        <c:dLbls>
          <c:showLegendKey val="0"/>
          <c:showVal val="0"/>
          <c:showCatName val="0"/>
          <c:showSerName val="0"/>
          <c:showPercent val="0"/>
          <c:showBubbleSize val="0"/>
        </c:dLbls>
        <c:marker val="1"/>
        <c:smooth val="0"/>
        <c:axId val="50893568"/>
        <c:axId val="50895104"/>
      </c:lineChart>
      <c:catAx>
        <c:axId val="50893568"/>
        <c:scaling>
          <c:orientation val="minMax"/>
        </c:scaling>
        <c:delete val="0"/>
        <c:axPos val="b"/>
        <c:numFmt formatCode="General" sourceLinked="1"/>
        <c:majorTickMark val="none"/>
        <c:minorTickMark val="none"/>
        <c:tickLblPos val="nextTo"/>
        <c:crossAx val="50895104"/>
        <c:crossesAt val="0"/>
        <c:auto val="1"/>
        <c:lblAlgn val="ctr"/>
        <c:lblOffset val="0"/>
        <c:noMultiLvlLbl val="0"/>
      </c:catAx>
      <c:valAx>
        <c:axId val="50895104"/>
        <c:scaling>
          <c:orientation val="minMax"/>
        </c:scaling>
        <c:delete val="0"/>
        <c:axPos val="l"/>
        <c:majorGridlines>
          <c:spPr>
            <a:ln>
              <a:solidFill>
                <a:schemeClr val="accent1"/>
              </a:solidFill>
            </a:ln>
          </c:spPr>
        </c:majorGridlines>
        <c:numFmt formatCode="0" sourceLinked="1"/>
        <c:majorTickMark val="none"/>
        <c:minorTickMark val="none"/>
        <c:tickLblPos val="low"/>
        <c:spPr>
          <a:ln>
            <a:noFill/>
          </a:ln>
        </c:spPr>
        <c:crossAx val="50893568"/>
        <c:crosses val="autoZero"/>
        <c:crossBetween val="between"/>
      </c:valAx>
      <c:spPr>
        <a:noFill/>
        <a:ln w="25400">
          <a:noFill/>
        </a:ln>
      </c:spPr>
    </c:plotArea>
    <c:legend>
      <c:legendPos val="r"/>
      <c:layout/>
      <c:overlay val="0"/>
      <c:spPr>
        <a:solidFill>
          <a:schemeClr val="bg1"/>
        </a:solidFill>
        <a:ln>
          <a:solidFill>
            <a:schemeClr val="bg1"/>
          </a:solidFill>
        </a:ln>
      </c:spPr>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Förändring av nettokostnaderna, % </a:t>
            </a:r>
          </a:p>
        </c:rich>
      </c:tx>
      <c:layout/>
      <c:overlay val="0"/>
    </c:title>
    <c:autoTitleDeleted val="0"/>
    <c:plotArea>
      <c:layout/>
      <c:barChart>
        <c:barDir val="col"/>
        <c:grouping val="stacked"/>
        <c:varyColors val="0"/>
        <c:ser>
          <c:idx val="2"/>
          <c:order val="1"/>
          <c:tx>
            <c:strRef>
              <c:f>Diagram!$A$8</c:f>
              <c:strCache>
                <c:ptCount val="1"/>
                <c:pt idx="0">
                  <c:v>Förändring av skatteintäkter, statsbidrag o utjämn, %</c:v>
                </c:pt>
              </c:strCache>
            </c:strRef>
          </c:tx>
          <c:spPr>
            <a:solidFill>
              <a:schemeClr val="tx2">
                <a:lumMod val="40000"/>
                <a:lumOff val="60000"/>
              </a:schemeClr>
            </a:solidFill>
            <a:ln>
              <a:solidFill>
                <a:schemeClr val="accent2">
                  <a:lumMod val="40000"/>
                  <a:lumOff val="60000"/>
                </a:schemeClr>
              </a:solidFill>
            </a:ln>
          </c:spPr>
          <c:invertIfNegative val="0"/>
          <c:cat>
            <c:numRef>
              <c:f>Diagram!$D$5:$H$5</c:f>
              <c:numCache>
                <c:formatCode>General</c:formatCode>
                <c:ptCount val="5"/>
                <c:pt idx="0">
                  <c:v>2015</c:v>
                </c:pt>
                <c:pt idx="1">
                  <c:v>2016</c:v>
                </c:pt>
                <c:pt idx="2">
                  <c:v>2017</c:v>
                </c:pt>
                <c:pt idx="3">
                  <c:v>2018</c:v>
                </c:pt>
                <c:pt idx="4">
                  <c:v>2019</c:v>
                </c:pt>
              </c:numCache>
            </c:numRef>
          </c:cat>
          <c:val>
            <c:numRef>
              <c:f>Diagram!$D$8:$H$8</c:f>
              <c:numCache>
                <c:formatCode>#,##0.0</c:formatCode>
                <c:ptCount val="5"/>
                <c:pt idx="0">
                  <c:v>3.0352280993453178</c:v>
                </c:pt>
                <c:pt idx="1">
                  <c:v>6.8319886764115267</c:v>
                </c:pt>
                <c:pt idx="2">
                  <c:v>4.8944439544291072</c:v>
                </c:pt>
                <c:pt idx="3">
                  <c:v>3.7594289478921894</c:v>
                </c:pt>
                <c:pt idx="4">
                  <c:v>4.8396420389046284</c:v>
                </c:pt>
              </c:numCache>
            </c:numRef>
          </c:val>
        </c:ser>
        <c:dLbls>
          <c:showLegendKey val="0"/>
          <c:showVal val="0"/>
          <c:showCatName val="0"/>
          <c:showSerName val="0"/>
          <c:showPercent val="0"/>
          <c:showBubbleSize val="0"/>
        </c:dLbls>
        <c:gapWidth val="100"/>
        <c:axId val="268418048"/>
        <c:axId val="268423936"/>
      </c:barChart>
      <c:lineChart>
        <c:grouping val="standard"/>
        <c:varyColors val="0"/>
        <c:ser>
          <c:idx val="1"/>
          <c:order val="0"/>
          <c:tx>
            <c:strRef>
              <c:f>Diagram!$A$7</c:f>
              <c:strCache>
                <c:ptCount val="1"/>
                <c:pt idx="0">
                  <c:v>Förändring av verksamhetens nettokostnader, exkl jämf.stör poster, %</c:v>
                </c:pt>
              </c:strCache>
            </c:strRef>
          </c:tx>
          <c:marker>
            <c:symbol val="none"/>
          </c:marker>
          <c:dLbls>
            <c:dLbl>
              <c:idx val="4"/>
              <c:layout>
                <c:manualLayout>
                  <c:x val="8.1699346405228763E-3"/>
                  <c:y val="9.2591651849970365E-3"/>
                </c:manualLayout>
              </c:layout>
              <c:showLegendKey val="0"/>
              <c:showVal val="1"/>
              <c:showCatName val="0"/>
              <c:showSerName val="0"/>
              <c:showPercent val="0"/>
              <c:showBubbleSize val="0"/>
            </c:dLbl>
            <c:showLegendKey val="0"/>
            <c:showVal val="0"/>
            <c:showCatName val="0"/>
            <c:showSerName val="0"/>
            <c:showPercent val="0"/>
            <c:showBubbleSize val="0"/>
          </c:dLbls>
          <c:cat>
            <c:numRef>
              <c:f>Diagram!$D$5:$H$5</c:f>
              <c:numCache>
                <c:formatCode>General</c:formatCode>
                <c:ptCount val="5"/>
                <c:pt idx="0">
                  <c:v>2015</c:v>
                </c:pt>
                <c:pt idx="1">
                  <c:v>2016</c:v>
                </c:pt>
                <c:pt idx="2">
                  <c:v>2017</c:v>
                </c:pt>
                <c:pt idx="3">
                  <c:v>2018</c:v>
                </c:pt>
                <c:pt idx="4">
                  <c:v>2019</c:v>
                </c:pt>
              </c:numCache>
            </c:numRef>
          </c:cat>
          <c:val>
            <c:numRef>
              <c:f>Diagram!$D$7:$H$7</c:f>
              <c:numCache>
                <c:formatCode>#,##0.0</c:formatCode>
                <c:ptCount val="5"/>
                <c:pt idx="0">
                  <c:v>3.4870576191868849</c:v>
                </c:pt>
                <c:pt idx="1">
                  <c:v>2.6980355248998507</c:v>
                </c:pt>
                <c:pt idx="2">
                  <c:v>4.8280877401315934</c:v>
                </c:pt>
                <c:pt idx="3">
                  <c:v>5.6451059266274797</c:v>
                </c:pt>
                <c:pt idx="4">
                  <c:v>3.7402543119959404</c:v>
                </c:pt>
              </c:numCache>
            </c:numRef>
          </c:val>
          <c:smooth val="0"/>
        </c:ser>
        <c:dLbls>
          <c:showLegendKey val="0"/>
          <c:showVal val="0"/>
          <c:showCatName val="0"/>
          <c:showSerName val="0"/>
          <c:showPercent val="0"/>
          <c:showBubbleSize val="0"/>
        </c:dLbls>
        <c:marker val="1"/>
        <c:smooth val="0"/>
        <c:axId val="268418048"/>
        <c:axId val="268423936"/>
      </c:lineChart>
      <c:catAx>
        <c:axId val="268418048"/>
        <c:scaling>
          <c:orientation val="minMax"/>
        </c:scaling>
        <c:delete val="0"/>
        <c:axPos val="b"/>
        <c:numFmt formatCode="General" sourceLinked="1"/>
        <c:majorTickMark val="none"/>
        <c:minorTickMark val="none"/>
        <c:tickLblPos val="nextTo"/>
        <c:crossAx val="268423936"/>
        <c:crosses val="autoZero"/>
        <c:auto val="0"/>
        <c:lblAlgn val="ctr"/>
        <c:lblOffset val="1000"/>
        <c:noMultiLvlLbl val="0"/>
      </c:catAx>
      <c:valAx>
        <c:axId val="268423936"/>
        <c:scaling>
          <c:orientation val="minMax"/>
        </c:scaling>
        <c:delete val="0"/>
        <c:axPos val="l"/>
        <c:majorGridlines>
          <c:spPr>
            <a:ln>
              <a:solidFill>
                <a:schemeClr val="accent1"/>
              </a:solidFill>
            </a:ln>
          </c:spPr>
        </c:majorGridlines>
        <c:title>
          <c:tx>
            <c:rich>
              <a:bodyPr/>
              <a:lstStyle/>
              <a:p>
                <a:pPr>
                  <a:defRPr/>
                </a:pPr>
                <a:r>
                  <a:rPr lang="sv-SE"/>
                  <a:t>Procent</a:t>
                </a:r>
              </a:p>
            </c:rich>
          </c:tx>
          <c:layout/>
          <c:overlay val="0"/>
        </c:title>
        <c:numFmt formatCode="#,##0.0" sourceLinked="1"/>
        <c:majorTickMark val="none"/>
        <c:minorTickMark val="none"/>
        <c:tickLblPos val="nextTo"/>
        <c:spPr>
          <a:ln>
            <a:noFill/>
          </a:ln>
        </c:spPr>
        <c:crossAx val="26841804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Resultatmål, %</a:t>
            </a:r>
          </a:p>
        </c:rich>
      </c:tx>
      <c:layout>
        <c:manualLayout>
          <c:xMode val="edge"/>
          <c:yMode val="edge"/>
          <c:x val="0.23449300087489069"/>
          <c:y val="3.2407407407407406E-2"/>
        </c:manualLayout>
      </c:layout>
      <c:overlay val="0"/>
    </c:title>
    <c:autoTitleDeleted val="0"/>
    <c:plotArea>
      <c:layout/>
      <c:lineChart>
        <c:grouping val="standard"/>
        <c:varyColors val="0"/>
        <c:ser>
          <c:idx val="0"/>
          <c:order val="0"/>
          <c:tx>
            <c:strRef>
              <c:f>'Årets resultat'!$A$58:$C$58</c:f>
              <c:strCache>
                <c:ptCount val="1"/>
                <c:pt idx="0">
                  <c:v>Kommunfullmäktiges resultatmål</c:v>
                </c:pt>
              </c:strCache>
            </c:strRef>
          </c:tx>
          <c:marker>
            <c:symbol val="none"/>
          </c:marker>
          <c:cat>
            <c:numRef>
              <c:f>'Årets resultat'!$D$57:$H$57</c:f>
              <c:numCache>
                <c:formatCode>General</c:formatCode>
                <c:ptCount val="5"/>
                <c:pt idx="0">
                  <c:v>2015</c:v>
                </c:pt>
                <c:pt idx="1">
                  <c:v>2016</c:v>
                </c:pt>
                <c:pt idx="2">
                  <c:v>2017</c:v>
                </c:pt>
                <c:pt idx="3">
                  <c:v>2018</c:v>
                </c:pt>
                <c:pt idx="4">
                  <c:v>2019</c:v>
                </c:pt>
              </c:numCache>
            </c:numRef>
          </c:cat>
          <c:val>
            <c:numRef>
              <c:f>'Årets resultat'!$D$58:$H$58</c:f>
              <c:numCache>
                <c:formatCode>General</c:formatCode>
                <c:ptCount val="5"/>
                <c:pt idx="0">
                  <c:v>2.5</c:v>
                </c:pt>
                <c:pt idx="1">
                  <c:v>2.5</c:v>
                </c:pt>
                <c:pt idx="2">
                  <c:v>2.5</c:v>
                </c:pt>
                <c:pt idx="3">
                  <c:v>2.5</c:v>
                </c:pt>
                <c:pt idx="4">
                  <c:v>2.5</c:v>
                </c:pt>
              </c:numCache>
            </c:numRef>
          </c:val>
          <c:smooth val="0"/>
        </c:ser>
        <c:ser>
          <c:idx val="1"/>
          <c:order val="1"/>
          <c:tx>
            <c:strRef>
              <c:f>'Årets resultat'!$A$59:$C$59</c:f>
              <c:strCache>
                <c:ptCount val="1"/>
                <c:pt idx="0">
                  <c:v>Årets resultat</c:v>
                </c:pt>
              </c:strCache>
            </c:strRef>
          </c:tx>
          <c:marker>
            <c:symbol val="none"/>
          </c:marker>
          <c:cat>
            <c:numRef>
              <c:f>'Årets resultat'!$D$57:$H$57</c:f>
              <c:numCache>
                <c:formatCode>General</c:formatCode>
                <c:ptCount val="5"/>
                <c:pt idx="0">
                  <c:v>2015</c:v>
                </c:pt>
                <c:pt idx="1">
                  <c:v>2016</c:v>
                </c:pt>
                <c:pt idx="2">
                  <c:v>2017</c:v>
                </c:pt>
                <c:pt idx="3">
                  <c:v>2018</c:v>
                </c:pt>
                <c:pt idx="4">
                  <c:v>2019</c:v>
                </c:pt>
              </c:numCache>
            </c:numRef>
          </c:cat>
          <c:val>
            <c:numRef>
              <c:f>'Årets resultat'!$D$59:$H$59</c:f>
              <c:numCache>
                <c:formatCode>0.0</c:formatCode>
                <c:ptCount val="5"/>
                <c:pt idx="0">
                  <c:v>-1.2789033040004285</c:v>
                </c:pt>
                <c:pt idx="1">
                  <c:v>2.1335357411338016</c:v>
                </c:pt>
                <c:pt idx="2">
                  <c:v>2.5486252649259846</c:v>
                </c:pt>
                <c:pt idx="3">
                  <c:v>1.0134275683178233</c:v>
                </c:pt>
                <c:pt idx="4">
                  <c:v>1.7385764602983218</c:v>
                </c:pt>
              </c:numCache>
            </c:numRef>
          </c:val>
          <c:smooth val="0"/>
        </c:ser>
        <c:ser>
          <c:idx val="2"/>
          <c:order val="2"/>
          <c:tx>
            <c:strRef>
              <c:f>'Årets resultat'!$A$60:$C$60</c:f>
              <c:strCache>
                <c:ptCount val="1"/>
                <c:pt idx="0">
                  <c:v>Årets budget</c:v>
                </c:pt>
              </c:strCache>
            </c:strRef>
          </c:tx>
          <c:marker>
            <c:symbol val="none"/>
          </c:marker>
          <c:cat>
            <c:numRef>
              <c:f>'Årets resultat'!$D$57:$H$57</c:f>
              <c:numCache>
                <c:formatCode>General</c:formatCode>
                <c:ptCount val="5"/>
                <c:pt idx="0">
                  <c:v>2015</c:v>
                </c:pt>
                <c:pt idx="1">
                  <c:v>2016</c:v>
                </c:pt>
                <c:pt idx="2">
                  <c:v>2017</c:v>
                </c:pt>
                <c:pt idx="3">
                  <c:v>2018</c:v>
                </c:pt>
                <c:pt idx="4">
                  <c:v>2019</c:v>
                </c:pt>
              </c:numCache>
            </c:numRef>
          </c:cat>
          <c:val>
            <c:numRef>
              <c:f>'Årets resultat'!$D$60:$H$60</c:f>
              <c:numCache>
                <c:formatCode>0.0</c:formatCode>
                <c:ptCount val="5"/>
                <c:pt idx="0">
                  <c:v>1</c:v>
                </c:pt>
                <c:pt idx="1">
                  <c:v>1.38</c:v>
                </c:pt>
                <c:pt idx="2">
                  <c:v>1.89</c:v>
                </c:pt>
                <c:pt idx="3">
                  <c:v>1.86</c:v>
                </c:pt>
                <c:pt idx="4">
                  <c:v>2</c:v>
                </c:pt>
              </c:numCache>
            </c:numRef>
          </c:val>
          <c:smooth val="0"/>
        </c:ser>
        <c:dLbls>
          <c:showLegendKey val="0"/>
          <c:showVal val="0"/>
          <c:showCatName val="0"/>
          <c:showSerName val="0"/>
          <c:showPercent val="0"/>
          <c:showBubbleSize val="0"/>
        </c:dLbls>
        <c:marker val="1"/>
        <c:smooth val="0"/>
        <c:axId val="280447616"/>
        <c:axId val="280449408"/>
      </c:lineChart>
      <c:catAx>
        <c:axId val="280447616"/>
        <c:scaling>
          <c:orientation val="minMax"/>
        </c:scaling>
        <c:delete val="0"/>
        <c:axPos val="b"/>
        <c:numFmt formatCode="General" sourceLinked="1"/>
        <c:majorTickMark val="none"/>
        <c:minorTickMark val="none"/>
        <c:tickLblPos val="nextTo"/>
        <c:crossAx val="280449408"/>
        <c:crosses val="autoZero"/>
        <c:auto val="1"/>
        <c:lblAlgn val="ctr"/>
        <c:lblOffset val="100"/>
        <c:noMultiLvlLbl val="0"/>
      </c:catAx>
      <c:valAx>
        <c:axId val="280449408"/>
        <c:scaling>
          <c:orientation val="minMax"/>
          <c:max val="5"/>
          <c:min val="-3"/>
        </c:scaling>
        <c:delete val="0"/>
        <c:axPos val="l"/>
        <c:majorGridlines>
          <c:spPr>
            <a:ln>
              <a:solidFill>
                <a:schemeClr val="accent1">
                  <a:alpha val="40000"/>
                </a:schemeClr>
              </a:solidFill>
            </a:ln>
          </c:spPr>
        </c:majorGridlines>
        <c:title>
          <c:tx>
            <c:rich>
              <a:bodyPr/>
              <a:lstStyle/>
              <a:p>
                <a:pPr>
                  <a:defRPr/>
                </a:pPr>
                <a:r>
                  <a:rPr lang="sv-SE"/>
                  <a:t>Procent</a:t>
                </a:r>
              </a:p>
            </c:rich>
          </c:tx>
          <c:layout/>
          <c:overlay val="0"/>
        </c:title>
        <c:numFmt formatCode="General" sourceLinked="1"/>
        <c:majorTickMark val="none"/>
        <c:minorTickMark val="none"/>
        <c:tickLblPos val="nextTo"/>
        <c:spPr>
          <a:ln>
            <a:noFill/>
          </a:ln>
        </c:spPr>
        <c:crossAx val="28044761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Finansnetto, mnkr</a:t>
            </a:r>
          </a:p>
        </c:rich>
      </c:tx>
      <c:layout>
        <c:manualLayout>
          <c:xMode val="edge"/>
          <c:yMode val="edge"/>
          <c:x val="0.16680555555555557"/>
          <c:y val="2.7972027972027972E-2"/>
        </c:manualLayout>
      </c:layout>
      <c:overlay val="1"/>
    </c:title>
    <c:autoTitleDeleted val="0"/>
    <c:plotArea>
      <c:layout>
        <c:manualLayout>
          <c:layoutTarget val="inner"/>
          <c:xMode val="edge"/>
          <c:yMode val="edge"/>
          <c:x val="8.607174103237096E-2"/>
          <c:y val="0.20094414771580127"/>
          <c:w val="0.56298250218722656"/>
          <c:h val="0.68226492667437544"/>
        </c:manualLayout>
      </c:layout>
      <c:barChart>
        <c:barDir val="col"/>
        <c:grouping val="stacked"/>
        <c:varyColors val="0"/>
        <c:ser>
          <c:idx val="1"/>
          <c:order val="1"/>
          <c:tx>
            <c:strRef>
              <c:f>Finansnetto!$A$6</c:f>
              <c:strCache>
                <c:ptCount val="1"/>
                <c:pt idx="0">
                  <c:v>Utfall</c:v>
                </c:pt>
              </c:strCache>
            </c:strRef>
          </c:tx>
          <c:spPr>
            <a:solidFill>
              <a:schemeClr val="tx2">
                <a:lumMod val="60000"/>
                <a:lumOff val="40000"/>
              </a:schemeClr>
            </a:solidFill>
          </c:spPr>
          <c:invertIfNegative val="0"/>
          <c:dLbls>
            <c:showLegendKey val="0"/>
            <c:showVal val="1"/>
            <c:showCatName val="0"/>
            <c:showSerName val="0"/>
            <c:showPercent val="0"/>
            <c:showBubbleSize val="0"/>
            <c:showLeaderLines val="0"/>
          </c:dLbls>
          <c:cat>
            <c:numRef>
              <c:f>Finansnetto!$B$4:$H$4</c:f>
              <c:numCache>
                <c:formatCode>General</c:formatCode>
                <c:ptCount val="7"/>
                <c:pt idx="0">
                  <c:v>2013</c:v>
                </c:pt>
                <c:pt idx="1">
                  <c:v>2014</c:v>
                </c:pt>
                <c:pt idx="2">
                  <c:v>2015</c:v>
                </c:pt>
                <c:pt idx="3">
                  <c:v>2016</c:v>
                </c:pt>
                <c:pt idx="4">
                  <c:v>2017</c:v>
                </c:pt>
                <c:pt idx="5">
                  <c:v>2018</c:v>
                </c:pt>
                <c:pt idx="6">
                  <c:v>2019</c:v>
                </c:pt>
              </c:numCache>
            </c:numRef>
          </c:cat>
          <c:val>
            <c:numRef>
              <c:f>Finansnetto!$B$6:$H$6</c:f>
              <c:numCache>
                <c:formatCode>0</c:formatCode>
                <c:ptCount val="7"/>
                <c:pt idx="0">
                  <c:v>66.8</c:v>
                </c:pt>
                <c:pt idx="1">
                  <c:v>105.9</c:v>
                </c:pt>
                <c:pt idx="2">
                  <c:v>121.2</c:v>
                </c:pt>
                <c:pt idx="3">
                  <c:v>50.8</c:v>
                </c:pt>
                <c:pt idx="4">
                  <c:v>39.200000000000003</c:v>
                </c:pt>
                <c:pt idx="5">
                  <c:v>60.3</c:v>
                </c:pt>
                <c:pt idx="6">
                  <c:v>37.099999999999994</c:v>
                </c:pt>
              </c:numCache>
            </c:numRef>
          </c:val>
        </c:ser>
        <c:ser>
          <c:idx val="2"/>
          <c:order val="2"/>
          <c:tx>
            <c:strRef>
              <c:f>Finansnetto!$A$8</c:f>
              <c:strCache>
                <c:ptCount val="1"/>
                <c:pt idx="0">
                  <c:v>Marknadsvärdering</c:v>
                </c:pt>
              </c:strCache>
            </c:strRef>
          </c:tx>
          <c:spPr>
            <a:solidFill>
              <a:schemeClr val="tx2">
                <a:lumMod val="40000"/>
                <a:lumOff val="60000"/>
              </a:schemeClr>
            </a:solidFill>
          </c:spPr>
          <c:invertIfNegative val="0"/>
          <c:dLbls>
            <c:dLbl>
              <c:idx val="6"/>
              <c:layout/>
              <c:showLegendKey val="0"/>
              <c:showVal val="1"/>
              <c:showCatName val="0"/>
              <c:showSerName val="0"/>
              <c:showPercent val="0"/>
              <c:showBubbleSize val="0"/>
            </c:dLbl>
            <c:showLegendKey val="0"/>
            <c:showVal val="0"/>
            <c:showCatName val="0"/>
            <c:showSerName val="0"/>
            <c:showPercent val="0"/>
            <c:showBubbleSize val="0"/>
          </c:dLbls>
          <c:cat>
            <c:numRef>
              <c:f>Finansnetto!$B$4:$H$4</c:f>
              <c:numCache>
                <c:formatCode>General</c:formatCode>
                <c:ptCount val="7"/>
                <c:pt idx="0">
                  <c:v>2013</c:v>
                </c:pt>
                <c:pt idx="1">
                  <c:v>2014</c:v>
                </c:pt>
                <c:pt idx="2">
                  <c:v>2015</c:v>
                </c:pt>
                <c:pt idx="3">
                  <c:v>2016</c:v>
                </c:pt>
                <c:pt idx="4">
                  <c:v>2017</c:v>
                </c:pt>
                <c:pt idx="5">
                  <c:v>2018</c:v>
                </c:pt>
                <c:pt idx="6">
                  <c:v>2019</c:v>
                </c:pt>
              </c:numCache>
            </c:numRef>
          </c:cat>
          <c:val>
            <c:numRef>
              <c:f>Finansnetto!$B$8:$H$8</c:f>
              <c:numCache>
                <c:formatCode>General</c:formatCode>
                <c:ptCount val="7"/>
                <c:pt idx="0">
                  <c:v>0</c:v>
                </c:pt>
                <c:pt idx="1">
                  <c:v>0</c:v>
                </c:pt>
                <c:pt idx="2">
                  <c:v>0</c:v>
                </c:pt>
                <c:pt idx="3">
                  <c:v>0</c:v>
                </c:pt>
                <c:pt idx="4">
                  <c:v>0</c:v>
                </c:pt>
                <c:pt idx="5">
                  <c:v>0</c:v>
                </c:pt>
                <c:pt idx="6">
                  <c:v>187</c:v>
                </c:pt>
              </c:numCache>
            </c:numRef>
          </c:val>
        </c:ser>
        <c:dLbls>
          <c:showLegendKey val="0"/>
          <c:showVal val="0"/>
          <c:showCatName val="0"/>
          <c:showSerName val="0"/>
          <c:showPercent val="0"/>
          <c:showBubbleSize val="0"/>
        </c:dLbls>
        <c:gapWidth val="50"/>
        <c:overlap val="100"/>
        <c:axId val="280485248"/>
        <c:axId val="280503424"/>
      </c:barChart>
      <c:lineChart>
        <c:grouping val="standard"/>
        <c:varyColors val="0"/>
        <c:ser>
          <c:idx val="0"/>
          <c:order val="0"/>
          <c:tx>
            <c:strRef>
              <c:f>Finansnetto!$A$5</c:f>
              <c:strCache>
                <c:ptCount val="1"/>
                <c:pt idx="0">
                  <c:v>Budget</c:v>
                </c:pt>
              </c:strCache>
            </c:strRef>
          </c:tx>
          <c:spPr>
            <a:ln>
              <a:solidFill>
                <a:srgbClr val="FF0000"/>
              </a:solidFill>
            </a:ln>
          </c:spPr>
          <c:marker>
            <c:symbol val="none"/>
          </c:marker>
          <c:cat>
            <c:numRef>
              <c:f>Finansnetto!$B$4:$H$4</c:f>
              <c:numCache>
                <c:formatCode>General</c:formatCode>
                <c:ptCount val="7"/>
                <c:pt idx="0">
                  <c:v>2013</c:v>
                </c:pt>
                <c:pt idx="1">
                  <c:v>2014</c:v>
                </c:pt>
                <c:pt idx="2">
                  <c:v>2015</c:v>
                </c:pt>
                <c:pt idx="3">
                  <c:v>2016</c:v>
                </c:pt>
                <c:pt idx="4">
                  <c:v>2017</c:v>
                </c:pt>
                <c:pt idx="5">
                  <c:v>2018</c:v>
                </c:pt>
                <c:pt idx="6">
                  <c:v>2019</c:v>
                </c:pt>
              </c:numCache>
            </c:numRef>
          </c:cat>
          <c:val>
            <c:numRef>
              <c:f>Finansnetto!$B$5:$H$5</c:f>
              <c:numCache>
                <c:formatCode>General</c:formatCode>
                <c:ptCount val="7"/>
                <c:pt idx="0">
                  <c:v>83.9</c:v>
                </c:pt>
                <c:pt idx="1">
                  <c:v>93</c:v>
                </c:pt>
                <c:pt idx="2">
                  <c:v>100.3</c:v>
                </c:pt>
                <c:pt idx="3">
                  <c:v>59.9</c:v>
                </c:pt>
                <c:pt idx="4">
                  <c:v>51.9</c:v>
                </c:pt>
                <c:pt idx="5">
                  <c:v>48</c:v>
                </c:pt>
                <c:pt idx="6">
                  <c:v>58</c:v>
                </c:pt>
              </c:numCache>
            </c:numRef>
          </c:val>
          <c:smooth val="0"/>
        </c:ser>
        <c:dLbls>
          <c:showLegendKey val="0"/>
          <c:showVal val="0"/>
          <c:showCatName val="0"/>
          <c:showSerName val="0"/>
          <c:showPercent val="0"/>
          <c:showBubbleSize val="0"/>
        </c:dLbls>
        <c:marker val="1"/>
        <c:smooth val="0"/>
        <c:axId val="280485248"/>
        <c:axId val="280503424"/>
      </c:lineChart>
      <c:catAx>
        <c:axId val="280485248"/>
        <c:scaling>
          <c:orientation val="minMax"/>
        </c:scaling>
        <c:delete val="0"/>
        <c:axPos val="b"/>
        <c:numFmt formatCode="General" sourceLinked="1"/>
        <c:majorTickMark val="out"/>
        <c:minorTickMark val="none"/>
        <c:tickLblPos val="nextTo"/>
        <c:crossAx val="280503424"/>
        <c:crosses val="autoZero"/>
        <c:auto val="1"/>
        <c:lblAlgn val="ctr"/>
        <c:lblOffset val="100"/>
        <c:noMultiLvlLbl val="0"/>
      </c:catAx>
      <c:valAx>
        <c:axId val="280503424"/>
        <c:scaling>
          <c:orientation val="minMax"/>
        </c:scaling>
        <c:delete val="0"/>
        <c:axPos val="l"/>
        <c:majorGridlines>
          <c:spPr>
            <a:ln>
              <a:solidFill>
                <a:schemeClr val="tx2">
                  <a:lumMod val="60000"/>
                  <a:lumOff val="40000"/>
                </a:schemeClr>
              </a:solidFill>
            </a:ln>
          </c:spPr>
        </c:majorGridlines>
        <c:numFmt formatCode="0" sourceLinked="1"/>
        <c:majorTickMark val="out"/>
        <c:minorTickMark val="none"/>
        <c:tickLblPos val="nextTo"/>
        <c:spPr>
          <a:ln>
            <a:noFill/>
          </a:ln>
        </c:spPr>
        <c:crossAx val="280485248"/>
        <c:crosses val="autoZero"/>
        <c:crossBetween val="between"/>
      </c:valAx>
    </c:plotArea>
    <c:legend>
      <c:legendPos val="r"/>
      <c:layou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0.08912</cdr:x>
      <cdr:y>0.54573</cdr:y>
    </cdr:from>
    <cdr:to>
      <cdr:x>0.12963</cdr:x>
      <cdr:y>0.5889</cdr:y>
    </cdr:to>
    <cdr:sp macro="" textlink="">
      <cdr:nvSpPr>
        <cdr:cNvPr id="2" name="textruta 1"/>
        <cdr:cNvSpPr txBox="1"/>
      </cdr:nvSpPr>
      <cdr:spPr>
        <a:xfrm xmlns:a="http://schemas.openxmlformats.org/drawingml/2006/main">
          <a:off x="586740" y="2023110"/>
          <a:ext cx="266700" cy="1600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sv-SE" sz="1100"/>
        </a:p>
      </cdr:txBody>
    </cdr:sp>
  </cdr:relSizeAnchor>
  <cdr:relSizeAnchor xmlns:cdr="http://schemas.openxmlformats.org/drawingml/2006/chartDrawing">
    <cdr:from>
      <cdr:x>0.09028</cdr:x>
      <cdr:y>0.53751</cdr:y>
    </cdr:from>
    <cdr:to>
      <cdr:x>0.12847</cdr:x>
      <cdr:y>0.58273</cdr:y>
    </cdr:to>
    <cdr:sp macro="" textlink="">
      <cdr:nvSpPr>
        <cdr:cNvPr id="3" name="textruta 2"/>
        <cdr:cNvSpPr txBox="1"/>
      </cdr:nvSpPr>
      <cdr:spPr>
        <a:xfrm xmlns:a="http://schemas.openxmlformats.org/drawingml/2006/main">
          <a:off x="594360" y="1992630"/>
          <a:ext cx="251460" cy="1676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sv-SE" sz="1100"/>
        </a:p>
      </cdr:txBody>
    </cdr:sp>
  </cdr:relSizeAnchor>
  <cdr:relSizeAnchor xmlns:cdr="http://schemas.openxmlformats.org/drawingml/2006/chartDrawing">
    <cdr:from>
      <cdr:x>0.09584</cdr:x>
      <cdr:y>0.44845</cdr:y>
    </cdr:from>
    <cdr:to>
      <cdr:x>0.19031</cdr:x>
      <cdr:y>0.49842</cdr:y>
    </cdr:to>
    <cdr:sp macro="" textlink="">
      <cdr:nvSpPr>
        <cdr:cNvPr id="4" name="textruta 3"/>
        <cdr:cNvSpPr txBox="1"/>
      </cdr:nvSpPr>
      <cdr:spPr>
        <a:xfrm xmlns:a="http://schemas.openxmlformats.org/drawingml/2006/main">
          <a:off x="651412" y="2354443"/>
          <a:ext cx="642116" cy="26235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sv-SE" sz="1200" b="1"/>
        </a:p>
      </cdr:txBody>
    </cdr:sp>
  </cdr:relSizeAnchor>
  <cdr:relSizeAnchor xmlns:cdr="http://schemas.openxmlformats.org/drawingml/2006/chartDrawing">
    <cdr:from>
      <cdr:x>0.23056</cdr:x>
      <cdr:y>0.60396</cdr:y>
    </cdr:from>
    <cdr:to>
      <cdr:x>0.30849</cdr:x>
      <cdr:y>0.65601</cdr:y>
    </cdr:to>
    <cdr:sp macro="" textlink="">
      <cdr:nvSpPr>
        <cdr:cNvPr id="5" name="textruta 4"/>
        <cdr:cNvSpPr txBox="1"/>
      </cdr:nvSpPr>
      <cdr:spPr>
        <a:xfrm xmlns:a="http://schemas.openxmlformats.org/drawingml/2006/main">
          <a:off x="1567121" y="3170899"/>
          <a:ext cx="529694" cy="27327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sv-SE" sz="1200" b="1"/>
        </a:p>
      </cdr:txBody>
    </cdr:sp>
  </cdr:relSizeAnchor>
  <cdr:relSizeAnchor xmlns:cdr="http://schemas.openxmlformats.org/drawingml/2006/chartDrawing">
    <cdr:from>
      <cdr:x>0.35125</cdr:x>
      <cdr:y>0.11184</cdr:y>
    </cdr:from>
    <cdr:to>
      <cdr:x>0.44346</cdr:x>
      <cdr:y>0.17242</cdr:y>
    </cdr:to>
    <cdr:sp macro="" textlink="">
      <cdr:nvSpPr>
        <cdr:cNvPr id="6" name="textruta 5"/>
        <cdr:cNvSpPr txBox="1"/>
      </cdr:nvSpPr>
      <cdr:spPr>
        <a:xfrm xmlns:a="http://schemas.openxmlformats.org/drawingml/2006/main">
          <a:off x="2387444" y="587180"/>
          <a:ext cx="626756" cy="3180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sv-SE" sz="1200" b="1"/>
        </a:p>
      </cdr:txBody>
    </cdr:sp>
  </cdr:relSizeAnchor>
  <cdr:relSizeAnchor xmlns:cdr="http://schemas.openxmlformats.org/drawingml/2006/chartDrawing">
    <cdr:from>
      <cdr:x>0.47309</cdr:x>
      <cdr:y>0.2545</cdr:y>
    </cdr:from>
    <cdr:to>
      <cdr:x>0.56081</cdr:x>
      <cdr:y>0.31571</cdr:y>
    </cdr:to>
    <cdr:sp macro="" textlink="">
      <cdr:nvSpPr>
        <cdr:cNvPr id="7" name="textruta 6"/>
        <cdr:cNvSpPr txBox="1"/>
      </cdr:nvSpPr>
      <cdr:spPr>
        <a:xfrm xmlns:a="http://schemas.openxmlformats.org/drawingml/2006/main">
          <a:off x="3215608" y="1336156"/>
          <a:ext cx="596237" cy="3213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sv-SE" sz="1200" b="1"/>
        </a:p>
      </cdr:txBody>
    </cdr:sp>
  </cdr:relSizeAnchor>
  <cdr:relSizeAnchor xmlns:cdr="http://schemas.openxmlformats.org/drawingml/2006/chartDrawing">
    <cdr:from>
      <cdr:x>0.59782</cdr:x>
      <cdr:y>0.12441</cdr:y>
    </cdr:from>
    <cdr:to>
      <cdr:x>0.67618</cdr:x>
      <cdr:y>0.18479</cdr:y>
    </cdr:to>
    <cdr:sp macro="" textlink="">
      <cdr:nvSpPr>
        <cdr:cNvPr id="8" name="textruta 7"/>
        <cdr:cNvSpPr txBox="1"/>
      </cdr:nvSpPr>
      <cdr:spPr>
        <a:xfrm xmlns:a="http://schemas.openxmlformats.org/drawingml/2006/main">
          <a:off x="4063384" y="653191"/>
          <a:ext cx="532616" cy="3170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sv-SE" sz="1200" b="1"/>
        </a:p>
      </cdr:txBody>
    </cdr:sp>
  </cdr:relSizeAnchor>
  <cdr:relSizeAnchor xmlns:cdr="http://schemas.openxmlformats.org/drawingml/2006/chartDrawing">
    <cdr:from>
      <cdr:x>0.7276</cdr:x>
      <cdr:y>0.30794</cdr:y>
    </cdr:from>
    <cdr:to>
      <cdr:x>0.80627</cdr:x>
      <cdr:y>0.37851</cdr:y>
    </cdr:to>
    <cdr:sp macro="" textlink="">
      <cdr:nvSpPr>
        <cdr:cNvPr id="9" name="textruta 1"/>
        <cdr:cNvSpPr txBox="1"/>
      </cdr:nvSpPr>
      <cdr:spPr>
        <a:xfrm xmlns:a="http://schemas.openxmlformats.org/drawingml/2006/main">
          <a:off x="5377964" y="1616740"/>
          <a:ext cx="581481" cy="37050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sv-SE" sz="1200" b="1"/>
        </a:p>
      </cdr:txBody>
    </cdr:sp>
  </cdr:relSizeAnchor>
  <cdr:relSizeAnchor xmlns:cdr="http://schemas.openxmlformats.org/drawingml/2006/chartDrawing">
    <cdr:from>
      <cdr:x>0.85563</cdr:x>
      <cdr:y>0.1069</cdr:y>
    </cdr:from>
    <cdr:to>
      <cdr:x>0.9343</cdr:x>
      <cdr:y>0.15965</cdr:y>
    </cdr:to>
    <cdr:sp macro="" textlink="">
      <cdr:nvSpPr>
        <cdr:cNvPr id="11" name="textruta 1"/>
        <cdr:cNvSpPr txBox="1"/>
      </cdr:nvSpPr>
      <cdr:spPr>
        <a:xfrm xmlns:a="http://schemas.openxmlformats.org/drawingml/2006/main">
          <a:off x="6298236" y="561223"/>
          <a:ext cx="579083" cy="2769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sv-SE" sz="1200" b="1"/>
        </a:p>
      </cdr:txBody>
    </cdr:sp>
  </cdr:relSizeAnchor>
  <cdr:relSizeAnchor xmlns:cdr="http://schemas.openxmlformats.org/drawingml/2006/chartDrawing">
    <cdr:from>
      <cdr:x>0.5658</cdr:x>
      <cdr:y>0.36806</cdr:y>
    </cdr:from>
    <cdr:to>
      <cdr:x>0.66439</cdr:x>
      <cdr:y>0.4356</cdr:y>
    </cdr:to>
    <cdr:sp macro="" textlink="">
      <cdr:nvSpPr>
        <cdr:cNvPr id="10" name="textruta 9"/>
        <cdr:cNvSpPr txBox="1"/>
      </cdr:nvSpPr>
      <cdr:spPr>
        <a:xfrm xmlns:a="http://schemas.openxmlformats.org/drawingml/2006/main">
          <a:off x="2651528" y="1214401"/>
          <a:ext cx="462023" cy="2228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v-SE" sz="1100" b="0"/>
            <a:t>305</a:t>
          </a:r>
        </a:p>
      </cdr:txBody>
    </cdr:sp>
  </cdr:relSizeAnchor>
  <cdr:relSizeAnchor xmlns:cdr="http://schemas.openxmlformats.org/drawingml/2006/chartDrawing">
    <cdr:from>
      <cdr:x>0.0069</cdr:x>
      <cdr:y>0.00968</cdr:y>
    </cdr:from>
    <cdr:to>
      <cdr:x>0.08868</cdr:x>
      <cdr:y>0.05612</cdr:y>
    </cdr:to>
    <cdr:sp macro="" textlink="">
      <cdr:nvSpPr>
        <cdr:cNvPr id="13" name="textruta 1"/>
        <cdr:cNvSpPr txBox="1"/>
      </cdr:nvSpPr>
      <cdr:spPr>
        <a:xfrm xmlns:a="http://schemas.openxmlformats.org/drawingml/2006/main">
          <a:off x="50800" y="50800"/>
          <a:ext cx="601980" cy="24384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sv-SE" sz="1100" b="1"/>
        </a:p>
      </cdr:txBody>
    </cdr:sp>
  </cdr:relSizeAnchor>
  <cdr:relSizeAnchor xmlns:cdr="http://schemas.openxmlformats.org/drawingml/2006/chartDrawing">
    <cdr:from>
      <cdr:x>0.48277</cdr:x>
      <cdr:y>0.40376</cdr:y>
    </cdr:from>
    <cdr:to>
      <cdr:x>0.57037</cdr:x>
      <cdr:y>0.47712</cdr:y>
    </cdr:to>
    <cdr:sp macro="" textlink="">
      <cdr:nvSpPr>
        <cdr:cNvPr id="16" name="textruta 1"/>
        <cdr:cNvSpPr txBox="1"/>
      </cdr:nvSpPr>
      <cdr:spPr>
        <a:xfrm xmlns:a="http://schemas.openxmlformats.org/drawingml/2006/main">
          <a:off x="2262415" y="1332190"/>
          <a:ext cx="410520" cy="24204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v-SE" sz="1100" b="0"/>
            <a:t>284</a:t>
          </a:r>
        </a:p>
      </cdr:txBody>
    </cdr:sp>
  </cdr:relSizeAnchor>
  <cdr:relSizeAnchor xmlns:cdr="http://schemas.openxmlformats.org/drawingml/2006/chartDrawing">
    <cdr:from>
      <cdr:x>0.41124</cdr:x>
      <cdr:y>0.19984</cdr:y>
    </cdr:from>
    <cdr:to>
      <cdr:x>0.50615</cdr:x>
      <cdr:y>0.27015</cdr:y>
    </cdr:to>
    <cdr:sp macro="" textlink="">
      <cdr:nvSpPr>
        <cdr:cNvPr id="17" name="textruta 1"/>
        <cdr:cNvSpPr txBox="1"/>
      </cdr:nvSpPr>
      <cdr:spPr>
        <a:xfrm xmlns:a="http://schemas.openxmlformats.org/drawingml/2006/main">
          <a:off x="1927176" y="659364"/>
          <a:ext cx="444777" cy="23198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v-SE" sz="1100" b="0"/>
            <a:t>479</a:t>
          </a:r>
        </a:p>
      </cdr:txBody>
    </cdr:sp>
  </cdr:relSizeAnchor>
  <cdr:relSizeAnchor xmlns:cdr="http://schemas.openxmlformats.org/drawingml/2006/chartDrawing">
    <cdr:from>
      <cdr:x>0.33411</cdr:x>
      <cdr:y>0.35079</cdr:y>
    </cdr:from>
    <cdr:to>
      <cdr:x>0.42646</cdr:x>
      <cdr:y>0.41176</cdr:y>
    </cdr:to>
    <cdr:sp macro="" textlink="">
      <cdr:nvSpPr>
        <cdr:cNvPr id="18" name="textruta 1"/>
        <cdr:cNvSpPr txBox="1"/>
      </cdr:nvSpPr>
      <cdr:spPr>
        <a:xfrm xmlns:a="http://schemas.openxmlformats.org/drawingml/2006/main">
          <a:off x="1565731" y="1157418"/>
          <a:ext cx="432780" cy="20116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v-SE" sz="1100" b="0"/>
            <a:t>343</a:t>
          </a:r>
        </a:p>
      </cdr:txBody>
    </cdr:sp>
  </cdr:relSizeAnchor>
  <cdr:relSizeAnchor xmlns:cdr="http://schemas.openxmlformats.org/drawingml/2006/chartDrawing">
    <cdr:from>
      <cdr:x>0.25681</cdr:x>
      <cdr:y>0.19607</cdr:y>
    </cdr:from>
    <cdr:to>
      <cdr:x>0.34183</cdr:x>
      <cdr:y>0.26566</cdr:y>
    </cdr:to>
    <cdr:sp macro="" textlink="">
      <cdr:nvSpPr>
        <cdr:cNvPr id="19" name="textruta 1"/>
        <cdr:cNvSpPr txBox="1"/>
      </cdr:nvSpPr>
      <cdr:spPr>
        <a:xfrm xmlns:a="http://schemas.openxmlformats.org/drawingml/2006/main">
          <a:off x="1203471" y="646927"/>
          <a:ext cx="398429" cy="22960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v-SE" sz="1100" b="0"/>
            <a:t>323</a:t>
          </a:r>
        </a:p>
      </cdr:txBody>
    </cdr:sp>
  </cdr:relSizeAnchor>
  <cdr:relSizeAnchor xmlns:cdr="http://schemas.openxmlformats.org/drawingml/2006/chartDrawing">
    <cdr:from>
      <cdr:x>0.16533</cdr:x>
      <cdr:y>0.66213</cdr:y>
    </cdr:from>
    <cdr:to>
      <cdr:x>0.26291</cdr:x>
      <cdr:y>0.72549</cdr:y>
    </cdr:to>
    <cdr:sp macro="" textlink="">
      <cdr:nvSpPr>
        <cdr:cNvPr id="20" name="textruta 1"/>
        <cdr:cNvSpPr txBox="1"/>
      </cdr:nvSpPr>
      <cdr:spPr>
        <a:xfrm xmlns:a="http://schemas.openxmlformats.org/drawingml/2006/main">
          <a:off x="805008" y="2315853"/>
          <a:ext cx="475152" cy="2216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v-SE" sz="1100" b="0"/>
            <a:t>-74</a:t>
          </a:r>
        </a:p>
      </cdr:txBody>
    </cdr:sp>
  </cdr:relSizeAnchor>
  <cdr:relSizeAnchor xmlns:cdr="http://schemas.openxmlformats.org/drawingml/2006/chartDrawing">
    <cdr:from>
      <cdr:x>0.09176</cdr:x>
      <cdr:y>0.54384</cdr:y>
    </cdr:from>
    <cdr:to>
      <cdr:x>0.19092</cdr:x>
      <cdr:y>0.62309</cdr:y>
    </cdr:to>
    <cdr:sp macro="" textlink="">
      <cdr:nvSpPr>
        <cdr:cNvPr id="21" name="textruta 1"/>
        <cdr:cNvSpPr txBox="1"/>
      </cdr:nvSpPr>
      <cdr:spPr>
        <a:xfrm xmlns:a="http://schemas.openxmlformats.org/drawingml/2006/main">
          <a:off x="446796" y="1902113"/>
          <a:ext cx="482844" cy="2772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v-SE" sz="1100" b="0"/>
            <a:t>152</a:t>
          </a:r>
        </a:p>
      </cdr:txBody>
    </cdr:sp>
  </cdr:relSizeAnchor>
</c:userShape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5EFD3-4BC9-4E51-9255-3C3876DA2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35</TotalTime>
  <Pages>12</Pages>
  <Words>2474</Words>
  <Characters>13116</Characters>
  <Application>Microsoft Office Word</Application>
  <DocSecurity>0</DocSecurity>
  <Lines>109</Lines>
  <Paragraphs>31</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Västerås Stad</Company>
  <LinksUpToDate>false</LinksUpToDate>
  <CharactersWithSpaces>15559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Lindblom Lundh, Maria</dc:creator>
  <cp:lastModifiedBy>Lindblom Lundh, Maria</cp:lastModifiedBy>
  <cp:revision>10</cp:revision>
  <dcterms:created xsi:type="dcterms:W3CDTF">2020-01-27T08:50:00Z</dcterms:created>
  <dcterms:modified xsi:type="dcterms:W3CDTF">2020-01-29T07:06:00Z</dcterms:modified>
</cp:coreProperties>
</file>