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5B41B95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AF720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meddelande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38542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06-05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40D499B4" w14:textId="5EB26826" w:rsidR="000D046E" w:rsidRDefault="000D046E" w:rsidP="006112C2">
      <w:pPr>
        <w:rPr>
          <w:rFonts w:ascii="Calibri" w:hAnsi="Calibri" w:cs="Calibri"/>
          <w:b/>
        </w:rPr>
      </w:pPr>
    </w:p>
    <w:p w14:paraId="57AD0931" w14:textId="0EAA79AB" w:rsidR="00D861D3" w:rsidRPr="00AF7203" w:rsidRDefault="00AF7203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Nytt system ger rättvisare hyror i</w:t>
      </w:r>
      <w:r w:rsidRPr="00AF7203">
        <w:rPr>
          <w:rFonts w:ascii="Calibri" w:hAnsi="Calibri" w:cs="Calibri"/>
          <w:b/>
          <w:sz w:val="28"/>
          <w:szCs w:val="28"/>
        </w:rPr>
        <w:t xml:space="preserve"> </w:t>
      </w:r>
      <w:r w:rsidR="00091995" w:rsidRPr="00AF7203">
        <w:rPr>
          <w:rFonts w:ascii="Calibri" w:hAnsi="Calibri" w:cs="Calibri"/>
          <w:b/>
          <w:sz w:val="28"/>
          <w:szCs w:val="28"/>
        </w:rPr>
        <w:t>Västernorrland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0088B802" w14:textId="3378C4C1" w:rsidR="00091995" w:rsidRDefault="00091995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Hyresgästföreningen har gjort en överenskommelse med </w:t>
      </w:r>
      <w:r w:rsidR="00100F21">
        <w:rPr>
          <w:rFonts w:ascii="Calibri" w:hAnsi="Calibri" w:cs="Calibri"/>
          <w:b/>
        </w:rPr>
        <w:t>de allmännyttiga</w:t>
      </w:r>
      <w:r>
        <w:rPr>
          <w:rFonts w:ascii="Calibri" w:hAnsi="Calibri" w:cs="Calibri"/>
          <w:b/>
        </w:rPr>
        <w:t xml:space="preserve"> bostads</w:t>
      </w:r>
      <w:r w:rsidR="00100F21">
        <w:rPr>
          <w:rFonts w:ascii="Calibri" w:hAnsi="Calibri" w:cs="Calibri"/>
          <w:b/>
        </w:rPr>
        <w:t xml:space="preserve">bolagen </w:t>
      </w:r>
      <w:r>
        <w:rPr>
          <w:rFonts w:ascii="Calibri" w:hAnsi="Calibri" w:cs="Calibri"/>
          <w:b/>
        </w:rPr>
        <w:t xml:space="preserve">i Västernorrland om </w:t>
      </w:r>
      <w:r w:rsidR="00134831">
        <w:rPr>
          <w:rFonts w:ascii="Calibri" w:hAnsi="Calibri" w:cs="Calibri"/>
          <w:b/>
        </w:rPr>
        <w:t xml:space="preserve">så kallad </w:t>
      </w:r>
      <w:r>
        <w:rPr>
          <w:rFonts w:ascii="Calibri" w:hAnsi="Calibri" w:cs="Calibri"/>
          <w:b/>
        </w:rPr>
        <w:t>systematisk hyressättning.</w:t>
      </w:r>
      <w:r w:rsidR="00BE180A">
        <w:rPr>
          <w:rFonts w:ascii="Calibri" w:hAnsi="Calibri" w:cs="Calibri"/>
          <w:b/>
        </w:rPr>
        <w:t xml:space="preserve"> Syste</w:t>
      </w:r>
      <w:r w:rsidR="00CA135A">
        <w:rPr>
          <w:rFonts w:ascii="Calibri" w:hAnsi="Calibri" w:cs="Calibri"/>
          <w:b/>
        </w:rPr>
        <w:t xml:space="preserve">met innebär att varje lägenhet </w:t>
      </w:r>
      <w:r w:rsidR="00BE180A">
        <w:rPr>
          <w:rFonts w:ascii="Calibri" w:hAnsi="Calibri" w:cs="Calibri"/>
          <w:b/>
        </w:rPr>
        <w:t>poängsätts</w:t>
      </w:r>
      <w:r w:rsidR="00CA135A">
        <w:rPr>
          <w:rFonts w:ascii="Calibri" w:hAnsi="Calibri" w:cs="Calibri"/>
          <w:b/>
        </w:rPr>
        <w:t xml:space="preserve"> utifrån sina specifika e</w:t>
      </w:r>
      <w:r w:rsidR="00134831">
        <w:rPr>
          <w:rFonts w:ascii="Calibri" w:hAnsi="Calibri" w:cs="Calibri"/>
          <w:b/>
        </w:rPr>
        <w:t xml:space="preserve">genskaper och </w:t>
      </w:r>
      <w:r w:rsidR="00A04D20">
        <w:rPr>
          <w:rFonts w:ascii="Calibri" w:hAnsi="Calibri" w:cs="Calibri"/>
          <w:b/>
        </w:rPr>
        <w:t>skillnader i hyra kan därmed förklaras på ett bra sätt. S</w:t>
      </w:r>
      <w:r w:rsidR="00CA135A">
        <w:rPr>
          <w:rFonts w:ascii="Calibri" w:hAnsi="Calibri" w:cs="Calibri"/>
          <w:b/>
        </w:rPr>
        <w:t>yftet är att få mer rättvisa hyror.</w:t>
      </w:r>
    </w:p>
    <w:p w14:paraId="7FF854D2" w14:textId="77777777" w:rsidR="00091995" w:rsidRDefault="00091995" w:rsidP="00115838">
      <w:pPr>
        <w:rPr>
          <w:rFonts w:ascii="Calibri" w:hAnsi="Calibri" w:cs="Calibri"/>
          <w:b/>
        </w:rPr>
      </w:pPr>
    </w:p>
    <w:p w14:paraId="1050358C" w14:textId="09C7294F" w:rsidR="00CA135A" w:rsidRDefault="00134831" w:rsidP="005040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Poängsystemet finns redan i ett antal kommuner runt om i landet, men det som nu ska införas i Västernorrland är unikt. </w:t>
      </w:r>
      <w:r w:rsidR="00385423">
        <w:rPr>
          <w:rFonts w:ascii="Calibri" w:hAnsi="Calibri" w:cs="Calibri"/>
        </w:rPr>
        <w:t>Här omfattar systemet nämligen ett helt län, inklusive sju kommunala allmännyttiga bostadsbolag.</w:t>
      </w:r>
    </w:p>
    <w:p w14:paraId="670730C1" w14:textId="77777777" w:rsidR="00134831" w:rsidRDefault="00134831" w:rsidP="0050406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BC0839F" w14:textId="3660C8F9" w:rsidR="00CA135A" w:rsidRDefault="00CA135A" w:rsidP="00CA135A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348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 är glädjande att arbetet nu resulterat i den här överenskommelsen. Poängsystemet kommer att ge en tydlighet i hyressättningen, då hyran blir jämförbar mellan olika områden, olika nivåer på lägenhetsstandard och så vidare, säger Erik Bengtsson, förhandlare.</w:t>
      </w:r>
    </w:p>
    <w:p w14:paraId="0A5DE439" w14:textId="77777777" w:rsidR="00CA135A" w:rsidRDefault="00CA135A" w:rsidP="00504063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D653D2" w14:textId="795A85B6" w:rsidR="00134831" w:rsidRDefault="00134831" w:rsidP="001348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Balkong, kakelugn och bra läge är exempel på faktorer som kan höja hyran, medan bottenvåning, buller och kokvrå är exempel som kan sänka densamma.</w:t>
      </w:r>
    </w:p>
    <w:p w14:paraId="20C8A2F0" w14:textId="77777777" w:rsidR="00134831" w:rsidRDefault="00134831" w:rsidP="001348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5A17CB" w14:textId="38887EE9" w:rsidR="00134831" w:rsidRDefault="00504063" w:rsidP="00504063">
      <w:pPr>
        <w:autoSpaceDE w:val="0"/>
        <w:autoSpaceDN w:val="0"/>
        <w:adjustRightInd w:val="0"/>
        <w:rPr>
          <w:rFonts w:ascii="Calibri" w:hAnsi="Calibri" w:cs="Calibri"/>
        </w:rPr>
      </w:pPr>
      <w:r w:rsidRPr="00D25BC7">
        <w:rPr>
          <w:rFonts w:ascii="Calibri" w:hAnsi="Calibri" w:cs="Calibri"/>
        </w:rPr>
        <w:t>Rätt hyra avspeglar hyresgästernas gemensamma värderingar om vad som är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god kvalitet i bostaden och i området den ligger i. En korrekt satt hyra är viktig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för att skapa större rättvisa mellan hyresgäster, men också för att utveckla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hyresrätten som boendeform genom att underlätta prissättningen av ett mer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 xml:space="preserve">varierat utbud. </w:t>
      </w:r>
    </w:p>
    <w:p w14:paraId="677987DC" w14:textId="3C5DED3F" w:rsidR="00385423" w:rsidRDefault="00385423" w:rsidP="00504063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635A0F" w14:textId="79A012A9" w:rsidR="00385423" w:rsidRDefault="00385423" w:rsidP="005040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642C3">
        <w:rPr>
          <w:rFonts w:ascii="Calibri" w:hAnsi="Calibri" w:cs="Calibri"/>
        </w:rPr>
        <w:t>Alla hyresgäster</w:t>
      </w:r>
      <w:r>
        <w:rPr>
          <w:rFonts w:ascii="Calibri" w:hAnsi="Calibri" w:cs="Calibri"/>
        </w:rPr>
        <w:t xml:space="preserve"> kommer att få en sammanställning hemskickad med deras lägenhets standard och utrustning. En del har även fått fylla i en enkät om lägets betydelse för bostaden, säger Mitthems vd Lotta Björklund till tidningen Hem &amp; Hyra.</w:t>
      </w:r>
    </w:p>
    <w:p w14:paraId="0606872E" w14:textId="77777777" w:rsidR="00134831" w:rsidRDefault="00134831" w:rsidP="00504063">
      <w:pPr>
        <w:autoSpaceDE w:val="0"/>
        <w:autoSpaceDN w:val="0"/>
        <w:adjustRightInd w:val="0"/>
        <w:rPr>
          <w:rFonts w:ascii="Calibri" w:hAnsi="Calibri" w:cs="Calibri"/>
        </w:rPr>
      </w:pPr>
    </w:p>
    <w:p w14:paraId="14EF989A" w14:textId="71D4526A" w:rsidR="00504063" w:rsidRPr="00D25BC7" w:rsidRDefault="00504063" w:rsidP="00504063">
      <w:pPr>
        <w:autoSpaceDE w:val="0"/>
        <w:autoSpaceDN w:val="0"/>
        <w:adjustRightInd w:val="0"/>
        <w:rPr>
          <w:rFonts w:ascii="Calibri" w:hAnsi="Calibri" w:cs="Calibri"/>
        </w:rPr>
      </w:pPr>
      <w:r w:rsidRPr="00D25BC7">
        <w:rPr>
          <w:rFonts w:ascii="Calibri" w:hAnsi="Calibri" w:cs="Calibri"/>
        </w:rPr>
        <w:t>Många bostadsbolag drar sig för att genomföra en systematisk hyressättning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i tron att det är krångligt, svårt och tar lång tid. Men när den väl är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genomförd ger hyressättningsprocessen en plattform som under lång tid skapar</w:t>
      </w:r>
      <w:r w:rsidR="00134831">
        <w:rPr>
          <w:rFonts w:ascii="Calibri" w:hAnsi="Calibri" w:cs="Calibri"/>
        </w:rPr>
        <w:t xml:space="preserve"> </w:t>
      </w:r>
      <w:r w:rsidRPr="00D25BC7">
        <w:rPr>
          <w:rFonts w:ascii="Calibri" w:hAnsi="Calibri" w:cs="Calibri"/>
        </w:rPr>
        <w:t>rättvisa för hyresgästerna och ger korrekta förutsättningar för företagets</w:t>
      </w:r>
    </w:p>
    <w:p w14:paraId="5B08CC6B" w14:textId="1564DED3" w:rsidR="008B3277" w:rsidRDefault="00504063" w:rsidP="008C57E8">
      <w:pPr>
        <w:rPr>
          <w:rFonts w:ascii="Calibri" w:hAnsi="Calibri" w:cs="Calibri"/>
        </w:rPr>
      </w:pPr>
      <w:r w:rsidRPr="00D25BC7">
        <w:rPr>
          <w:rFonts w:ascii="Calibri" w:hAnsi="Calibri" w:cs="Calibri"/>
        </w:rPr>
        <w:t>intäkter.</w:t>
      </w:r>
    </w:p>
    <w:p w14:paraId="59C4EFF6" w14:textId="733689C1" w:rsidR="00385423" w:rsidRDefault="00385423" w:rsidP="008C57E8">
      <w:pPr>
        <w:rPr>
          <w:rFonts w:ascii="Calibri" w:hAnsi="Calibri" w:cs="Calibri"/>
        </w:rPr>
      </w:pPr>
    </w:p>
    <w:p w14:paraId="0E4FA5B4" w14:textId="7BE26703" w:rsidR="00385423" w:rsidRDefault="003D3660" w:rsidP="008C57E8">
      <w:pPr>
        <w:rPr>
          <w:rFonts w:ascii="Calibri" w:hAnsi="Calibri" w:cs="Calibri"/>
        </w:rPr>
      </w:pPr>
      <w:hyperlink r:id="rId14" w:history="1">
        <w:r w:rsidR="00385423" w:rsidRPr="003D3660">
          <w:rPr>
            <w:rStyle w:val="Hyperlnk"/>
            <w:rFonts w:ascii="Calibri" w:hAnsi="Calibri" w:cs="Calibri"/>
          </w:rPr>
          <w:t>Läs mer i tidningen Hem &amp; Hyra här</w:t>
        </w:r>
      </w:hyperlink>
      <w:bookmarkStart w:id="0" w:name="_GoBack"/>
      <w:bookmarkEnd w:id="0"/>
      <w:r w:rsidR="00385423">
        <w:rPr>
          <w:rFonts w:ascii="Calibri" w:hAnsi="Calibri" w:cs="Calibri"/>
        </w:rPr>
        <w:t>.</w:t>
      </w:r>
    </w:p>
    <w:p w14:paraId="5DC9539F" w14:textId="0EED18BD" w:rsidR="001F59B9" w:rsidRDefault="001F59B9" w:rsidP="00115838">
      <w:pPr>
        <w:rPr>
          <w:rFonts w:ascii="Calibri" w:hAnsi="Calibri" w:cs="Calibri"/>
          <w:b/>
        </w:rPr>
      </w:pPr>
    </w:p>
    <w:p w14:paraId="5C439BA0" w14:textId="55E18F5F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49461F01" w14:textId="7E69E0FE" w:rsidR="00730942" w:rsidRPr="00730942" w:rsidRDefault="00730942" w:rsidP="00115838">
      <w:pPr>
        <w:rPr>
          <w:rFonts w:ascii="Calibri" w:hAnsi="Calibri" w:cs="Calibri"/>
        </w:rPr>
      </w:pPr>
      <w:r w:rsidRPr="00730942">
        <w:rPr>
          <w:rFonts w:ascii="Calibri" w:hAnsi="Calibri" w:cs="Calibri"/>
        </w:rPr>
        <w:t xml:space="preserve">Lillemor Göranson, ordförande Hyresgästföreningen </w:t>
      </w:r>
      <w:r w:rsidR="00900441">
        <w:rPr>
          <w:rFonts w:ascii="Calibri" w:hAnsi="Calibri" w:cs="Calibri"/>
        </w:rPr>
        <w:t>Sundsvall/Timrå</w:t>
      </w:r>
      <w:r w:rsidRPr="00730942">
        <w:rPr>
          <w:rFonts w:ascii="Calibri" w:hAnsi="Calibri" w:cs="Calibri"/>
        </w:rPr>
        <w:t>, 070-957 33 66</w:t>
      </w:r>
    </w:p>
    <w:p w14:paraId="57A280E8" w14:textId="06971BE0" w:rsidR="008B3277" w:rsidRPr="00E53FF8" w:rsidRDefault="00C73A2C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Erik Bengtsson, förhandlare, 070-359 18 45</w:t>
      </w:r>
    </w:p>
    <w:sectPr w:rsidR="008B327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91995"/>
    <w:rsid w:val="000A3710"/>
    <w:rsid w:val="000C3BCA"/>
    <w:rsid w:val="000D046E"/>
    <w:rsid w:val="000F21FA"/>
    <w:rsid w:val="000F386B"/>
    <w:rsid w:val="00100F21"/>
    <w:rsid w:val="00114B58"/>
    <w:rsid w:val="00115838"/>
    <w:rsid w:val="00117F7D"/>
    <w:rsid w:val="00134831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04CDB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85423"/>
    <w:rsid w:val="003B4E9A"/>
    <w:rsid w:val="003C5B3B"/>
    <w:rsid w:val="003D3660"/>
    <w:rsid w:val="003D5D04"/>
    <w:rsid w:val="003F5EF3"/>
    <w:rsid w:val="00401F5A"/>
    <w:rsid w:val="004055AD"/>
    <w:rsid w:val="00414A5E"/>
    <w:rsid w:val="00422C73"/>
    <w:rsid w:val="00426962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1BD8"/>
    <w:rsid w:val="004F3525"/>
    <w:rsid w:val="00504063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742E0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712DD4"/>
    <w:rsid w:val="00714F71"/>
    <w:rsid w:val="007269A2"/>
    <w:rsid w:val="0072738F"/>
    <w:rsid w:val="00730942"/>
    <w:rsid w:val="00737150"/>
    <w:rsid w:val="0075743E"/>
    <w:rsid w:val="007748E1"/>
    <w:rsid w:val="0079416B"/>
    <w:rsid w:val="007A3DA8"/>
    <w:rsid w:val="007D22AE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96B3A"/>
    <w:rsid w:val="008A1B98"/>
    <w:rsid w:val="008A299D"/>
    <w:rsid w:val="008A7CEB"/>
    <w:rsid w:val="008B3277"/>
    <w:rsid w:val="008B423E"/>
    <w:rsid w:val="008C57E8"/>
    <w:rsid w:val="008D53B3"/>
    <w:rsid w:val="008E7B15"/>
    <w:rsid w:val="008F1D0A"/>
    <w:rsid w:val="008F5C01"/>
    <w:rsid w:val="00900441"/>
    <w:rsid w:val="00900FA6"/>
    <w:rsid w:val="0090344A"/>
    <w:rsid w:val="00907EF8"/>
    <w:rsid w:val="00916203"/>
    <w:rsid w:val="00925E49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04D20"/>
    <w:rsid w:val="00A1206F"/>
    <w:rsid w:val="00A23D60"/>
    <w:rsid w:val="00A31DA6"/>
    <w:rsid w:val="00A34055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AF7203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80A"/>
    <w:rsid w:val="00BE18D9"/>
    <w:rsid w:val="00BE1F17"/>
    <w:rsid w:val="00C01438"/>
    <w:rsid w:val="00C2416D"/>
    <w:rsid w:val="00C36BAF"/>
    <w:rsid w:val="00C62C02"/>
    <w:rsid w:val="00C63D50"/>
    <w:rsid w:val="00C7227E"/>
    <w:rsid w:val="00C73A2C"/>
    <w:rsid w:val="00C84098"/>
    <w:rsid w:val="00CA135A"/>
    <w:rsid w:val="00CA4670"/>
    <w:rsid w:val="00CC0F0B"/>
    <w:rsid w:val="00CD0C1F"/>
    <w:rsid w:val="00CD23A6"/>
    <w:rsid w:val="00CE1597"/>
    <w:rsid w:val="00CE41B7"/>
    <w:rsid w:val="00CE478C"/>
    <w:rsid w:val="00D007E3"/>
    <w:rsid w:val="00D10176"/>
    <w:rsid w:val="00D1561A"/>
    <w:rsid w:val="00D25BC7"/>
    <w:rsid w:val="00D331F8"/>
    <w:rsid w:val="00D35698"/>
    <w:rsid w:val="00D44A75"/>
    <w:rsid w:val="00D54E2E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642C3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0C1"/>
    <w:rsid w:val="00F55105"/>
    <w:rsid w:val="00F75A8A"/>
    <w:rsid w:val="00FA2496"/>
    <w:rsid w:val="00FA4CF6"/>
    <w:rsid w:val="00FB0B87"/>
    <w:rsid w:val="00FC14EC"/>
    <w:rsid w:val="00FD3486"/>
    <w:rsid w:val="00FF2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mhyra.se/nyheter/nytt-system-lika-hyror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8191dfc9-43ff-4da7-9ee9-e671a5dc3228"/>
    <ds:schemaRef ds:uri="http://schemas.microsoft.com/office/2006/documentManagement/types"/>
    <ds:schemaRef ds:uri="d6f807c6-b029-406f-83c9-9f9b9d67387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EAFD4D-5FCC-4B9D-9AA0-7090FC11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337</Words>
  <Characters>1828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6</cp:revision>
  <cp:lastPrinted>2018-04-24T12:31:00Z</cp:lastPrinted>
  <dcterms:created xsi:type="dcterms:W3CDTF">2018-05-29T12:03:00Z</dcterms:created>
  <dcterms:modified xsi:type="dcterms:W3CDTF">2018-06-05T07:40:00Z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