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73" w:rsidRDefault="006E4873" w:rsidP="006E4873"/>
    <w:p w:rsidR="006E4873" w:rsidRDefault="006E4873" w:rsidP="006E4873">
      <w:pPr>
        <w:pStyle w:val="Kopfzeile"/>
        <w:jc w:val="center"/>
        <w:rPr>
          <w:rFonts w:ascii="Swis721 Cn BT" w:hAnsi="Swis721 Cn BT" w:cs="Arial"/>
          <w:b/>
          <w:sz w:val="28"/>
          <w:szCs w:val="28"/>
        </w:rPr>
      </w:pPr>
      <w:r>
        <w:rPr>
          <w:rFonts w:ascii="Swis721 Cn BT" w:hAnsi="Swis721 Cn BT" w:cs="Arial"/>
          <w:b/>
          <w:sz w:val="28"/>
          <w:szCs w:val="28"/>
        </w:rPr>
        <w:t>Rechtsanwälte</w:t>
      </w:r>
    </w:p>
    <w:p w:rsidR="006E4873" w:rsidRDefault="006E4873" w:rsidP="006E4873">
      <w:pPr>
        <w:pStyle w:val="Kopfzeile"/>
        <w:jc w:val="center"/>
        <w:rPr>
          <w:rFonts w:ascii="Swis721 Cn BT" w:hAnsi="Swis721 Cn BT" w:cs="Arial"/>
          <w:b/>
          <w:sz w:val="28"/>
          <w:szCs w:val="28"/>
        </w:rPr>
      </w:pPr>
      <w:r>
        <w:rPr>
          <w:rFonts w:ascii="Swis721 Cn BT" w:hAnsi="Swis721 Cn BT" w:cs="Arial"/>
          <w:b/>
          <w:sz w:val="28"/>
          <w:szCs w:val="28"/>
        </w:rPr>
        <w:t>Aslanidis, Kress &amp; Häcker-Hollmann</w:t>
      </w:r>
    </w:p>
    <w:p w:rsidR="006E4873" w:rsidRDefault="006E4873" w:rsidP="006E4873">
      <w:pPr>
        <w:pStyle w:val="Kopfzeile"/>
        <w:tabs>
          <w:tab w:val="clear" w:pos="9072"/>
          <w:tab w:val="left" w:pos="7230"/>
          <w:tab w:val="right" w:pos="9356"/>
        </w:tabs>
        <w:jc w:val="center"/>
        <w:rPr>
          <w:rFonts w:ascii="Swis721 Cn BT" w:hAnsi="Swis721 Cn BT" w:cs="Arial"/>
          <w:sz w:val="18"/>
          <w:szCs w:val="18"/>
        </w:rPr>
      </w:pPr>
      <w:r>
        <w:rPr>
          <w:rFonts w:ascii="Swis721 Cn BT" w:hAnsi="Swis721 Cn BT" w:cs="Arial"/>
          <w:sz w:val="18"/>
          <w:szCs w:val="18"/>
        </w:rPr>
        <w:t xml:space="preserve">Partnerschaftsgesellschaft  </w:t>
      </w:r>
      <w:proofErr w:type="spellStart"/>
      <w:r>
        <w:rPr>
          <w:rFonts w:ascii="Swis721 Cn BT" w:hAnsi="Swis721 Cn BT" w:cs="Arial"/>
          <w:sz w:val="18"/>
          <w:szCs w:val="18"/>
        </w:rPr>
        <w:t>mbB</w:t>
      </w:r>
      <w:proofErr w:type="spellEnd"/>
    </w:p>
    <w:p w:rsidR="006E4873" w:rsidRDefault="006E4873" w:rsidP="006E4873">
      <w:pPr>
        <w:pStyle w:val="Kopfzeile"/>
        <w:tabs>
          <w:tab w:val="clear" w:pos="9072"/>
          <w:tab w:val="left" w:pos="7655"/>
          <w:tab w:val="right" w:pos="9356"/>
          <w:tab w:val="right" w:pos="11482"/>
          <w:tab w:val="left" w:pos="11766"/>
          <w:tab w:val="left" w:pos="12474"/>
        </w:tabs>
        <w:rPr>
          <w:rFonts w:ascii="Swis721 Cn BT" w:hAnsi="Swis721 Cn BT" w:cs="Arial"/>
          <w:sz w:val="16"/>
          <w:szCs w:val="16"/>
        </w:rPr>
      </w:pPr>
      <w:r>
        <w:rPr>
          <w:rFonts w:ascii="Swis721 Cn BT" w:hAnsi="Swis721 Cn BT" w:cs="Arial"/>
          <w:sz w:val="16"/>
          <w:szCs w:val="16"/>
        </w:rPr>
        <w:tab/>
      </w:r>
      <w:r>
        <w:rPr>
          <w:rFonts w:ascii="Swis721 Cn BT" w:hAnsi="Swis721 Cn BT" w:cs="Arial"/>
          <w:sz w:val="16"/>
          <w:szCs w:val="16"/>
        </w:rPr>
        <w:tab/>
        <w:t xml:space="preserve">Telefon 0711 / 93 08 11 </w:t>
      </w:r>
    </w:p>
    <w:p w:rsidR="006E4873" w:rsidRDefault="006E4873" w:rsidP="006E4873">
      <w:pPr>
        <w:pStyle w:val="Kopfzeile"/>
        <w:tabs>
          <w:tab w:val="clear" w:pos="9072"/>
          <w:tab w:val="left" w:pos="7655"/>
          <w:tab w:val="right" w:pos="9356"/>
          <w:tab w:val="right" w:pos="11482"/>
          <w:tab w:val="left" w:pos="13041"/>
        </w:tabs>
        <w:rPr>
          <w:rFonts w:ascii="Swis721 Cn BT" w:hAnsi="Swis721 Cn BT" w:cs="Arial"/>
          <w:sz w:val="16"/>
          <w:szCs w:val="16"/>
        </w:rPr>
      </w:pPr>
      <w:r>
        <w:rPr>
          <w:rFonts w:ascii="Swis721 Cn BT" w:hAnsi="Swis721 Cn BT" w:cs="Arial"/>
          <w:sz w:val="16"/>
          <w:szCs w:val="16"/>
        </w:rPr>
        <w:tab/>
      </w:r>
      <w:r>
        <w:rPr>
          <w:rFonts w:ascii="Swis721 Cn BT" w:hAnsi="Swis721 Cn BT" w:cs="Arial"/>
          <w:sz w:val="16"/>
          <w:szCs w:val="16"/>
        </w:rPr>
        <w:tab/>
        <w:t>Telefax 0711 / 36 84 38</w:t>
      </w:r>
    </w:p>
    <w:p w:rsidR="006E4873" w:rsidRDefault="006E4873" w:rsidP="006E4873">
      <w:pPr>
        <w:pStyle w:val="Kopfzeile"/>
        <w:tabs>
          <w:tab w:val="clear" w:pos="9072"/>
          <w:tab w:val="left" w:pos="7655"/>
          <w:tab w:val="right" w:pos="9356"/>
          <w:tab w:val="right" w:pos="11482"/>
          <w:tab w:val="left" w:pos="13041"/>
        </w:tabs>
        <w:rPr>
          <w:rFonts w:ascii="Swis721 Cn BT" w:hAnsi="Swis721 Cn BT" w:cs="Arial"/>
          <w:szCs w:val="24"/>
        </w:rPr>
      </w:pPr>
      <w:r>
        <w:rPr>
          <w:rFonts w:ascii="Swis721 Cn BT" w:hAnsi="Swis721 Cn BT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wis721 Cn BT" w:hAnsi="Swis721 Cn BT" w:cs="Arial"/>
          <w:sz w:val="16"/>
          <w:szCs w:val="16"/>
        </w:rPr>
        <w:br/>
      </w:r>
      <w:r>
        <w:rPr>
          <w:rFonts w:ascii="Swis721 Cn BT" w:hAnsi="Swis721 Cn BT" w:cs="Arial"/>
          <w:sz w:val="16"/>
          <w:szCs w:val="16"/>
        </w:rPr>
        <w:tab/>
      </w:r>
      <w:r>
        <w:rPr>
          <w:rFonts w:ascii="Swis721 Cn BT" w:hAnsi="Swis721 Cn BT" w:cs="Arial"/>
          <w:sz w:val="16"/>
          <w:szCs w:val="16"/>
        </w:rPr>
        <w:tab/>
      </w:r>
      <w:r>
        <w:rPr>
          <w:rFonts w:ascii="Swis721 Cn BT" w:hAnsi="Swis721 Cn BT" w:cs="Arial"/>
          <w:b/>
          <w:color w:val="FF9900"/>
          <w:szCs w:val="24"/>
        </w:rPr>
        <w:t>www.akh-h.de</w:t>
      </w:r>
    </w:p>
    <w:p w:rsidR="006E4873" w:rsidRDefault="006E4873" w:rsidP="006E4873"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110490</wp:posOffset>
                </wp:positionV>
                <wp:extent cx="2857500" cy="1371600"/>
                <wp:effectExtent l="0" t="0" r="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873" w:rsidRDefault="006E4873" w:rsidP="006E487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97.5pt;margin-top:8.7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" filled="f" stroked="f">
                <v:textbox>
                  <w:txbxContent>
                    <w:p w:rsidR="006E4873" w:rsidRDefault="006E4873" w:rsidP="006E487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E4873" w:rsidRDefault="006E4873" w:rsidP="006E4873">
      <w:pPr>
        <w:rPr>
          <w:sz w:val="40"/>
          <w:szCs w:val="40"/>
        </w:rPr>
      </w:pPr>
    </w:p>
    <w:p w:rsidR="006E4873" w:rsidRDefault="006E4873" w:rsidP="006E4873">
      <w:pPr>
        <w:rPr>
          <w:sz w:val="40"/>
          <w:szCs w:val="40"/>
        </w:rPr>
      </w:pPr>
      <w:r>
        <w:rPr>
          <w:sz w:val="40"/>
          <w:szCs w:val="40"/>
        </w:rPr>
        <w:t>Pressemitteilung</w:t>
      </w:r>
    </w:p>
    <w:p w:rsidR="006E4873" w:rsidRDefault="006E4873" w:rsidP="006E4873"/>
    <w:p w:rsidR="006E4873" w:rsidRDefault="006E4873" w:rsidP="006E4873">
      <w:r>
        <w:t xml:space="preserve">vom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250DAF">
        <w:rPr>
          <w:noProof/>
        </w:rPr>
        <w:t>18.04.2016</w:t>
      </w:r>
      <w:r>
        <w:fldChar w:fldCharType="end"/>
      </w:r>
    </w:p>
    <w:p w:rsidR="006E4873" w:rsidRDefault="006E4873" w:rsidP="006E4873"/>
    <w:p w:rsidR="006E4873" w:rsidRDefault="006E4873" w:rsidP="006E4873">
      <w:pPr>
        <w:rPr>
          <w:sz w:val="28"/>
          <w:szCs w:val="28"/>
        </w:rPr>
      </w:pPr>
    </w:p>
    <w:p w:rsidR="006E4873" w:rsidRPr="006E4873" w:rsidRDefault="006E4873" w:rsidP="006E4873">
      <w:pPr>
        <w:rPr>
          <w:rFonts w:eastAsia="Calibri"/>
          <w:b/>
        </w:rPr>
      </w:pPr>
      <w:r w:rsidRPr="006E4873">
        <w:rPr>
          <w:rFonts w:eastAsia="Calibri"/>
          <w:b/>
        </w:rPr>
        <w:t>Frankfurter Sparkasse erneut wegen Verkauf hochriskanter Lebensversicherungsfonds verurteilt</w:t>
      </w:r>
    </w:p>
    <w:p w:rsidR="006E4873" w:rsidRPr="006E4873" w:rsidRDefault="006E4873" w:rsidP="006E4873">
      <w:pPr>
        <w:rPr>
          <w:rFonts w:eastAsia="Calibri"/>
        </w:rPr>
      </w:pPr>
    </w:p>
    <w:p w:rsidR="006E4873" w:rsidRPr="00250DAF" w:rsidRDefault="006E4873" w:rsidP="006E4873">
      <w:pPr>
        <w:spacing w:after="225" w:line="300" w:lineRule="atLeast"/>
        <w:rPr>
          <w:color w:val="65686D"/>
        </w:rPr>
      </w:pPr>
      <w:r w:rsidRPr="00250DAF">
        <w:rPr>
          <w:color w:val="65686D"/>
        </w:rPr>
        <w:t xml:space="preserve">In einem seitens der Kanzlei Aslanidis, Kress und Häcker-Hollmann für einen Anleger des </w:t>
      </w:r>
      <w:r w:rsidR="00250DAF" w:rsidRPr="00250DAF">
        <w:t>HSC Optivita VIII UK Exklusiv</w:t>
      </w:r>
      <w:r w:rsidR="00250DAF" w:rsidRPr="00250DAF">
        <w:t xml:space="preserve"> e</w:t>
      </w:r>
      <w:r w:rsidRPr="00250DAF">
        <w:rPr>
          <w:color w:val="65686D"/>
        </w:rPr>
        <w:t>rstrittenen Urteil vom 08.04.2016 hat das Landgericht Frankfurt die Frankfurter Sparkasse  erneut zu Schadensersatz und Rückabwicklung verurteilt.</w:t>
      </w:r>
    </w:p>
    <w:p w:rsidR="006E4873" w:rsidRPr="00250DAF" w:rsidRDefault="006E4873" w:rsidP="006E4873">
      <w:pPr>
        <w:spacing w:after="150" w:line="240" w:lineRule="atLeast"/>
        <w:outlineLvl w:val="2"/>
        <w:rPr>
          <w:color w:val="6A6A6A"/>
        </w:rPr>
      </w:pPr>
      <w:r w:rsidRPr="00250DAF">
        <w:rPr>
          <w:color w:val="6A6A6A"/>
        </w:rPr>
        <w:t>Der Sachverhalt:</w:t>
      </w:r>
    </w:p>
    <w:p w:rsidR="006E4873" w:rsidRPr="00250DAF" w:rsidRDefault="006E4873" w:rsidP="006E4873">
      <w:pPr>
        <w:spacing w:after="225" w:line="300" w:lineRule="atLeast"/>
        <w:rPr>
          <w:color w:val="65686D"/>
        </w:rPr>
      </w:pPr>
      <w:r w:rsidRPr="00250DAF">
        <w:rPr>
          <w:color w:val="65686D"/>
        </w:rPr>
        <w:t xml:space="preserve">Der Kläger machte aus abgetretenem Recht Schadensersatzansprüche gegenüber der Sparkasse Frankfurt geltend. Hintergrund war eine Beteiligung seiner beiden Söhne an dem geschlossenen britischen </w:t>
      </w:r>
      <w:hyperlink r:id="rId5" w:history="1">
        <w:r w:rsidRPr="00250DAF">
          <w:rPr>
            <w:color w:val="DF8B3F"/>
          </w:rPr>
          <w:t xml:space="preserve">Lebensversicherungsfonds </w:t>
        </w:r>
      </w:hyperlink>
      <w:r w:rsidRPr="00250DAF">
        <w:rPr>
          <w:color w:val="65686D"/>
        </w:rPr>
        <w:t xml:space="preserve">HSC </w:t>
      </w:r>
      <w:r w:rsidR="00250DAF" w:rsidRPr="00250DAF">
        <w:rPr>
          <w:color w:val="65686D"/>
        </w:rPr>
        <w:t>Optivita</w:t>
      </w:r>
      <w:r w:rsidRPr="00250DAF">
        <w:rPr>
          <w:color w:val="65686D"/>
        </w:rPr>
        <w:t xml:space="preserve"> VIII </w:t>
      </w:r>
      <w:r w:rsidR="00250DAF" w:rsidRPr="00250DAF">
        <w:rPr>
          <w:color w:val="65686D"/>
        </w:rPr>
        <w:t xml:space="preserve">UK </w:t>
      </w:r>
      <w:r w:rsidRPr="00250DAF">
        <w:rPr>
          <w:color w:val="65686D"/>
        </w:rPr>
        <w:t>Exklusiv. Die Zeichnung erfolgte im Jahr 2007. Geltend gemacht wurden Schadensersatzansprüche wegen fehlerhafter Anlageberatung.</w:t>
      </w:r>
    </w:p>
    <w:p w:rsidR="006E4873" w:rsidRPr="00250DAF" w:rsidRDefault="006E4873" w:rsidP="006E4873">
      <w:pPr>
        <w:spacing w:after="225" w:line="300" w:lineRule="atLeast"/>
        <w:jc w:val="both"/>
        <w:rPr>
          <w:color w:val="65686D"/>
        </w:rPr>
      </w:pPr>
      <w:r w:rsidRPr="00250DAF">
        <w:rPr>
          <w:color w:val="65686D"/>
        </w:rPr>
        <w:t>Der Hintergrund: Sparkassen haben vor der Finanzkrise massenhaft hochriskante Geschäfte mit gebrauchten Lebensversicherungen gefördert. Für die Vermittlung dieser Geschäfte flossen Provisionen von bis zu 17% an die Sparkassen.</w:t>
      </w:r>
    </w:p>
    <w:p w:rsidR="006E4873" w:rsidRPr="00250DAF" w:rsidRDefault="006E4873" w:rsidP="006E4873">
      <w:pPr>
        <w:spacing w:after="150" w:line="240" w:lineRule="atLeast"/>
        <w:outlineLvl w:val="2"/>
        <w:rPr>
          <w:color w:val="6A6A6A"/>
        </w:rPr>
      </w:pPr>
      <w:r w:rsidRPr="00250DAF">
        <w:rPr>
          <w:color w:val="6A6A6A"/>
        </w:rPr>
        <w:t>Die Entscheidung:</w:t>
      </w:r>
    </w:p>
    <w:p w:rsidR="006E4873" w:rsidRPr="00250DAF" w:rsidRDefault="006E4873" w:rsidP="006E4873">
      <w:pPr>
        <w:spacing w:after="225" w:line="300" w:lineRule="atLeast"/>
        <w:rPr>
          <w:color w:val="65686D"/>
        </w:rPr>
      </w:pPr>
      <w:r w:rsidRPr="00250DAF">
        <w:rPr>
          <w:color w:val="65686D"/>
        </w:rPr>
        <w:t xml:space="preserve">Das Gericht sah es als erwiesen an, dass die Beklagte keine ordnungsgemäße Aufklärung über die mit einer Beteiligung an einem geschlossenen britischen Lebensversicherungsfonds </w:t>
      </w:r>
      <w:bookmarkStart w:id="0" w:name="_GoBack"/>
      <w:r w:rsidRPr="00250DAF">
        <w:rPr>
          <w:color w:val="65686D"/>
        </w:rPr>
        <w:t xml:space="preserve">einhergehenden Risiken und Nachteile erfolgt ist. Folgerichtig hat es die Frankfurter </w:t>
      </w:r>
      <w:bookmarkEnd w:id="0"/>
      <w:r w:rsidRPr="00250DAF">
        <w:rPr>
          <w:color w:val="65686D"/>
        </w:rPr>
        <w:t>Sparkasse zu Schadensersatz verurteilt. Damit ist es erneut gelungen gegen die Frankfurter Sparkasse ein positive Urteil zu erstreiten. Das Urteil ist noch nicht rechtskräftig.</w:t>
      </w:r>
    </w:p>
    <w:p w:rsidR="006E4873" w:rsidRPr="00250DAF" w:rsidRDefault="006E4873" w:rsidP="006E4873">
      <w:pPr>
        <w:spacing w:after="150" w:line="240" w:lineRule="atLeast"/>
        <w:outlineLvl w:val="2"/>
        <w:rPr>
          <w:color w:val="6A6A6A"/>
        </w:rPr>
      </w:pPr>
      <w:r w:rsidRPr="00250DAF">
        <w:rPr>
          <w:color w:val="6A6A6A"/>
        </w:rPr>
        <w:t>Fazit:</w:t>
      </w:r>
    </w:p>
    <w:p w:rsidR="006E4873" w:rsidRPr="00250DAF" w:rsidRDefault="006E4873" w:rsidP="006E4873">
      <w:pPr>
        <w:spacing w:after="225" w:line="300" w:lineRule="atLeast"/>
        <w:rPr>
          <w:color w:val="65686D"/>
        </w:rPr>
      </w:pPr>
      <w:r w:rsidRPr="00250DAF">
        <w:rPr>
          <w:color w:val="65686D"/>
        </w:rPr>
        <w:t>Die Entscheidung des Landgerichtes stärkt die Stellung geschädigter und fehlerhaft beratener Anleger. Sie zeigt erneut, dass eine erfolgreiche Geltendmachung bestehender Ansprüche gegen Banken und Sparkassen erfolgversprechend ist.</w:t>
      </w:r>
    </w:p>
    <w:p w:rsidR="006E4873" w:rsidRPr="00250DAF" w:rsidRDefault="006E4873" w:rsidP="006E4873">
      <w:pPr>
        <w:spacing w:after="150" w:line="240" w:lineRule="atLeast"/>
        <w:outlineLvl w:val="2"/>
        <w:rPr>
          <w:b/>
          <w:color w:val="6A6A6A"/>
        </w:rPr>
      </w:pPr>
      <w:r w:rsidRPr="00250DAF">
        <w:rPr>
          <w:b/>
          <w:color w:val="6A6A6A"/>
        </w:rPr>
        <w:t>Fazit: Urteil stärkt Position geschädigter Fondsanleger</w:t>
      </w:r>
    </w:p>
    <w:p w:rsidR="006E4873" w:rsidRPr="00250DAF" w:rsidRDefault="006E4873" w:rsidP="006E4873">
      <w:pPr>
        <w:spacing w:after="150" w:line="240" w:lineRule="atLeast"/>
        <w:outlineLvl w:val="2"/>
        <w:rPr>
          <w:color w:val="6A6A6A"/>
        </w:rPr>
      </w:pPr>
      <w:r w:rsidRPr="00250DAF">
        <w:rPr>
          <w:color w:val="6A6A6A"/>
        </w:rPr>
        <w:t xml:space="preserve">Das seitens der Kanzlei Aslanidis, Kress &amp; Häcker-Hollmann erstrittene Urteil stärkt erneut die Position von Zeichnern geschlossener Lebensversicherungsfonds. Diese haben nun die </w:t>
      </w:r>
      <w:r w:rsidRPr="00250DAF">
        <w:rPr>
          <w:color w:val="6A6A6A"/>
        </w:rPr>
        <w:lastRenderedPageBreak/>
        <w:t xml:space="preserve">Möglichkeit, durch ein Vorgehen gegen die vermittelnden Banken oder Sparkassen eine Rückabwicklung der riskanten Kapitalanlage durchzusetzen. </w:t>
      </w:r>
    </w:p>
    <w:p w:rsidR="006E4873" w:rsidRPr="00250DAF" w:rsidRDefault="006E4873" w:rsidP="006E4873"/>
    <w:p w:rsidR="006E4873" w:rsidRPr="006E4873" w:rsidRDefault="006E4873" w:rsidP="006E4873">
      <w:r w:rsidRPr="006E4873">
        <w:t>_______________________________________________</w:t>
      </w:r>
    </w:p>
    <w:p w:rsidR="006E4873" w:rsidRPr="006E4873" w:rsidRDefault="006E4873" w:rsidP="006E4873">
      <w:pPr>
        <w:rPr>
          <w:b/>
        </w:rPr>
      </w:pPr>
      <w:r w:rsidRPr="006E4873">
        <w:rPr>
          <w:b/>
        </w:rPr>
        <w:t>Pressekontakt:</w:t>
      </w:r>
    </w:p>
    <w:p w:rsidR="006E4873" w:rsidRPr="006E4873" w:rsidRDefault="006E4873" w:rsidP="006E4873">
      <w:proofErr w:type="spellStart"/>
      <w:r w:rsidRPr="006E4873">
        <w:t>RAin</w:t>
      </w:r>
      <w:proofErr w:type="spellEnd"/>
      <w:r w:rsidRPr="006E4873">
        <w:t xml:space="preserve"> Nursel Özel </w:t>
      </w:r>
    </w:p>
    <w:p w:rsidR="006E4873" w:rsidRPr="006E4873" w:rsidRDefault="006E4873" w:rsidP="006E4873">
      <w:r w:rsidRPr="006E4873">
        <w:t>RA    Andreas Frank</w:t>
      </w:r>
    </w:p>
    <w:p w:rsidR="006E4873" w:rsidRPr="006E4873" w:rsidRDefault="006E4873" w:rsidP="006E4873">
      <w:r w:rsidRPr="006E4873">
        <w:t>Rechtsanwälte</w:t>
      </w:r>
    </w:p>
    <w:p w:rsidR="006E4873" w:rsidRPr="006E4873" w:rsidRDefault="006E4873" w:rsidP="006E4873">
      <w:r w:rsidRPr="006E4873">
        <w:t>Aslanidis, Kress &amp; Häcker-Hollmann</w:t>
      </w:r>
    </w:p>
    <w:p w:rsidR="006E4873" w:rsidRPr="006E4873" w:rsidRDefault="006E4873" w:rsidP="006E4873">
      <w:r w:rsidRPr="006E4873">
        <w:t>Freihofstr. 6</w:t>
      </w:r>
    </w:p>
    <w:p w:rsidR="006E4873" w:rsidRPr="006E4873" w:rsidRDefault="006E4873" w:rsidP="006E4873">
      <w:r w:rsidRPr="006E4873">
        <w:t>73730 Esslingen</w:t>
      </w:r>
    </w:p>
    <w:p w:rsidR="006E4873" w:rsidRPr="006E4873" w:rsidRDefault="00250DAF" w:rsidP="006E4873">
      <w:hyperlink r:id="rId6" w:history="1">
        <w:r w:rsidR="006E4873" w:rsidRPr="006E4873">
          <w:rPr>
            <w:rStyle w:val="Hyperlink"/>
          </w:rPr>
          <w:t>presse@akh-h.de</w:t>
        </w:r>
      </w:hyperlink>
      <w:r w:rsidR="006E4873" w:rsidRPr="006E4873">
        <w:t xml:space="preserve"> </w:t>
      </w:r>
    </w:p>
    <w:p w:rsidR="006E4873" w:rsidRPr="006E4873" w:rsidRDefault="006E4873" w:rsidP="006E4873"/>
    <w:p w:rsidR="006E4873" w:rsidRPr="006E4873" w:rsidRDefault="006E4873" w:rsidP="006E4873"/>
    <w:p w:rsidR="006E4873" w:rsidRPr="006E4873" w:rsidRDefault="006E4873" w:rsidP="006E4873">
      <w:r w:rsidRPr="006E4873">
        <w:t>Wir freuen uns über Ihre Rückmeldung, soweit Sie diese Pressemitteilung verwenden konnten.</w:t>
      </w:r>
    </w:p>
    <w:p w:rsidR="006E4873" w:rsidRPr="006E4873" w:rsidRDefault="006E4873" w:rsidP="006E4873"/>
    <w:p w:rsidR="00605916" w:rsidRPr="006E4873" w:rsidRDefault="00605916"/>
    <w:sectPr w:rsidR="00605916" w:rsidRPr="006E48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73"/>
    <w:rsid w:val="00250DAF"/>
    <w:rsid w:val="00605916"/>
    <w:rsid w:val="006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4873"/>
    <w:rPr>
      <w:rFonts w:eastAsia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6E4873"/>
    <w:rPr>
      <w:color w:val="0000FF"/>
      <w:u w:val="single"/>
    </w:rPr>
  </w:style>
  <w:style w:type="paragraph" w:styleId="Kopfzeile">
    <w:name w:val="header"/>
    <w:basedOn w:val="Standard"/>
    <w:link w:val="KopfzeileZchn"/>
    <w:semiHidden/>
    <w:unhideWhenUsed/>
    <w:rsid w:val="006E4873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6E4873"/>
    <w:rPr>
      <w:rFonts w:eastAsia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4873"/>
    <w:rPr>
      <w:rFonts w:eastAsia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6E4873"/>
    <w:rPr>
      <w:color w:val="0000FF"/>
      <w:u w:val="single"/>
    </w:rPr>
  </w:style>
  <w:style w:type="paragraph" w:styleId="Kopfzeile">
    <w:name w:val="header"/>
    <w:basedOn w:val="Standard"/>
    <w:link w:val="KopfzeileZchn"/>
    <w:semiHidden/>
    <w:unhideWhenUsed/>
    <w:rsid w:val="006E4873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6E4873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2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2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01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e@akh-h.de" TargetMode="External"/><Relationship Id="rId5" Type="http://schemas.openxmlformats.org/officeDocument/2006/relationships/hyperlink" Target="https://akh-h.de/fonds/lebensversicherungsfon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Frank, Andreas</dc:creator>
  <cp:lastModifiedBy>Frank, Andreas</cp:lastModifiedBy>
  <cp:revision>2</cp:revision>
  <dcterms:created xsi:type="dcterms:W3CDTF">2016-04-18T06:43:00Z</dcterms:created>
  <dcterms:modified xsi:type="dcterms:W3CDTF">2016-04-18T06:43:00Z</dcterms:modified>
</cp:coreProperties>
</file>