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F9C0" w14:textId="06DD4FCA" w:rsidR="007D57F4" w:rsidRPr="00F00B2A" w:rsidRDefault="00D6531D" w:rsidP="00F00B2A">
      <w:pPr>
        <w:pStyle w:val="berschrift1"/>
        <w:spacing w:line="276" w:lineRule="auto"/>
        <w:ind w:right="1984"/>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FD3D99">
        <w:rPr>
          <w:rFonts w:ascii="Sparkasse Rg" w:eastAsia="Sparkasse Rg" w:hAnsi="Sparkasse Rg" w:cs="Sparkasse Rg"/>
          <w:sz w:val="22"/>
          <w:szCs w:val="22"/>
        </w:rPr>
        <w:t>17</w:t>
      </w:r>
      <w:r w:rsidR="00383006">
        <w:rPr>
          <w:rFonts w:ascii="Sparkasse Rg" w:eastAsia="Sparkasse Rg" w:hAnsi="Sparkasse Rg" w:cs="Sparkasse Rg"/>
          <w:sz w:val="22"/>
          <w:szCs w:val="22"/>
        </w:rPr>
        <w:t>.11</w:t>
      </w:r>
      <w:r>
        <w:rPr>
          <w:rFonts w:ascii="Sparkasse Rg" w:eastAsia="Sparkasse Rg" w:hAnsi="Sparkasse Rg" w:cs="Sparkasse Rg"/>
          <w:sz w:val="22"/>
          <w:szCs w:val="22"/>
        </w:rPr>
        <w:t>.2020</w:t>
      </w:r>
    </w:p>
    <w:p w14:paraId="23636453" w14:textId="77777777" w:rsidR="00F00B2A" w:rsidRDefault="00F00B2A" w:rsidP="00F00B2A">
      <w:pPr>
        <w:pStyle w:val="berschrift1"/>
        <w:ind w:right="1984"/>
        <w:rPr>
          <w:rFonts w:ascii="Sparkasse Rg" w:eastAsia="Sparkasse Rg" w:hAnsi="Sparkasse Rg" w:cs="Sparkasse Rg"/>
          <w:sz w:val="22"/>
          <w:szCs w:val="24"/>
        </w:rPr>
      </w:pPr>
    </w:p>
    <w:p w14:paraId="0234B9D5" w14:textId="03DBD412" w:rsidR="00837347" w:rsidRPr="00003914" w:rsidRDefault="00FD3D99" w:rsidP="00F00B2A">
      <w:pPr>
        <w:pStyle w:val="berschrift1"/>
        <w:ind w:right="1984"/>
        <w:rPr>
          <w:rFonts w:ascii="Sparkasse Rg" w:eastAsia="Sparkasse Rg" w:hAnsi="Sparkasse Rg" w:cs="Sparkasse Rg"/>
          <w:sz w:val="22"/>
          <w:szCs w:val="24"/>
        </w:rPr>
      </w:pPr>
      <w:r>
        <w:rPr>
          <w:rFonts w:ascii="Sparkasse Rg" w:eastAsia="Sparkasse Rg" w:hAnsi="Sparkasse Rg" w:cs="Sparkasse Rg"/>
          <w:sz w:val="22"/>
          <w:szCs w:val="24"/>
        </w:rPr>
        <w:t>Die Stadtsparkasse geht mit den Löwen ins 14. Jahr!</w:t>
      </w:r>
    </w:p>
    <w:p w14:paraId="33488BC7" w14:textId="77777777" w:rsidR="00837347" w:rsidRPr="00037A60" w:rsidRDefault="00837347" w:rsidP="00F00B2A">
      <w:pPr>
        <w:ind w:right="1984"/>
      </w:pPr>
    </w:p>
    <w:p w14:paraId="58343470" w14:textId="4133A6BA" w:rsidR="007D57F4" w:rsidRPr="007D57F4" w:rsidRDefault="00837347" w:rsidP="00F00B2A">
      <w:pPr>
        <w:pStyle w:val="berschrift1"/>
        <w:spacing w:line="360" w:lineRule="auto"/>
        <w:ind w:right="1984"/>
        <w:rPr>
          <w:rFonts w:ascii="Sparkasse Rg" w:hAnsi="Sparkasse Rg"/>
          <w:b w:val="0"/>
          <w:snapToGrid w:val="0"/>
          <w:sz w:val="22"/>
          <w:szCs w:val="22"/>
        </w:rPr>
      </w:pPr>
      <w:r w:rsidRPr="00483D17">
        <w:rPr>
          <w:rFonts w:ascii="Sparkasse Rg" w:hAnsi="Sparkasse Rg"/>
          <w:sz w:val="22"/>
          <w:szCs w:val="22"/>
        </w:rPr>
        <w:t>München (</w:t>
      </w:r>
      <w:proofErr w:type="spellStart"/>
      <w:r w:rsidRPr="00483D17">
        <w:rPr>
          <w:rFonts w:ascii="Sparkasse Rg" w:hAnsi="Sparkasse Rg"/>
          <w:sz w:val="22"/>
          <w:szCs w:val="22"/>
        </w:rPr>
        <w:t>sskm</w:t>
      </w:r>
      <w:proofErr w:type="spellEnd"/>
      <w:r w:rsidRPr="00483D17">
        <w:rPr>
          <w:rFonts w:ascii="Sparkasse Rg" w:hAnsi="Sparkasse Rg"/>
          <w:sz w:val="22"/>
          <w:szCs w:val="22"/>
        </w:rPr>
        <w:t>).</w:t>
      </w:r>
      <w:r w:rsidRPr="00D267E3">
        <w:rPr>
          <w:rFonts w:ascii="Sparkasse Rg" w:hAnsi="Sparkasse Rg"/>
          <w:snapToGrid w:val="0"/>
          <w:sz w:val="22"/>
          <w:szCs w:val="22"/>
        </w:rPr>
        <w:t xml:space="preserve"> </w:t>
      </w:r>
      <w:r w:rsidR="007D57F4" w:rsidRPr="007D57F4">
        <w:rPr>
          <w:rFonts w:ascii="Sparkasse Rg" w:hAnsi="Sparkasse Rg"/>
          <w:b w:val="0"/>
          <w:snapToGrid w:val="0"/>
          <w:sz w:val="22"/>
          <w:szCs w:val="22"/>
        </w:rPr>
        <w:t>Die Stadtsparkasse München</w:t>
      </w:r>
      <w:r w:rsidR="007D57F4">
        <w:rPr>
          <w:rFonts w:ascii="Sparkasse Rg" w:hAnsi="Sparkasse Rg"/>
          <w:b w:val="0"/>
          <w:snapToGrid w:val="0"/>
          <w:sz w:val="22"/>
          <w:szCs w:val="22"/>
        </w:rPr>
        <w:t xml:space="preserve"> und der TSV 1860 setzen ihre langjährige Partnerschaft fort. </w:t>
      </w:r>
      <w:r w:rsidR="00F00B2A">
        <w:rPr>
          <w:rFonts w:ascii="Sparkasse Rg" w:hAnsi="Sparkasse Rg"/>
          <w:b w:val="0"/>
          <w:snapToGrid w:val="0"/>
          <w:sz w:val="22"/>
          <w:szCs w:val="22"/>
        </w:rPr>
        <w:t xml:space="preserve"> Beide gehen zusammen ins 14. Jahr - damit zeigt sich die Stadtsparkasse als verlässlicher Sponsoring-Partner, auch in diesen schwierigen Zeiten.</w:t>
      </w:r>
    </w:p>
    <w:p w14:paraId="65CCA0AD" w14:textId="77777777" w:rsidR="007D57F4" w:rsidRPr="007D57F4" w:rsidRDefault="007D57F4" w:rsidP="00F00B2A">
      <w:pPr>
        <w:pStyle w:val="berschrift1"/>
        <w:spacing w:line="360" w:lineRule="auto"/>
        <w:ind w:right="1984"/>
        <w:rPr>
          <w:rFonts w:ascii="Sparkasse Rg" w:hAnsi="Sparkasse Rg"/>
          <w:b w:val="0"/>
          <w:snapToGrid w:val="0"/>
          <w:sz w:val="22"/>
          <w:szCs w:val="22"/>
        </w:rPr>
      </w:pPr>
      <w:r w:rsidRPr="007D57F4">
        <w:rPr>
          <w:rFonts w:ascii="Sparkasse Rg" w:hAnsi="Sparkasse Rg"/>
          <w:b w:val="0"/>
          <w:snapToGrid w:val="0"/>
          <w:sz w:val="22"/>
          <w:szCs w:val="22"/>
        </w:rPr>
        <w:t>„Am Beispiel der Stadtsparkasse München und den Löwen sieht man sehr schön: Rot und Blau passt eben doch gut zusammen“, sagt Gabi Nellissen, die Leiterin des Förderengagements der Stadtsparkasse München. „Nach so vielen Jahren toller Zusammenarbeit war es für uns vollkommen klar, dass wir auch in der kommenden Saison Sponsoring-Partner für den TSV 1860 sein werden.“ Die Mannschaft habe in der vergangenen Saison „so viel Herz bei ihren Spielen gezeigt und die 3. Liga richtig spannend gehalten. Da macht es einfach Spaß, zuzuschauen und den Verein als Stadtsparkasse München zu unterstützen.“</w:t>
      </w:r>
    </w:p>
    <w:p w14:paraId="1DC70AAB" w14:textId="77777777" w:rsidR="00F00B2A" w:rsidRDefault="007D57F4" w:rsidP="00F00B2A">
      <w:pPr>
        <w:pStyle w:val="berschrift1"/>
        <w:spacing w:line="360" w:lineRule="auto"/>
        <w:ind w:right="1984"/>
      </w:pPr>
      <w:r w:rsidRPr="007D57F4">
        <w:rPr>
          <w:rFonts w:ascii="Sparkasse Rg" w:hAnsi="Sparkasse Rg"/>
          <w:b w:val="0"/>
          <w:snapToGrid w:val="0"/>
          <w:sz w:val="22"/>
          <w:szCs w:val="22"/>
        </w:rPr>
        <w:t>„Wir sind sehr stolz, dass sich die Stadtsparkasse München weiterhin bei uns engagiert“, freut sich 1860-Geschäftsführer Marc-Nicolai Pfeifer. „Nach 14 Jahren der Zusammenarbeit ist die Stadtsparkasse München im wahrsten Sinnes des Wortes eine sichere Bank. Das uns sehr vertraute Unternehmen ist ein langjähriger und starker Partner aus unserer Stadt, das für unseren Verein einen wichtigen Beitrag leistet.“</w:t>
      </w:r>
      <w:r w:rsidRPr="007D57F4">
        <w:t xml:space="preserve"> </w:t>
      </w:r>
    </w:p>
    <w:p w14:paraId="130A3146" w14:textId="75556A53" w:rsidR="00F00B2A" w:rsidRPr="00F00B2A" w:rsidRDefault="007D57F4" w:rsidP="00F00B2A">
      <w:pPr>
        <w:pStyle w:val="berschrift1"/>
        <w:spacing w:line="360" w:lineRule="auto"/>
        <w:ind w:right="1984"/>
        <w:rPr>
          <w:rFonts w:ascii="Sparkasse Rg" w:hAnsi="Sparkasse Rg"/>
          <w:b w:val="0"/>
          <w:snapToGrid w:val="0"/>
          <w:sz w:val="22"/>
          <w:szCs w:val="22"/>
        </w:rPr>
      </w:pPr>
      <w:r w:rsidRPr="007D57F4">
        <w:rPr>
          <w:rFonts w:ascii="Sparkasse Rg" w:hAnsi="Sparkasse Rg"/>
          <w:b w:val="0"/>
          <w:snapToGrid w:val="0"/>
          <w:sz w:val="22"/>
          <w:szCs w:val="22"/>
        </w:rPr>
        <w:t>Die Spar</w:t>
      </w:r>
      <w:r w:rsidRPr="00F00B2A">
        <w:rPr>
          <w:rFonts w:ascii="Sparkasse Rg" w:hAnsi="Sparkasse Rg"/>
          <w:b w:val="0"/>
          <w:snapToGrid w:val="0"/>
          <w:sz w:val="22"/>
          <w:szCs w:val="22"/>
        </w:rPr>
        <w:t xml:space="preserve">kassen sind größter nichtstaatlicher Sportförderer in Deutschland, vor allem im Freizeit-, aber auch im Profisport. Wichtiges Kriterium für alle Sponsoring-Maßnahmen der Stadtsparkasse München ist dabei der regionale Bezug – als „Die Bank unserer Stadt“ </w:t>
      </w:r>
      <w:r w:rsidR="00F00B2A" w:rsidRPr="00F00B2A">
        <w:rPr>
          <w:rFonts w:ascii="Sparkasse Rg" w:hAnsi="Sparkasse Rg"/>
          <w:b w:val="0"/>
          <w:snapToGrid w:val="0"/>
          <w:sz w:val="22"/>
          <w:szCs w:val="22"/>
        </w:rPr>
        <w:t>setzt</w:t>
      </w:r>
      <w:r w:rsidRPr="00F00B2A">
        <w:rPr>
          <w:rFonts w:ascii="Sparkasse Rg" w:hAnsi="Sparkasse Rg"/>
          <w:b w:val="0"/>
          <w:snapToGrid w:val="0"/>
          <w:sz w:val="22"/>
          <w:szCs w:val="22"/>
        </w:rPr>
        <w:t xml:space="preserve"> sie das in München verdiente Geld auch genau dort ein, um die Region zu fördern.</w:t>
      </w:r>
      <w:r w:rsidR="00F00B2A" w:rsidRPr="00F00B2A">
        <w:rPr>
          <w:rFonts w:ascii="Sparkasse Rg" w:hAnsi="Sparkasse Rg"/>
          <w:b w:val="0"/>
          <w:snapToGrid w:val="0"/>
          <w:sz w:val="22"/>
          <w:szCs w:val="22"/>
        </w:rPr>
        <w:t xml:space="preserve"> </w:t>
      </w:r>
      <w:r w:rsidR="00F00B2A" w:rsidRPr="00F00B2A">
        <w:rPr>
          <w:rFonts w:ascii="Sparkasse Rg" w:hAnsi="Sparkasse Rg"/>
          <w:b w:val="0"/>
          <w:sz w:val="22"/>
          <w:szCs w:val="22"/>
        </w:rPr>
        <w:t xml:space="preserve">Neben der Sportförderung engagiert sich die Stadtsparkasse München in der bayerischen Landeshauptstadt mit sechs von ihr gegründeten Stiftungen für Soziales, Kunst und Kultur, </w:t>
      </w:r>
      <w:r w:rsidR="007F1A1A">
        <w:rPr>
          <w:rFonts w:ascii="Sparkasse Rg" w:hAnsi="Sparkasse Rg"/>
          <w:b w:val="0"/>
          <w:sz w:val="22"/>
          <w:szCs w:val="22"/>
        </w:rPr>
        <w:t xml:space="preserve">Bildung </w:t>
      </w:r>
      <w:r w:rsidR="00F00B2A" w:rsidRPr="00F00B2A">
        <w:rPr>
          <w:rFonts w:ascii="Sparkasse Rg" w:hAnsi="Sparkasse Rg"/>
          <w:b w:val="0"/>
          <w:sz w:val="22"/>
          <w:szCs w:val="22"/>
        </w:rPr>
        <w:t xml:space="preserve">und </w:t>
      </w:r>
      <w:r w:rsidR="007F1A1A">
        <w:rPr>
          <w:rFonts w:ascii="Sparkasse Rg" w:hAnsi="Sparkasse Rg"/>
          <w:b w:val="0"/>
          <w:sz w:val="22"/>
          <w:szCs w:val="22"/>
        </w:rPr>
        <w:t xml:space="preserve">die </w:t>
      </w:r>
      <w:bookmarkStart w:id="0" w:name="_GoBack"/>
      <w:bookmarkEnd w:id="0"/>
      <w:r w:rsidR="00F00B2A" w:rsidRPr="00F00B2A">
        <w:rPr>
          <w:rFonts w:ascii="Sparkasse Rg" w:hAnsi="Sparkasse Rg"/>
          <w:b w:val="0"/>
          <w:sz w:val="22"/>
          <w:szCs w:val="22"/>
        </w:rPr>
        <w:t>Umwelt.</w:t>
      </w:r>
    </w:p>
    <w:p w14:paraId="0EC645DC" w14:textId="56006819" w:rsidR="00F00B2A" w:rsidRDefault="00F00B2A" w:rsidP="00F00B2A"/>
    <w:p w14:paraId="68A662A4" w14:textId="58BB7B6E" w:rsidR="00F00B2A" w:rsidRDefault="00F00B2A" w:rsidP="00F00B2A"/>
    <w:p w14:paraId="2B7B16B6" w14:textId="674FCADB" w:rsidR="00F00B2A" w:rsidRDefault="00F00B2A" w:rsidP="00F00B2A"/>
    <w:p w14:paraId="7B26187C" w14:textId="262DF1E0" w:rsidR="00F00B2A" w:rsidRDefault="00F00B2A" w:rsidP="00F00B2A"/>
    <w:p w14:paraId="4BA4ECD3" w14:textId="77777777" w:rsidR="00F00B2A" w:rsidRPr="00F00B2A" w:rsidRDefault="00F00B2A" w:rsidP="00F00B2A"/>
    <w:p w14:paraId="158A11A3" w14:textId="77777777" w:rsidR="007A4DDA" w:rsidRDefault="007A4DDA" w:rsidP="00B939EC">
      <w:pPr>
        <w:pBdr>
          <w:top w:val="single" w:sz="4" w:space="1" w:color="auto"/>
          <w:left w:val="single" w:sz="4" w:space="4" w:color="auto"/>
          <w:bottom w:val="single" w:sz="4" w:space="1" w:color="auto"/>
          <w:right w:val="single" w:sz="4" w:space="4" w:color="auto"/>
        </w:pBdr>
        <w:spacing w:after="60" w:line="276" w:lineRule="auto"/>
        <w:rPr>
          <w:sz w:val="20"/>
        </w:rPr>
      </w:pPr>
      <w:r w:rsidRPr="00CE7004">
        <w:rPr>
          <w:b/>
          <w:sz w:val="20"/>
        </w:rPr>
        <w:t>Die Stadtsparkasse München</w:t>
      </w:r>
    </w:p>
    <w:p w14:paraId="039CF6DA" w14:textId="139DCF36" w:rsidR="00D6531D" w:rsidRPr="000D24F3" w:rsidRDefault="00D6531D" w:rsidP="00B939EC">
      <w:pPr>
        <w:pBdr>
          <w:top w:val="single" w:sz="4" w:space="1" w:color="auto"/>
          <w:left w:val="single" w:sz="4" w:space="4" w:color="auto"/>
          <w:bottom w:val="single" w:sz="4" w:space="1" w:color="auto"/>
          <w:right w:val="single" w:sz="4" w:space="4" w:color="auto"/>
        </w:pBdr>
        <w:spacing w:after="60" w:line="276" w:lineRule="auto"/>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sidR="00C70CE1">
        <w:rPr>
          <w:sz w:val="20"/>
        </w:rPr>
        <w:t>7</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r w:rsidR="00787DB4">
        <w:rPr>
          <w:sz w:val="20"/>
        </w:rPr>
        <w:t xml:space="preserve"> </w:t>
      </w: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w:t>
      </w:r>
      <w:r w:rsidR="00A90795">
        <w:rPr>
          <w:sz w:val="20"/>
        </w:rPr>
        <w:t xml:space="preserve"> die größte bayerische und viert</w:t>
      </w:r>
      <w:r w:rsidRPr="00287740">
        <w:rPr>
          <w:sz w:val="20"/>
        </w:rPr>
        <w: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D6531D" w:rsidRPr="000D24F3" w:rsidSect="00B939EC">
      <w:headerReference w:type="default" r:id="rId8"/>
      <w:footerReference w:type="default" r:id="rId9"/>
      <w:footerReference w:type="first" r:id="rId10"/>
      <w:pgSz w:w="11906" w:h="16838"/>
      <w:pgMar w:top="1843" w:right="1416" w:bottom="1276"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419E" w14:textId="77777777" w:rsidR="00170AF7" w:rsidRDefault="00170AF7">
      <w:r>
        <w:separator/>
      </w:r>
    </w:p>
  </w:endnote>
  <w:endnote w:type="continuationSeparator" w:id="0">
    <w:p w14:paraId="7025556A" w14:textId="77777777" w:rsidR="00170AF7" w:rsidRDefault="0017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2E26" w14:textId="77777777"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14:paraId="0F3A5654" w14:textId="6E7E13F0"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1D78D902" wp14:editId="05B05638">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146"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0C4C2F0F" wp14:editId="75CFCA75">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147"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20AB54A4" wp14:editId="67DAE128">
          <wp:simplePos x="0" y="0"/>
          <wp:positionH relativeFrom="column">
            <wp:posOffset>5496560</wp:posOffset>
          </wp:positionH>
          <wp:positionV relativeFrom="paragraph">
            <wp:posOffset>85725</wp:posOffset>
          </wp:positionV>
          <wp:extent cx="132715" cy="136525"/>
          <wp:effectExtent l="0" t="0" r="635" b="0"/>
          <wp:wrapSquare wrapText="bothSides"/>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52FCA39B" wp14:editId="411D569D">
          <wp:simplePos x="0" y="0"/>
          <wp:positionH relativeFrom="margin">
            <wp:align>right</wp:align>
          </wp:positionH>
          <wp:positionV relativeFrom="paragraph">
            <wp:posOffset>84455</wp:posOffset>
          </wp:positionV>
          <wp:extent cx="140970" cy="139065"/>
          <wp:effectExtent l="0" t="0" r="0" b="0"/>
          <wp:wrapSquare wrapText="bothSides"/>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4C0E84EB" w14:textId="2B6671A1"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7D57F4">
      <w:rPr>
        <w:color w:val="000000" w:themeColor="text1"/>
        <w:sz w:val="14"/>
        <w:szCs w:val="14"/>
      </w:rPr>
      <w:t>17</w:t>
    </w:r>
    <w:r w:rsidR="00384A69">
      <w:rPr>
        <w:color w:val="000000" w:themeColor="text1"/>
        <w:sz w:val="14"/>
        <w:szCs w:val="14"/>
      </w:rPr>
      <w:t>.</w:t>
    </w:r>
    <w:r w:rsidR="00383006">
      <w:rPr>
        <w:color w:val="000000" w:themeColor="text1"/>
        <w:sz w:val="14"/>
        <w:szCs w:val="14"/>
      </w:rPr>
      <w:t>11</w:t>
    </w:r>
    <w:r w:rsidR="002D6BB4">
      <w:rPr>
        <w:color w:val="000000" w:themeColor="text1"/>
        <w:sz w:val="14"/>
        <w:szCs w:val="14"/>
      </w:rPr>
      <w:t>.2020</w:t>
    </w:r>
  </w:p>
  <w:p w14:paraId="640E123F" w14:textId="30B20667"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7F1A1A">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7F1A1A">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7B40"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4FE608EF"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46F1ABFD"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405FE9B8" w14:textId="667E7837"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911339">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9C1B" w14:textId="77777777" w:rsidR="00170AF7" w:rsidRDefault="00170AF7">
      <w:r>
        <w:separator/>
      </w:r>
    </w:p>
  </w:footnote>
  <w:footnote w:type="continuationSeparator" w:id="0">
    <w:p w14:paraId="748221E0" w14:textId="77777777" w:rsidR="00170AF7" w:rsidRDefault="0017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0476"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182BCC36" wp14:editId="6345EAC3">
          <wp:simplePos x="0" y="0"/>
          <wp:positionH relativeFrom="margin">
            <wp:posOffset>-390524</wp:posOffset>
          </wp:positionH>
          <wp:positionV relativeFrom="paragraph">
            <wp:posOffset>-86359</wp:posOffset>
          </wp:positionV>
          <wp:extent cx="3060700" cy="614680"/>
          <wp:effectExtent l="0" t="0" r="0" b="0"/>
          <wp:wrapNone/>
          <wp:docPr id="145"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4CA9EC26"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3914"/>
    <w:rsid w:val="00005C6F"/>
    <w:rsid w:val="000065AC"/>
    <w:rsid w:val="000076D9"/>
    <w:rsid w:val="0001704A"/>
    <w:rsid w:val="0002088C"/>
    <w:rsid w:val="00026B0D"/>
    <w:rsid w:val="00031EC9"/>
    <w:rsid w:val="000424C3"/>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B7390"/>
    <w:rsid w:val="000C1DB2"/>
    <w:rsid w:val="000D24F3"/>
    <w:rsid w:val="000D49AE"/>
    <w:rsid w:val="000D5B03"/>
    <w:rsid w:val="000E2998"/>
    <w:rsid w:val="000F5333"/>
    <w:rsid w:val="00105C2B"/>
    <w:rsid w:val="001064B4"/>
    <w:rsid w:val="00116013"/>
    <w:rsid w:val="001176B7"/>
    <w:rsid w:val="00120507"/>
    <w:rsid w:val="00124FBB"/>
    <w:rsid w:val="001263B9"/>
    <w:rsid w:val="0013061E"/>
    <w:rsid w:val="001374BE"/>
    <w:rsid w:val="001443E3"/>
    <w:rsid w:val="0015698D"/>
    <w:rsid w:val="00160309"/>
    <w:rsid w:val="00170AF7"/>
    <w:rsid w:val="00170C9E"/>
    <w:rsid w:val="001713D3"/>
    <w:rsid w:val="00181FEF"/>
    <w:rsid w:val="0018388E"/>
    <w:rsid w:val="001856B4"/>
    <w:rsid w:val="0019339C"/>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15E6C"/>
    <w:rsid w:val="00217598"/>
    <w:rsid w:val="00223314"/>
    <w:rsid w:val="00223D75"/>
    <w:rsid w:val="0022754C"/>
    <w:rsid w:val="00230DE9"/>
    <w:rsid w:val="0024209D"/>
    <w:rsid w:val="00255EBB"/>
    <w:rsid w:val="00260062"/>
    <w:rsid w:val="0026075A"/>
    <w:rsid w:val="00263515"/>
    <w:rsid w:val="00264914"/>
    <w:rsid w:val="002758E5"/>
    <w:rsid w:val="00282ADB"/>
    <w:rsid w:val="002831B8"/>
    <w:rsid w:val="002845CB"/>
    <w:rsid w:val="00284672"/>
    <w:rsid w:val="00285310"/>
    <w:rsid w:val="00287F9A"/>
    <w:rsid w:val="00290BA7"/>
    <w:rsid w:val="00290FB9"/>
    <w:rsid w:val="002937E9"/>
    <w:rsid w:val="00293F72"/>
    <w:rsid w:val="00294FF5"/>
    <w:rsid w:val="00295AAC"/>
    <w:rsid w:val="002A3EF0"/>
    <w:rsid w:val="002A61FE"/>
    <w:rsid w:val="002B1CEA"/>
    <w:rsid w:val="002C3FDF"/>
    <w:rsid w:val="002D3156"/>
    <w:rsid w:val="002D3416"/>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5156"/>
    <w:rsid w:val="003276E4"/>
    <w:rsid w:val="00330287"/>
    <w:rsid w:val="003350F4"/>
    <w:rsid w:val="00335BF3"/>
    <w:rsid w:val="003407B3"/>
    <w:rsid w:val="0034338E"/>
    <w:rsid w:val="00346ACF"/>
    <w:rsid w:val="00352DA7"/>
    <w:rsid w:val="003530C6"/>
    <w:rsid w:val="003555C8"/>
    <w:rsid w:val="00360138"/>
    <w:rsid w:val="003602C4"/>
    <w:rsid w:val="00362953"/>
    <w:rsid w:val="00365DE4"/>
    <w:rsid w:val="003666C8"/>
    <w:rsid w:val="003717BA"/>
    <w:rsid w:val="00372248"/>
    <w:rsid w:val="00383006"/>
    <w:rsid w:val="00384A69"/>
    <w:rsid w:val="003908C1"/>
    <w:rsid w:val="003915D2"/>
    <w:rsid w:val="003A1419"/>
    <w:rsid w:val="003B127B"/>
    <w:rsid w:val="003B1690"/>
    <w:rsid w:val="003B2CCA"/>
    <w:rsid w:val="003B35DC"/>
    <w:rsid w:val="003B491C"/>
    <w:rsid w:val="003B7E34"/>
    <w:rsid w:val="003C00AF"/>
    <w:rsid w:val="003D3F45"/>
    <w:rsid w:val="003D65FB"/>
    <w:rsid w:val="003E3640"/>
    <w:rsid w:val="003F1233"/>
    <w:rsid w:val="003F2E37"/>
    <w:rsid w:val="00400FA1"/>
    <w:rsid w:val="0040200C"/>
    <w:rsid w:val="00405F03"/>
    <w:rsid w:val="004061A9"/>
    <w:rsid w:val="00411A76"/>
    <w:rsid w:val="00412DEB"/>
    <w:rsid w:val="00413453"/>
    <w:rsid w:val="00413A0E"/>
    <w:rsid w:val="00413E54"/>
    <w:rsid w:val="00420D3D"/>
    <w:rsid w:val="00421D91"/>
    <w:rsid w:val="00422389"/>
    <w:rsid w:val="004259AD"/>
    <w:rsid w:val="00431540"/>
    <w:rsid w:val="00434746"/>
    <w:rsid w:val="00442E5D"/>
    <w:rsid w:val="00443FC1"/>
    <w:rsid w:val="00444E18"/>
    <w:rsid w:val="00451D8F"/>
    <w:rsid w:val="00455FBB"/>
    <w:rsid w:val="0045645E"/>
    <w:rsid w:val="00460348"/>
    <w:rsid w:val="004610F4"/>
    <w:rsid w:val="00462355"/>
    <w:rsid w:val="00467189"/>
    <w:rsid w:val="00474DC0"/>
    <w:rsid w:val="004824A0"/>
    <w:rsid w:val="00483BD4"/>
    <w:rsid w:val="0049129A"/>
    <w:rsid w:val="00491949"/>
    <w:rsid w:val="00494104"/>
    <w:rsid w:val="004A6CDE"/>
    <w:rsid w:val="004B1394"/>
    <w:rsid w:val="004B38A7"/>
    <w:rsid w:val="004B3DCA"/>
    <w:rsid w:val="004C46F9"/>
    <w:rsid w:val="004D6CE9"/>
    <w:rsid w:val="004E0290"/>
    <w:rsid w:val="004E0579"/>
    <w:rsid w:val="004E7E9B"/>
    <w:rsid w:val="004F3E4A"/>
    <w:rsid w:val="004F4A15"/>
    <w:rsid w:val="004F5D11"/>
    <w:rsid w:val="00506189"/>
    <w:rsid w:val="005078C9"/>
    <w:rsid w:val="00513DB4"/>
    <w:rsid w:val="00515E3F"/>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4065"/>
    <w:rsid w:val="005A0445"/>
    <w:rsid w:val="005B6262"/>
    <w:rsid w:val="005C5EDA"/>
    <w:rsid w:val="005D4A9C"/>
    <w:rsid w:val="005D7CC2"/>
    <w:rsid w:val="005E3FBC"/>
    <w:rsid w:val="005E415D"/>
    <w:rsid w:val="005F36BF"/>
    <w:rsid w:val="005F5E78"/>
    <w:rsid w:val="00601230"/>
    <w:rsid w:val="006031A6"/>
    <w:rsid w:val="006061B3"/>
    <w:rsid w:val="0062060E"/>
    <w:rsid w:val="006214E0"/>
    <w:rsid w:val="00621502"/>
    <w:rsid w:val="0063799C"/>
    <w:rsid w:val="006422BB"/>
    <w:rsid w:val="006515D3"/>
    <w:rsid w:val="00652D0B"/>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C24A0"/>
    <w:rsid w:val="006C4E9A"/>
    <w:rsid w:val="006C6A0A"/>
    <w:rsid w:val="006C7081"/>
    <w:rsid w:val="006D3FBA"/>
    <w:rsid w:val="006D4A7E"/>
    <w:rsid w:val="006E1838"/>
    <w:rsid w:val="006E19E7"/>
    <w:rsid w:val="006E3045"/>
    <w:rsid w:val="006F411C"/>
    <w:rsid w:val="006F6241"/>
    <w:rsid w:val="006F71E4"/>
    <w:rsid w:val="007001C3"/>
    <w:rsid w:val="00701DB9"/>
    <w:rsid w:val="007068F0"/>
    <w:rsid w:val="00711B55"/>
    <w:rsid w:val="00712729"/>
    <w:rsid w:val="007160CD"/>
    <w:rsid w:val="00721734"/>
    <w:rsid w:val="00724121"/>
    <w:rsid w:val="0073038F"/>
    <w:rsid w:val="00734124"/>
    <w:rsid w:val="00735E3D"/>
    <w:rsid w:val="00741C01"/>
    <w:rsid w:val="007465B1"/>
    <w:rsid w:val="00756D7C"/>
    <w:rsid w:val="0076511C"/>
    <w:rsid w:val="00765872"/>
    <w:rsid w:val="00766EA4"/>
    <w:rsid w:val="00767F39"/>
    <w:rsid w:val="00770B4A"/>
    <w:rsid w:val="00785B7F"/>
    <w:rsid w:val="00787DB4"/>
    <w:rsid w:val="0079034F"/>
    <w:rsid w:val="00790F44"/>
    <w:rsid w:val="0079633A"/>
    <w:rsid w:val="007A3A0C"/>
    <w:rsid w:val="007A4DDA"/>
    <w:rsid w:val="007A72A6"/>
    <w:rsid w:val="007B6E6F"/>
    <w:rsid w:val="007D3592"/>
    <w:rsid w:val="007D4247"/>
    <w:rsid w:val="007D57F4"/>
    <w:rsid w:val="007E7684"/>
    <w:rsid w:val="007F1255"/>
    <w:rsid w:val="007F189C"/>
    <w:rsid w:val="007F1A1A"/>
    <w:rsid w:val="007F23C1"/>
    <w:rsid w:val="007F416A"/>
    <w:rsid w:val="00801216"/>
    <w:rsid w:val="0080149E"/>
    <w:rsid w:val="00801A57"/>
    <w:rsid w:val="008113DB"/>
    <w:rsid w:val="008118C5"/>
    <w:rsid w:val="00812B2C"/>
    <w:rsid w:val="00815852"/>
    <w:rsid w:val="0082268E"/>
    <w:rsid w:val="00824ECA"/>
    <w:rsid w:val="00827344"/>
    <w:rsid w:val="00837347"/>
    <w:rsid w:val="00842D10"/>
    <w:rsid w:val="00855C06"/>
    <w:rsid w:val="008639F8"/>
    <w:rsid w:val="00886B6B"/>
    <w:rsid w:val="00890B61"/>
    <w:rsid w:val="0089121C"/>
    <w:rsid w:val="00893F34"/>
    <w:rsid w:val="008940B9"/>
    <w:rsid w:val="008C2668"/>
    <w:rsid w:val="008C378F"/>
    <w:rsid w:val="008C4020"/>
    <w:rsid w:val="008D08CB"/>
    <w:rsid w:val="008D0915"/>
    <w:rsid w:val="008D0E69"/>
    <w:rsid w:val="008D2459"/>
    <w:rsid w:val="008D3A00"/>
    <w:rsid w:val="008E1088"/>
    <w:rsid w:val="008E4D15"/>
    <w:rsid w:val="008E5565"/>
    <w:rsid w:val="008F48F5"/>
    <w:rsid w:val="0090015C"/>
    <w:rsid w:val="00901D97"/>
    <w:rsid w:val="00902852"/>
    <w:rsid w:val="00905629"/>
    <w:rsid w:val="00911339"/>
    <w:rsid w:val="009116D4"/>
    <w:rsid w:val="0091765C"/>
    <w:rsid w:val="0091789D"/>
    <w:rsid w:val="00920FBB"/>
    <w:rsid w:val="00926C0D"/>
    <w:rsid w:val="00933CD1"/>
    <w:rsid w:val="00940D84"/>
    <w:rsid w:val="009453D5"/>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944F5"/>
    <w:rsid w:val="009A1727"/>
    <w:rsid w:val="009A4E90"/>
    <w:rsid w:val="009B3DFA"/>
    <w:rsid w:val="009C36E2"/>
    <w:rsid w:val="009C387E"/>
    <w:rsid w:val="009C5674"/>
    <w:rsid w:val="009D4ACC"/>
    <w:rsid w:val="009D56A3"/>
    <w:rsid w:val="009D6D64"/>
    <w:rsid w:val="009D7C40"/>
    <w:rsid w:val="009E0B63"/>
    <w:rsid w:val="009E26E5"/>
    <w:rsid w:val="009E6482"/>
    <w:rsid w:val="009F0727"/>
    <w:rsid w:val="009F33C8"/>
    <w:rsid w:val="009F58CF"/>
    <w:rsid w:val="00A057CB"/>
    <w:rsid w:val="00A0777F"/>
    <w:rsid w:val="00A106DC"/>
    <w:rsid w:val="00A156CA"/>
    <w:rsid w:val="00A1796B"/>
    <w:rsid w:val="00A224D2"/>
    <w:rsid w:val="00A313B0"/>
    <w:rsid w:val="00A3184A"/>
    <w:rsid w:val="00A344FC"/>
    <w:rsid w:val="00A37B21"/>
    <w:rsid w:val="00A4056B"/>
    <w:rsid w:val="00A453A4"/>
    <w:rsid w:val="00A46B87"/>
    <w:rsid w:val="00A51BE6"/>
    <w:rsid w:val="00A534E7"/>
    <w:rsid w:val="00A60AA9"/>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B2336"/>
    <w:rsid w:val="00AB45A2"/>
    <w:rsid w:val="00AB5892"/>
    <w:rsid w:val="00AB61BF"/>
    <w:rsid w:val="00AC58F0"/>
    <w:rsid w:val="00AC626F"/>
    <w:rsid w:val="00AC6A0C"/>
    <w:rsid w:val="00AD69C1"/>
    <w:rsid w:val="00AE115F"/>
    <w:rsid w:val="00AE1EAB"/>
    <w:rsid w:val="00AE545C"/>
    <w:rsid w:val="00AF259E"/>
    <w:rsid w:val="00AF2CC2"/>
    <w:rsid w:val="00AF4046"/>
    <w:rsid w:val="00B02C42"/>
    <w:rsid w:val="00B03DAC"/>
    <w:rsid w:val="00B05287"/>
    <w:rsid w:val="00B0636C"/>
    <w:rsid w:val="00B12690"/>
    <w:rsid w:val="00B226DA"/>
    <w:rsid w:val="00B23638"/>
    <w:rsid w:val="00B2368E"/>
    <w:rsid w:val="00B244FA"/>
    <w:rsid w:val="00B40BCF"/>
    <w:rsid w:val="00B43DF8"/>
    <w:rsid w:val="00B45447"/>
    <w:rsid w:val="00B466D9"/>
    <w:rsid w:val="00B54FBA"/>
    <w:rsid w:val="00B5625D"/>
    <w:rsid w:val="00B642AB"/>
    <w:rsid w:val="00B75E42"/>
    <w:rsid w:val="00B939EC"/>
    <w:rsid w:val="00B9628F"/>
    <w:rsid w:val="00BA007E"/>
    <w:rsid w:val="00BA6F2C"/>
    <w:rsid w:val="00BB04A2"/>
    <w:rsid w:val="00BB2B08"/>
    <w:rsid w:val="00BB3868"/>
    <w:rsid w:val="00BB39D6"/>
    <w:rsid w:val="00BB5E8C"/>
    <w:rsid w:val="00BB7794"/>
    <w:rsid w:val="00BC4599"/>
    <w:rsid w:val="00BD2C8C"/>
    <w:rsid w:val="00BE2AE3"/>
    <w:rsid w:val="00BE3832"/>
    <w:rsid w:val="00BE45A7"/>
    <w:rsid w:val="00BF2A00"/>
    <w:rsid w:val="00C0256F"/>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0CE1"/>
    <w:rsid w:val="00C71B85"/>
    <w:rsid w:val="00C73DEF"/>
    <w:rsid w:val="00C73E99"/>
    <w:rsid w:val="00C7693F"/>
    <w:rsid w:val="00C80312"/>
    <w:rsid w:val="00C95A4D"/>
    <w:rsid w:val="00CA2B09"/>
    <w:rsid w:val="00CA7987"/>
    <w:rsid w:val="00CB7500"/>
    <w:rsid w:val="00CC4D70"/>
    <w:rsid w:val="00CD7F28"/>
    <w:rsid w:val="00CE3538"/>
    <w:rsid w:val="00CE7004"/>
    <w:rsid w:val="00CF1456"/>
    <w:rsid w:val="00CF7444"/>
    <w:rsid w:val="00D00370"/>
    <w:rsid w:val="00D00685"/>
    <w:rsid w:val="00D02EE4"/>
    <w:rsid w:val="00D062DD"/>
    <w:rsid w:val="00D07E84"/>
    <w:rsid w:val="00D114D8"/>
    <w:rsid w:val="00D1168D"/>
    <w:rsid w:val="00D14D2C"/>
    <w:rsid w:val="00D1767F"/>
    <w:rsid w:val="00D21085"/>
    <w:rsid w:val="00D220AB"/>
    <w:rsid w:val="00D35E7C"/>
    <w:rsid w:val="00D36462"/>
    <w:rsid w:val="00D37F87"/>
    <w:rsid w:val="00D46B95"/>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D7C70"/>
    <w:rsid w:val="00DE6EDE"/>
    <w:rsid w:val="00DE7071"/>
    <w:rsid w:val="00DE73A8"/>
    <w:rsid w:val="00DF4011"/>
    <w:rsid w:val="00DF45B8"/>
    <w:rsid w:val="00DF4CBA"/>
    <w:rsid w:val="00DF7C86"/>
    <w:rsid w:val="00E03657"/>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5740"/>
    <w:rsid w:val="00E8599F"/>
    <w:rsid w:val="00E8694C"/>
    <w:rsid w:val="00E96C4D"/>
    <w:rsid w:val="00EA79D3"/>
    <w:rsid w:val="00EC24E2"/>
    <w:rsid w:val="00EC2ED3"/>
    <w:rsid w:val="00EC6958"/>
    <w:rsid w:val="00ED532A"/>
    <w:rsid w:val="00ED5F47"/>
    <w:rsid w:val="00ED6CA3"/>
    <w:rsid w:val="00EE1392"/>
    <w:rsid w:val="00EE1F1A"/>
    <w:rsid w:val="00EE20DD"/>
    <w:rsid w:val="00EE4FEA"/>
    <w:rsid w:val="00EE7252"/>
    <w:rsid w:val="00EF0D34"/>
    <w:rsid w:val="00EF2300"/>
    <w:rsid w:val="00EF6D7A"/>
    <w:rsid w:val="00F00B2A"/>
    <w:rsid w:val="00F03A52"/>
    <w:rsid w:val="00F0496D"/>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1FB8"/>
    <w:rsid w:val="00F83737"/>
    <w:rsid w:val="00F937EC"/>
    <w:rsid w:val="00F93FF4"/>
    <w:rsid w:val="00FA588C"/>
    <w:rsid w:val="00FA684B"/>
    <w:rsid w:val="00FC3C66"/>
    <w:rsid w:val="00FC63F9"/>
    <w:rsid w:val="00FC71BD"/>
    <w:rsid w:val="00FD3D99"/>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BEE4FB"/>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unhideWhenUsed/>
    <w:rsid w:val="00C70CE1"/>
    <w:pPr>
      <w:spacing w:after="17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DB3B-A8AE-484F-9AAA-283699A4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Sippel Sebastian</cp:lastModifiedBy>
  <cp:revision>3</cp:revision>
  <cp:lastPrinted>2020-07-15T14:26:00Z</cp:lastPrinted>
  <dcterms:created xsi:type="dcterms:W3CDTF">2020-11-17T08:31:00Z</dcterms:created>
  <dcterms:modified xsi:type="dcterms:W3CDTF">2020-11-17T08:50:00Z</dcterms:modified>
</cp:coreProperties>
</file>