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D093D" w14:textId="77777777" w:rsidR="00D7293E" w:rsidRDefault="00D7293E" w:rsidP="00D7293E">
      <w:pPr>
        <w:pStyle w:val="titel"/>
        <w:spacing w:before="283"/>
        <w:jc w:val="center"/>
        <w:rPr>
          <w:rFonts w:ascii="Titillium-Regular" w:hAnsi="Titillium-Regular" w:cs="Titillium-Regular"/>
          <w:color w:val="1C1C1B"/>
          <w:sz w:val="24"/>
          <w:szCs w:val="24"/>
        </w:rPr>
      </w:pPr>
      <w:r>
        <w:rPr>
          <w:rFonts w:ascii="Titillium-Regular" w:hAnsi="Titillium-Regular" w:cs="Titillium-Regular"/>
          <w:color w:val="1C1C1B"/>
          <w:sz w:val="24"/>
          <w:szCs w:val="24"/>
        </w:rPr>
        <w:t xml:space="preserve">Herzlich willkommen am </w:t>
      </w:r>
      <w:proofErr w:type="spellStart"/>
      <w:r>
        <w:rPr>
          <w:rFonts w:ascii="Titillium-Regular" w:hAnsi="Titillium-Regular" w:cs="Titillium-Regular"/>
          <w:color w:val="1C1C1B"/>
          <w:sz w:val="24"/>
          <w:szCs w:val="24"/>
        </w:rPr>
        <w:t>Goetheanum</w:t>
      </w:r>
      <w:proofErr w:type="spellEnd"/>
    </w:p>
    <w:p w14:paraId="7508634A" w14:textId="77777777" w:rsidR="00D7293E" w:rsidRDefault="00D7293E" w:rsidP="00D7293E">
      <w:pPr>
        <w:pStyle w:val="titel"/>
        <w:spacing w:before="113"/>
        <w:jc w:val="center"/>
        <w:rPr>
          <w:rFonts w:ascii="Titillium-Regular" w:hAnsi="Titillium-Regular" w:cs="Titillium-Regular"/>
          <w:color w:val="1C1C1B"/>
          <w:sz w:val="24"/>
          <w:szCs w:val="24"/>
        </w:rPr>
      </w:pPr>
      <w:r>
        <w:rPr>
          <w:rFonts w:ascii="Titillium-Regular" w:hAnsi="Titillium-Regular" w:cs="Titillium-Regular"/>
          <w:color w:val="1C1C1B"/>
          <w:sz w:val="24"/>
          <w:szCs w:val="24"/>
        </w:rPr>
        <w:t xml:space="preserve">zum Medienevent </w:t>
      </w:r>
    </w:p>
    <w:p w14:paraId="5DD610EE" w14:textId="77777777" w:rsidR="00D7293E" w:rsidRDefault="00D7293E" w:rsidP="00D7293E">
      <w:pPr>
        <w:pStyle w:val="titel"/>
        <w:spacing w:before="227"/>
        <w:jc w:val="center"/>
        <w:rPr>
          <w:color w:val="1C1C1B"/>
          <w:sz w:val="34"/>
          <w:szCs w:val="34"/>
        </w:rPr>
      </w:pPr>
      <w:r>
        <w:rPr>
          <w:color w:val="1C1C1B"/>
          <w:sz w:val="34"/>
          <w:szCs w:val="34"/>
        </w:rPr>
        <w:t>Neuinszenierung von</w:t>
      </w:r>
    </w:p>
    <w:p w14:paraId="78546ED2" w14:textId="77777777" w:rsidR="00D7293E" w:rsidRDefault="00D7293E" w:rsidP="00D7293E">
      <w:pPr>
        <w:pStyle w:val="titel"/>
        <w:spacing w:before="113"/>
        <w:jc w:val="center"/>
        <w:rPr>
          <w:color w:val="1C1C1B"/>
          <w:sz w:val="34"/>
          <w:szCs w:val="34"/>
        </w:rPr>
      </w:pPr>
      <w:r>
        <w:rPr>
          <w:color w:val="1C1C1B"/>
          <w:sz w:val="34"/>
          <w:szCs w:val="34"/>
        </w:rPr>
        <w:t>Goethes ‹Faust 1 und 2› (ungekürzt)</w:t>
      </w:r>
    </w:p>
    <w:p w14:paraId="5A2C71DD" w14:textId="77777777" w:rsidR="00D7293E" w:rsidRDefault="00D7293E" w:rsidP="00D7293E">
      <w:pPr>
        <w:pStyle w:val="body"/>
        <w:spacing w:before="227"/>
        <w:jc w:val="center"/>
        <w:rPr>
          <w:rFonts w:ascii="Titillium-Regular" w:hAnsi="Titillium-Regular" w:cs="Titillium-Regular"/>
          <w:color w:val="1C1C1B"/>
          <w:sz w:val="24"/>
          <w:szCs w:val="24"/>
        </w:rPr>
      </w:pPr>
      <w:r>
        <w:rPr>
          <w:rFonts w:ascii="Titillium-Regular" w:hAnsi="Titillium-Regular" w:cs="Titillium-Regular"/>
          <w:color w:val="1C1C1B"/>
          <w:sz w:val="24"/>
          <w:szCs w:val="24"/>
        </w:rPr>
        <w:t>21. März 2016</w:t>
      </w:r>
    </w:p>
    <w:p w14:paraId="7619039F" w14:textId="77777777" w:rsidR="00D7293E" w:rsidRDefault="00D7293E" w:rsidP="00D7293E">
      <w:pPr>
        <w:pStyle w:val="titel"/>
        <w:spacing w:before="510"/>
        <w:jc w:val="center"/>
        <w:rPr>
          <w:rFonts w:ascii="Titillium-Bold" w:hAnsi="Titillium-Bold" w:cs="Titillium-Bold"/>
          <w:b/>
          <w:bCs/>
          <w:color w:val="1C1C1B"/>
          <w:sz w:val="24"/>
          <w:szCs w:val="24"/>
        </w:rPr>
      </w:pPr>
    </w:p>
    <w:p w14:paraId="38ACF0E2" w14:textId="77777777" w:rsidR="00D7293E" w:rsidRDefault="00D7293E" w:rsidP="00D7293E">
      <w:pPr>
        <w:pStyle w:val="titel"/>
        <w:spacing w:before="170"/>
        <w:jc w:val="center"/>
        <w:rPr>
          <w:rFonts w:ascii="Titillium-Regular" w:hAnsi="Titillium-Regular" w:cs="Titillium-Regular"/>
          <w:color w:val="1C1C1B"/>
          <w:sz w:val="24"/>
          <w:szCs w:val="24"/>
        </w:rPr>
      </w:pPr>
    </w:p>
    <w:p w14:paraId="5DA1ED55" w14:textId="77777777" w:rsidR="00D7293E" w:rsidRDefault="00D7293E" w:rsidP="00D7293E">
      <w:pPr>
        <w:pStyle w:val="titel"/>
        <w:rPr>
          <w:sz w:val="28"/>
          <w:szCs w:val="28"/>
        </w:rPr>
      </w:pPr>
    </w:p>
    <w:p w14:paraId="281AD0EA" w14:textId="77777777" w:rsidR="00D7293E" w:rsidRDefault="00D7293E" w:rsidP="00D7293E">
      <w:pPr>
        <w:pStyle w:val="body"/>
      </w:pPr>
    </w:p>
    <w:p w14:paraId="27CD5E3A" w14:textId="77777777" w:rsidR="00D7293E" w:rsidRDefault="00D7293E" w:rsidP="00D7293E">
      <w:pPr>
        <w:pStyle w:val="body"/>
        <w:rPr>
          <w:rFonts w:ascii="Titillium-Regular" w:hAnsi="Titillium-Regular" w:cs="Titillium-Regular"/>
        </w:rPr>
      </w:pPr>
      <w:r>
        <w:rPr>
          <w:rFonts w:ascii="Titillium-Semibold" w:hAnsi="Titillium-Semibold" w:cs="Titillium-Semibold"/>
        </w:rPr>
        <w:t>Programm</w:t>
      </w:r>
    </w:p>
    <w:p w14:paraId="0CA499E9" w14:textId="77777777" w:rsidR="00D7293E" w:rsidRDefault="00D7293E" w:rsidP="00D7293E">
      <w:pPr>
        <w:pStyle w:val="body"/>
        <w:tabs>
          <w:tab w:val="right" w:pos="1240"/>
          <w:tab w:val="left" w:pos="1640"/>
          <w:tab w:val="left" w:pos="3140"/>
        </w:tabs>
        <w:rPr>
          <w:rFonts w:ascii="Titillium-Regular" w:hAnsi="Titillium-Regular" w:cs="Titillium-Regular"/>
        </w:rPr>
      </w:pPr>
    </w:p>
    <w:p w14:paraId="21B13406" w14:textId="77777777" w:rsidR="00D7293E" w:rsidRDefault="00D7293E" w:rsidP="00D7293E">
      <w:pPr>
        <w:pStyle w:val="body"/>
        <w:tabs>
          <w:tab w:val="right" w:pos="1240"/>
          <w:tab w:val="left" w:pos="1640"/>
          <w:tab w:val="left" w:pos="3140"/>
        </w:tabs>
        <w:rPr>
          <w:rFonts w:ascii="Titillium-Regular" w:hAnsi="Titillium-Regular" w:cs="Titillium-Regular"/>
        </w:rPr>
      </w:pPr>
      <w:r>
        <w:rPr>
          <w:rFonts w:ascii="Titillium-Regular" w:hAnsi="Titillium-Regular" w:cs="Titillium-Regular"/>
        </w:rPr>
        <w:t>ab 10.45</w:t>
      </w:r>
      <w:r>
        <w:rPr>
          <w:rFonts w:ascii="Titillium-Regular" w:hAnsi="Titillium-Regular" w:cs="Titillium-Regular"/>
        </w:rPr>
        <w:tab/>
        <w:t>Uhr</w:t>
      </w:r>
      <w:r>
        <w:rPr>
          <w:rFonts w:ascii="Titillium-Regular" w:hAnsi="Titillium-Regular" w:cs="Titillium-Regular"/>
        </w:rPr>
        <w:tab/>
        <w:t>Konferenzsaal</w:t>
      </w:r>
      <w:r>
        <w:rPr>
          <w:rFonts w:ascii="Titillium-Regular" w:hAnsi="Titillium-Regular" w:cs="Titillium-Regular"/>
        </w:rPr>
        <w:tab/>
        <w:t xml:space="preserve">Willkommen am </w:t>
      </w:r>
      <w:proofErr w:type="spellStart"/>
      <w:r>
        <w:rPr>
          <w:rFonts w:ascii="Titillium-Regular" w:hAnsi="Titillium-Regular" w:cs="Titillium-Regular"/>
        </w:rPr>
        <w:t>Goetheanum</w:t>
      </w:r>
      <w:proofErr w:type="spellEnd"/>
      <w:r>
        <w:rPr>
          <w:rFonts w:ascii="Titillium-Regular" w:hAnsi="Titillium-Regular" w:cs="Titillium-Regular"/>
        </w:rPr>
        <w:tab/>
      </w:r>
    </w:p>
    <w:p w14:paraId="26257C62" w14:textId="77777777" w:rsidR="00D7293E" w:rsidRDefault="00D7293E" w:rsidP="00D7293E">
      <w:pPr>
        <w:pStyle w:val="body"/>
        <w:tabs>
          <w:tab w:val="right" w:pos="1240"/>
          <w:tab w:val="left" w:pos="1640"/>
          <w:tab w:val="left" w:pos="3140"/>
        </w:tabs>
        <w:rPr>
          <w:rFonts w:ascii="Titillium-Regular" w:hAnsi="Titillium-Regular" w:cs="Titillium-Regular"/>
        </w:rPr>
      </w:pPr>
    </w:p>
    <w:p w14:paraId="072189E8" w14:textId="77777777" w:rsidR="00D7293E" w:rsidRDefault="00D7293E" w:rsidP="00D7293E">
      <w:pPr>
        <w:pStyle w:val="body"/>
        <w:tabs>
          <w:tab w:val="right" w:pos="1240"/>
          <w:tab w:val="left" w:pos="1640"/>
          <w:tab w:val="left" w:pos="3140"/>
        </w:tabs>
        <w:rPr>
          <w:rFonts w:ascii="Titillium-Semibold" w:hAnsi="Titillium-Semibold" w:cs="Titillium-Semibold"/>
        </w:rPr>
      </w:pPr>
      <w:r>
        <w:rPr>
          <w:rStyle w:val="fett"/>
        </w:rPr>
        <w:t xml:space="preserve">      11.10</w:t>
      </w:r>
      <w:r>
        <w:rPr>
          <w:rStyle w:val="fett"/>
        </w:rPr>
        <w:tab/>
        <w:t>Uhr</w:t>
      </w:r>
      <w:r>
        <w:rPr>
          <w:rStyle w:val="fett"/>
        </w:rPr>
        <w:tab/>
      </w:r>
      <w:proofErr w:type="spellStart"/>
      <w:r>
        <w:rPr>
          <w:rStyle w:val="fett"/>
        </w:rPr>
        <w:t>Grosser</w:t>
      </w:r>
      <w:proofErr w:type="spellEnd"/>
      <w:r>
        <w:rPr>
          <w:rStyle w:val="fett"/>
        </w:rPr>
        <w:t xml:space="preserve"> Saal</w:t>
      </w:r>
      <w:r>
        <w:rPr>
          <w:rStyle w:val="fett"/>
        </w:rPr>
        <w:tab/>
        <w:t>Generalprobe</w:t>
      </w:r>
      <w:r>
        <w:rPr>
          <w:rFonts w:ascii="Titillium-Semibold" w:hAnsi="Titillium-Semibold" w:cs="Titillium-Semibold"/>
        </w:rPr>
        <w:t xml:space="preserve">: </w:t>
      </w:r>
    </w:p>
    <w:p w14:paraId="2CB435A4" w14:textId="77777777" w:rsidR="00D7293E" w:rsidRDefault="00D7293E" w:rsidP="00D7293E">
      <w:pPr>
        <w:pStyle w:val="body"/>
        <w:tabs>
          <w:tab w:val="right" w:pos="1240"/>
          <w:tab w:val="left" w:pos="1640"/>
          <w:tab w:val="left" w:pos="3140"/>
        </w:tabs>
        <w:rPr>
          <w:rFonts w:ascii="Titillium-Semibold" w:hAnsi="Titillium-Semibold" w:cs="Titillium-Semibold"/>
        </w:rPr>
      </w:pPr>
      <w:r>
        <w:rPr>
          <w:rFonts w:ascii="Titillium-Semibold" w:hAnsi="Titillium-Semibold" w:cs="Titillium-Semibold"/>
        </w:rPr>
        <w:tab/>
      </w:r>
      <w:r>
        <w:rPr>
          <w:rFonts w:ascii="Titillium-Semibold" w:hAnsi="Titillium-Semibold" w:cs="Titillium-Semibold"/>
        </w:rPr>
        <w:tab/>
      </w:r>
      <w:r>
        <w:rPr>
          <w:rFonts w:ascii="Titillium-Semibold" w:hAnsi="Titillium-Semibold" w:cs="Titillium-Semibold"/>
        </w:rPr>
        <w:tab/>
        <w:t>Einblick in Szenen von ‹Faust 1›</w:t>
      </w:r>
    </w:p>
    <w:p w14:paraId="187A9C70" w14:textId="77777777" w:rsidR="00D7293E" w:rsidRDefault="00D7293E" w:rsidP="00D7293E">
      <w:pPr>
        <w:pStyle w:val="body"/>
        <w:tabs>
          <w:tab w:val="right" w:pos="1240"/>
          <w:tab w:val="left" w:pos="1640"/>
          <w:tab w:val="left" w:pos="3140"/>
        </w:tabs>
        <w:spacing w:before="113"/>
        <w:rPr>
          <w:rFonts w:ascii="Titillium-Regular" w:hAnsi="Titillium-Regular" w:cs="Titillium-Regular"/>
        </w:rPr>
      </w:pPr>
      <w:r>
        <w:rPr>
          <w:rFonts w:ascii="Titillium-Regular" w:hAnsi="Titillium-Regular" w:cs="Titillium-Regular"/>
        </w:rPr>
        <w:tab/>
      </w:r>
      <w:r>
        <w:rPr>
          <w:rFonts w:ascii="Titillium-Regular" w:hAnsi="Titillium-Regular" w:cs="Titillium-Regular"/>
        </w:rPr>
        <w:tab/>
      </w:r>
      <w:r>
        <w:rPr>
          <w:rFonts w:ascii="Titillium-Regular" w:hAnsi="Titillium-Regular" w:cs="Titillium-Regular"/>
        </w:rPr>
        <w:tab/>
        <w:t>Osterspaziergang</w:t>
      </w:r>
      <w:r>
        <w:rPr>
          <w:rFonts w:ascii="Titillium-Regular" w:hAnsi="Titillium-Regular" w:cs="Titillium-Regular"/>
        </w:rPr>
        <w:tab/>
        <w:t>(ca. 28 Minuten)</w:t>
      </w:r>
    </w:p>
    <w:p w14:paraId="32D02F95" w14:textId="77777777" w:rsidR="00D7293E" w:rsidRDefault="00D7293E" w:rsidP="00D7293E">
      <w:pPr>
        <w:pStyle w:val="body"/>
        <w:tabs>
          <w:tab w:val="right" w:pos="1240"/>
          <w:tab w:val="left" w:pos="1640"/>
          <w:tab w:val="left" w:pos="3140"/>
        </w:tabs>
        <w:spacing w:before="113"/>
        <w:rPr>
          <w:rFonts w:ascii="Titillium-Regular" w:hAnsi="Titillium-Regular" w:cs="Titillium-Regular"/>
        </w:rPr>
      </w:pPr>
      <w:r>
        <w:rPr>
          <w:rFonts w:ascii="Titillium-Regular" w:hAnsi="Titillium-Regular" w:cs="Titillium-Regular"/>
        </w:rPr>
        <w:tab/>
      </w:r>
      <w:r>
        <w:rPr>
          <w:rFonts w:ascii="Titillium-Regular" w:hAnsi="Titillium-Regular" w:cs="Titillium-Regular"/>
        </w:rPr>
        <w:tab/>
      </w:r>
      <w:r>
        <w:rPr>
          <w:rFonts w:ascii="Titillium-Regular" w:hAnsi="Titillium-Regular" w:cs="Titillium-Regular"/>
        </w:rPr>
        <w:tab/>
        <w:t xml:space="preserve">Studierzimmer 1 </w:t>
      </w:r>
      <w:r>
        <w:rPr>
          <w:rFonts w:ascii="Titillium-Regular" w:hAnsi="Titillium-Regular" w:cs="Titillium-Regular"/>
        </w:rPr>
        <w:tab/>
        <w:t xml:space="preserve">(ca. 24 Minuten) </w:t>
      </w:r>
    </w:p>
    <w:p w14:paraId="77BE3820" w14:textId="77777777" w:rsidR="00D7293E" w:rsidRDefault="00D7293E" w:rsidP="00D7293E">
      <w:pPr>
        <w:pStyle w:val="body"/>
        <w:tabs>
          <w:tab w:val="right" w:pos="1240"/>
          <w:tab w:val="left" w:pos="1640"/>
          <w:tab w:val="left" w:pos="3140"/>
        </w:tabs>
        <w:rPr>
          <w:rFonts w:ascii="Titillium-Regular" w:hAnsi="Titillium-Regular" w:cs="Titillium-Regular"/>
        </w:rPr>
      </w:pPr>
    </w:p>
    <w:p w14:paraId="577C0B06" w14:textId="77777777" w:rsidR="00D7293E" w:rsidRDefault="00D7293E" w:rsidP="00D7293E">
      <w:pPr>
        <w:pStyle w:val="body"/>
        <w:tabs>
          <w:tab w:val="right" w:pos="1240"/>
          <w:tab w:val="left" w:pos="1640"/>
          <w:tab w:val="left" w:pos="3140"/>
        </w:tabs>
        <w:rPr>
          <w:rFonts w:ascii="Titillium-Regular" w:hAnsi="Titillium-Regular" w:cs="Titillium-Regular"/>
        </w:rPr>
      </w:pPr>
      <w:r>
        <w:rPr>
          <w:rFonts w:ascii="Titillium-Regular" w:hAnsi="Titillium-Regular" w:cs="Titillium-Regular"/>
        </w:rPr>
        <w:t xml:space="preserve"> ab 12.05</w:t>
      </w:r>
      <w:r>
        <w:rPr>
          <w:rFonts w:ascii="Titillium-Regular" w:hAnsi="Titillium-Regular" w:cs="Titillium-Regular"/>
        </w:rPr>
        <w:tab/>
        <w:t>Uhr</w:t>
      </w:r>
      <w:r>
        <w:rPr>
          <w:rFonts w:ascii="Titillium-Regular" w:hAnsi="Titillium-Regular" w:cs="Titillium-Regular"/>
        </w:rPr>
        <w:tab/>
        <w:t>Konferenzsaal</w:t>
      </w:r>
      <w:r>
        <w:rPr>
          <w:rFonts w:ascii="Titillium-Regular" w:hAnsi="Titillium-Regular" w:cs="Titillium-Regular"/>
        </w:rPr>
        <w:tab/>
      </w:r>
      <w:proofErr w:type="spellStart"/>
      <w:r>
        <w:rPr>
          <w:rFonts w:ascii="Titillium-Regular" w:hAnsi="Titillium-Regular" w:cs="Titillium-Regular"/>
        </w:rPr>
        <w:t>Apéro</w:t>
      </w:r>
      <w:proofErr w:type="spellEnd"/>
    </w:p>
    <w:p w14:paraId="4CBFD87E" w14:textId="77777777" w:rsidR="00D7293E" w:rsidRDefault="00D7293E" w:rsidP="00D7293E">
      <w:pPr>
        <w:pStyle w:val="body"/>
        <w:tabs>
          <w:tab w:val="right" w:pos="1240"/>
          <w:tab w:val="left" w:pos="1640"/>
          <w:tab w:val="left" w:pos="3140"/>
        </w:tabs>
        <w:rPr>
          <w:rFonts w:ascii="Titillium-Regular" w:hAnsi="Titillium-Regular" w:cs="Titillium-Regular"/>
        </w:rPr>
      </w:pPr>
    </w:p>
    <w:p w14:paraId="76E14884" w14:textId="77777777" w:rsidR="00D7293E" w:rsidRDefault="00D7293E" w:rsidP="00D7293E">
      <w:pPr>
        <w:pStyle w:val="body"/>
        <w:tabs>
          <w:tab w:val="right" w:pos="1240"/>
          <w:tab w:val="left" w:pos="1640"/>
          <w:tab w:val="left" w:pos="3140"/>
        </w:tabs>
        <w:rPr>
          <w:rFonts w:ascii="Titillium-Semibold" w:hAnsi="Titillium-Semibold" w:cs="Titillium-Semibold"/>
        </w:rPr>
      </w:pPr>
      <w:r>
        <w:rPr>
          <w:rStyle w:val="fett"/>
        </w:rPr>
        <w:t xml:space="preserve">      12.30</w:t>
      </w:r>
      <w:r>
        <w:rPr>
          <w:rStyle w:val="fett"/>
        </w:rPr>
        <w:tab/>
        <w:t>Uhr</w:t>
      </w:r>
      <w:r>
        <w:rPr>
          <w:rStyle w:val="fett"/>
        </w:rPr>
        <w:tab/>
        <w:t>Konferenzsaal</w:t>
      </w:r>
      <w:r>
        <w:rPr>
          <w:rStyle w:val="fett"/>
        </w:rPr>
        <w:tab/>
        <w:t xml:space="preserve">Pressekonferenz: </w:t>
      </w:r>
      <w:r>
        <w:rPr>
          <w:rFonts w:ascii="Titillium-Semibold" w:hAnsi="Titillium-Semibold" w:cs="Titillium-Semibold"/>
        </w:rPr>
        <w:t xml:space="preserve"> </w:t>
      </w:r>
      <w:r>
        <w:rPr>
          <w:rFonts w:ascii="Titillium-Semibold" w:hAnsi="Titillium-Semibold" w:cs="Titillium-Semibold"/>
        </w:rPr>
        <w:br/>
      </w:r>
      <w:r>
        <w:rPr>
          <w:rFonts w:ascii="Titillium-Semibold" w:hAnsi="Titillium-Semibold" w:cs="Titillium-Semibold"/>
        </w:rPr>
        <w:tab/>
      </w:r>
      <w:r>
        <w:rPr>
          <w:rFonts w:ascii="Titillium-Semibold" w:hAnsi="Titillium-Semibold" w:cs="Titillium-Semibold"/>
        </w:rPr>
        <w:tab/>
      </w:r>
      <w:r>
        <w:rPr>
          <w:rFonts w:ascii="Titillium-Semibold" w:hAnsi="Titillium-Semibold" w:cs="Titillium-Semibold"/>
        </w:rPr>
        <w:tab/>
      </w:r>
      <w:r>
        <w:rPr>
          <w:rFonts w:ascii="Titillium-Semibold" w:hAnsi="Titillium-Semibold" w:cs="Titillium-Semibold"/>
          <w:spacing w:val="-1"/>
        </w:rPr>
        <w:t>Neuinszenierung von ‹Faust 1 und 2› (ungekürzt)</w:t>
      </w:r>
    </w:p>
    <w:p w14:paraId="3BA7DBA0" w14:textId="77777777" w:rsidR="00D7293E" w:rsidRDefault="00D7293E" w:rsidP="00D7293E">
      <w:pPr>
        <w:pStyle w:val="body"/>
        <w:tabs>
          <w:tab w:val="right" w:pos="1240"/>
          <w:tab w:val="left" w:pos="1640"/>
          <w:tab w:val="left" w:pos="3140"/>
        </w:tabs>
        <w:spacing w:before="113"/>
        <w:rPr>
          <w:rFonts w:ascii="Titillium-Regular" w:hAnsi="Titillium-Regular" w:cs="Titillium-Regular"/>
        </w:rPr>
      </w:pPr>
      <w:r>
        <w:rPr>
          <w:rFonts w:ascii="Titillium-Regular" w:hAnsi="Titillium-Regular" w:cs="Titillium-Regular"/>
        </w:rPr>
        <w:tab/>
      </w:r>
      <w:r>
        <w:rPr>
          <w:rFonts w:ascii="Titillium-Regular" w:hAnsi="Titillium-Regular" w:cs="Titillium-Regular"/>
        </w:rPr>
        <w:tab/>
      </w:r>
      <w:r>
        <w:rPr>
          <w:rFonts w:ascii="Titillium-Regular" w:hAnsi="Titillium-Regular" w:cs="Titillium-Regular"/>
        </w:rPr>
        <w:tab/>
        <w:t>Film</w:t>
      </w:r>
    </w:p>
    <w:p w14:paraId="31A163B7" w14:textId="77777777" w:rsidR="00D7293E" w:rsidRDefault="00D7293E" w:rsidP="00D7293E">
      <w:pPr>
        <w:pStyle w:val="body"/>
        <w:tabs>
          <w:tab w:val="right" w:pos="1240"/>
          <w:tab w:val="left" w:pos="1640"/>
          <w:tab w:val="left" w:pos="3140"/>
        </w:tabs>
        <w:spacing w:before="113"/>
        <w:rPr>
          <w:rFonts w:ascii="Titillium-Regular" w:hAnsi="Titillium-Regular" w:cs="Titillium-Regular"/>
        </w:rPr>
      </w:pPr>
      <w:r>
        <w:rPr>
          <w:rFonts w:ascii="Titillium-Regular" w:hAnsi="Titillium-Regular" w:cs="Titillium-Regular"/>
        </w:rPr>
        <w:tab/>
      </w:r>
      <w:r>
        <w:rPr>
          <w:rFonts w:ascii="Titillium-Regular" w:hAnsi="Titillium-Regular" w:cs="Titillium-Regular"/>
        </w:rPr>
        <w:tab/>
      </w:r>
      <w:r>
        <w:rPr>
          <w:rFonts w:ascii="Titillium-Regular" w:hAnsi="Titillium-Regular" w:cs="Titillium-Regular"/>
        </w:rPr>
        <w:tab/>
        <w:t>Voten aus dem Leitungsteam</w:t>
      </w:r>
    </w:p>
    <w:p w14:paraId="177B2E1D" w14:textId="77777777" w:rsidR="00D7293E" w:rsidRDefault="00D7293E" w:rsidP="00D7293E">
      <w:pPr>
        <w:pStyle w:val="body"/>
        <w:tabs>
          <w:tab w:val="right" w:pos="1240"/>
          <w:tab w:val="left" w:pos="1640"/>
          <w:tab w:val="left" w:pos="3140"/>
        </w:tabs>
        <w:rPr>
          <w:rFonts w:ascii="Titillium-Regular" w:hAnsi="Titillium-Regular" w:cs="Titillium-Regular"/>
        </w:rPr>
      </w:pPr>
      <w:r>
        <w:rPr>
          <w:rFonts w:ascii="Titillium-Regular" w:hAnsi="Titillium-Regular" w:cs="Titillium-Regular"/>
        </w:rPr>
        <w:tab/>
      </w:r>
      <w:r>
        <w:rPr>
          <w:rFonts w:ascii="Titillium-Regular" w:hAnsi="Titillium-Regular" w:cs="Titillium-Regular"/>
        </w:rPr>
        <w:tab/>
      </w:r>
      <w:r>
        <w:rPr>
          <w:rFonts w:ascii="Titillium-Regular" w:hAnsi="Titillium-Regular" w:cs="Titillium-Regular"/>
        </w:rPr>
        <w:tab/>
        <w:t>– Christian Peter</w:t>
      </w:r>
    </w:p>
    <w:p w14:paraId="6BA4BEB6" w14:textId="77777777" w:rsidR="00D7293E" w:rsidRDefault="00D7293E" w:rsidP="00D7293E">
      <w:pPr>
        <w:pStyle w:val="body"/>
        <w:tabs>
          <w:tab w:val="right" w:pos="1240"/>
          <w:tab w:val="left" w:pos="1640"/>
          <w:tab w:val="left" w:pos="3140"/>
        </w:tabs>
        <w:rPr>
          <w:rFonts w:ascii="Titillium-Regular" w:hAnsi="Titillium-Regular" w:cs="Titillium-Regular"/>
        </w:rPr>
      </w:pPr>
      <w:r>
        <w:rPr>
          <w:rFonts w:ascii="Titillium-Regular" w:hAnsi="Titillium-Regular" w:cs="Titillium-Regular"/>
        </w:rPr>
        <w:tab/>
      </w:r>
      <w:r>
        <w:rPr>
          <w:rFonts w:ascii="Titillium-Regular" w:hAnsi="Titillium-Regular" w:cs="Titillium-Regular"/>
        </w:rPr>
        <w:tab/>
      </w:r>
      <w:r>
        <w:rPr>
          <w:rFonts w:ascii="Titillium-Regular" w:hAnsi="Titillium-Regular" w:cs="Titillium-Regular"/>
        </w:rPr>
        <w:tab/>
        <w:t xml:space="preserve">– Margrethe </w:t>
      </w:r>
      <w:proofErr w:type="spellStart"/>
      <w:r>
        <w:rPr>
          <w:rFonts w:ascii="Titillium-Regular" w:hAnsi="Titillium-Regular" w:cs="Titillium-Regular"/>
        </w:rPr>
        <w:t>Solstad</w:t>
      </w:r>
      <w:proofErr w:type="spellEnd"/>
    </w:p>
    <w:p w14:paraId="2A354474" w14:textId="77777777" w:rsidR="00D7293E" w:rsidRDefault="00D7293E" w:rsidP="00D7293E">
      <w:pPr>
        <w:pStyle w:val="body"/>
        <w:tabs>
          <w:tab w:val="right" w:pos="1240"/>
          <w:tab w:val="left" w:pos="1640"/>
          <w:tab w:val="left" w:pos="3140"/>
        </w:tabs>
        <w:rPr>
          <w:rFonts w:ascii="Titillium-Regular" w:hAnsi="Titillium-Regular" w:cs="Titillium-Regular"/>
        </w:rPr>
      </w:pPr>
      <w:r>
        <w:rPr>
          <w:rFonts w:ascii="Titillium-Regular" w:hAnsi="Titillium-Regular" w:cs="Titillium-Regular"/>
        </w:rPr>
        <w:tab/>
      </w:r>
      <w:r>
        <w:rPr>
          <w:rFonts w:ascii="Titillium-Regular" w:hAnsi="Titillium-Regular" w:cs="Titillium-Regular"/>
        </w:rPr>
        <w:tab/>
      </w:r>
      <w:r>
        <w:rPr>
          <w:rFonts w:ascii="Titillium-Regular" w:hAnsi="Titillium-Regular" w:cs="Titillium-Regular"/>
        </w:rPr>
        <w:tab/>
        <w:t xml:space="preserve">– Andrea </w:t>
      </w:r>
      <w:proofErr w:type="spellStart"/>
      <w:r>
        <w:rPr>
          <w:rFonts w:ascii="Titillium-Regular" w:hAnsi="Titillium-Regular" w:cs="Titillium-Regular"/>
        </w:rPr>
        <w:t>Pfaehler</w:t>
      </w:r>
      <w:proofErr w:type="spellEnd"/>
    </w:p>
    <w:p w14:paraId="588FE530" w14:textId="77777777" w:rsidR="00D7293E" w:rsidRDefault="00D7293E" w:rsidP="00D7293E">
      <w:pPr>
        <w:pStyle w:val="body"/>
        <w:tabs>
          <w:tab w:val="right" w:pos="1240"/>
          <w:tab w:val="left" w:pos="1640"/>
          <w:tab w:val="left" w:pos="3140"/>
        </w:tabs>
        <w:spacing w:before="113"/>
        <w:rPr>
          <w:rFonts w:ascii="Titillium-Regular" w:hAnsi="Titillium-Regular" w:cs="Titillium-Regular"/>
        </w:rPr>
      </w:pPr>
      <w:r>
        <w:rPr>
          <w:rFonts w:ascii="Titillium-Regular" w:hAnsi="Titillium-Regular" w:cs="Titillium-Regular"/>
        </w:rPr>
        <w:tab/>
      </w:r>
      <w:r>
        <w:rPr>
          <w:rFonts w:ascii="Titillium-Regular" w:hAnsi="Titillium-Regular" w:cs="Titillium-Regular"/>
        </w:rPr>
        <w:tab/>
      </w:r>
      <w:r>
        <w:rPr>
          <w:rFonts w:ascii="Titillium-Regular" w:hAnsi="Titillium-Regular" w:cs="Titillium-Regular"/>
        </w:rPr>
        <w:tab/>
        <w:t>Fragen und Antworten</w:t>
      </w:r>
    </w:p>
    <w:p w14:paraId="2358547B" w14:textId="77777777" w:rsidR="00D7293E" w:rsidRDefault="00D7293E" w:rsidP="00D7293E">
      <w:pPr>
        <w:pStyle w:val="body"/>
        <w:tabs>
          <w:tab w:val="right" w:pos="1240"/>
          <w:tab w:val="left" w:pos="1640"/>
          <w:tab w:val="left" w:pos="3140"/>
        </w:tabs>
        <w:rPr>
          <w:rFonts w:ascii="Titillium-Regular" w:hAnsi="Titillium-Regular" w:cs="Titillium-Regular"/>
        </w:rPr>
      </w:pPr>
    </w:p>
    <w:p w14:paraId="0EADB7B2" w14:textId="77777777" w:rsidR="00D7293E" w:rsidRDefault="00D7293E" w:rsidP="00D7293E">
      <w:pPr>
        <w:pStyle w:val="body"/>
        <w:tabs>
          <w:tab w:val="right" w:pos="1240"/>
          <w:tab w:val="left" w:pos="1640"/>
          <w:tab w:val="left" w:pos="3140"/>
        </w:tabs>
        <w:rPr>
          <w:rFonts w:ascii="Titillium-Regular" w:hAnsi="Titillium-Regular" w:cs="Titillium-Regular"/>
        </w:rPr>
      </w:pPr>
      <w:r>
        <w:rPr>
          <w:rFonts w:ascii="Titillium-Regular" w:hAnsi="Titillium-Regular" w:cs="Titillium-Regular"/>
        </w:rPr>
        <w:t xml:space="preserve">      13.15</w:t>
      </w:r>
      <w:r>
        <w:rPr>
          <w:rFonts w:ascii="Titillium-Regular" w:hAnsi="Titillium-Regular" w:cs="Titillium-Regular"/>
        </w:rPr>
        <w:tab/>
        <w:t>Uhr</w:t>
      </w:r>
      <w:r>
        <w:rPr>
          <w:rFonts w:ascii="Titillium-Regular" w:hAnsi="Titillium-Regular" w:cs="Titillium-Regular"/>
        </w:rPr>
        <w:tab/>
      </w:r>
      <w:r>
        <w:rPr>
          <w:rFonts w:ascii="Titillium-Regular" w:hAnsi="Titillium-Regular" w:cs="Titillium-Regular"/>
        </w:rPr>
        <w:tab/>
        <w:t>Begegnungen/</w:t>
      </w:r>
      <w:proofErr w:type="spellStart"/>
      <w:r>
        <w:rPr>
          <w:rFonts w:ascii="Titillium-Regular" w:hAnsi="Titillium-Regular" w:cs="Titillium-Regular"/>
        </w:rPr>
        <w:t>Apéro</w:t>
      </w:r>
      <w:proofErr w:type="spellEnd"/>
    </w:p>
    <w:p w14:paraId="396CE64E" w14:textId="77777777" w:rsidR="00D7293E" w:rsidRDefault="00D7293E" w:rsidP="00D7293E">
      <w:pPr>
        <w:pStyle w:val="body"/>
        <w:tabs>
          <w:tab w:val="right" w:pos="1240"/>
          <w:tab w:val="left" w:pos="1640"/>
          <w:tab w:val="left" w:pos="3140"/>
        </w:tabs>
        <w:rPr>
          <w:rFonts w:ascii="Titillium-Regular" w:hAnsi="Titillium-Regular" w:cs="Titillium-Regular"/>
        </w:rPr>
      </w:pPr>
    </w:p>
    <w:p w14:paraId="21CC127C" w14:textId="77777777" w:rsidR="00D7293E" w:rsidRDefault="00D7293E" w:rsidP="00D7293E">
      <w:pPr>
        <w:pStyle w:val="body"/>
        <w:tabs>
          <w:tab w:val="right" w:pos="1240"/>
          <w:tab w:val="left" w:pos="1640"/>
          <w:tab w:val="left" w:pos="3140"/>
        </w:tabs>
        <w:rPr>
          <w:rFonts w:ascii="Titillium-Regular" w:hAnsi="Titillium-Regular" w:cs="Titillium-Regular"/>
        </w:rPr>
      </w:pPr>
      <w:r>
        <w:rPr>
          <w:rFonts w:ascii="Titillium-Regular" w:hAnsi="Titillium-Regular" w:cs="Titillium-Regular"/>
        </w:rPr>
        <w:t xml:space="preserve">      14.00</w:t>
      </w:r>
      <w:r>
        <w:rPr>
          <w:rFonts w:ascii="Titillium-Regular" w:hAnsi="Titillium-Regular" w:cs="Titillium-Regular"/>
        </w:rPr>
        <w:tab/>
        <w:t>Uhr</w:t>
      </w:r>
      <w:r>
        <w:rPr>
          <w:rFonts w:ascii="Titillium-Regular" w:hAnsi="Titillium-Regular" w:cs="Titillium-Regular"/>
        </w:rPr>
        <w:tab/>
      </w:r>
      <w:r>
        <w:rPr>
          <w:rFonts w:ascii="Titillium-Regular" w:hAnsi="Titillium-Regular" w:cs="Titillium-Regular"/>
        </w:rPr>
        <w:tab/>
        <w:t>Ende</w:t>
      </w:r>
    </w:p>
    <w:p w14:paraId="2CEDD1DA" w14:textId="77777777" w:rsidR="00D7293E" w:rsidRDefault="00D7293E" w:rsidP="00D7293E">
      <w:pPr>
        <w:pStyle w:val="body"/>
        <w:tabs>
          <w:tab w:val="right" w:pos="1240"/>
          <w:tab w:val="left" w:pos="1640"/>
          <w:tab w:val="left" w:pos="3140"/>
        </w:tabs>
        <w:rPr>
          <w:rStyle w:val="kursiv"/>
          <w:rFonts w:ascii="Titillium-Regular" w:hAnsi="Titillium-Regular" w:cs="Titillium-Regular"/>
          <w:i w:val="0"/>
          <w:iCs w:val="0"/>
        </w:rPr>
      </w:pPr>
    </w:p>
    <w:p w14:paraId="3A985184" w14:textId="77777777" w:rsidR="00D7293E" w:rsidRDefault="00D7293E" w:rsidP="00D7293E">
      <w:pPr>
        <w:pStyle w:val="body"/>
        <w:tabs>
          <w:tab w:val="right" w:pos="1240"/>
          <w:tab w:val="left" w:pos="1640"/>
          <w:tab w:val="left" w:pos="3140"/>
        </w:tabs>
        <w:jc w:val="right"/>
        <w:rPr>
          <w:rStyle w:val="kursiv"/>
          <w:rFonts w:ascii="Titillium-Regular" w:hAnsi="Titillium-Regular" w:cs="Titillium-Regular"/>
          <w:i w:val="0"/>
          <w:iCs w:val="0"/>
        </w:rPr>
      </w:pPr>
    </w:p>
    <w:p w14:paraId="007C0D13" w14:textId="77777777" w:rsidR="00D7293E" w:rsidRDefault="00D7293E" w:rsidP="00D7293E">
      <w:pPr>
        <w:pStyle w:val="body"/>
        <w:tabs>
          <w:tab w:val="right" w:pos="1240"/>
          <w:tab w:val="left" w:pos="1640"/>
          <w:tab w:val="left" w:pos="3140"/>
        </w:tabs>
        <w:jc w:val="right"/>
        <w:rPr>
          <w:rStyle w:val="kursiv"/>
          <w:rFonts w:ascii="Titillium-RegularItalic" w:hAnsi="Titillium-RegularItalic" w:cs="Titillium-RegularItalic"/>
        </w:rPr>
      </w:pPr>
      <w:r>
        <w:rPr>
          <w:rStyle w:val="kursiv"/>
          <w:rFonts w:ascii="Titillium-RegularItalic" w:hAnsi="Titillium-RegularItalic" w:cs="Titillium-RegularItalic"/>
        </w:rPr>
        <w:t>Änderungen vorbehalten</w:t>
      </w:r>
    </w:p>
    <w:p w14:paraId="320E3665" w14:textId="77777777" w:rsidR="00D7293E" w:rsidRDefault="00D7293E" w:rsidP="00D7293E">
      <w:pPr>
        <w:pStyle w:val="body"/>
        <w:tabs>
          <w:tab w:val="right" w:pos="1240"/>
          <w:tab w:val="left" w:pos="1640"/>
          <w:tab w:val="left" w:pos="3140"/>
        </w:tabs>
        <w:jc w:val="center"/>
        <w:rPr>
          <w:rFonts w:ascii="Titillium-RegularItalic" w:hAnsi="Titillium-RegularItalic" w:cs="Titillium-RegularItalic"/>
          <w:i/>
          <w:iCs/>
        </w:rPr>
      </w:pPr>
    </w:p>
    <w:p w14:paraId="664985C6" w14:textId="77777777" w:rsidR="00D7293E" w:rsidRDefault="00D7293E">
      <w:pPr>
        <w:rPr>
          <w:rFonts w:ascii="Titillium-Semibold" w:hAnsi="Titillium-Semibold" w:cs="Titillium-Semibold"/>
          <w:color w:val="000000"/>
          <w:sz w:val="28"/>
          <w:szCs w:val="28"/>
          <w:lang w:eastAsia="ja-JP"/>
        </w:rPr>
      </w:pPr>
      <w:r>
        <w:rPr>
          <w:rFonts w:ascii="Titillium-Semibold" w:hAnsi="Titillium-Semibold" w:cs="Titillium-Semibold"/>
          <w:color w:val="000000"/>
          <w:sz w:val="28"/>
          <w:szCs w:val="28"/>
          <w:lang w:eastAsia="ja-JP"/>
        </w:rPr>
        <w:br w:type="page"/>
      </w:r>
    </w:p>
    <w:p w14:paraId="2D9DF468" w14:textId="77777777" w:rsidR="00D7293E" w:rsidRDefault="00D7293E">
      <w:pPr>
        <w:rPr>
          <w:rFonts w:ascii="Titillium-Semibold" w:hAnsi="Titillium-Semibold" w:cs="Titillium-Semibold"/>
          <w:color w:val="000000"/>
          <w:sz w:val="28"/>
          <w:szCs w:val="28"/>
          <w:lang w:eastAsia="ja-JP"/>
        </w:rPr>
      </w:pPr>
    </w:p>
    <w:p w14:paraId="1FB5F221" w14:textId="77777777" w:rsidR="00D7293E" w:rsidRDefault="00D7293E" w:rsidP="00D7293E">
      <w:pPr>
        <w:pStyle w:val="titel"/>
        <w:jc w:val="center"/>
        <w:rPr>
          <w:sz w:val="28"/>
          <w:szCs w:val="28"/>
        </w:rPr>
      </w:pPr>
      <w:r>
        <w:rPr>
          <w:sz w:val="28"/>
          <w:szCs w:val="28"/>
        </w:rPr>
        <w:t>Inhalt</w:t>
      </w:r>
    </w:p>
    <w:p w14:paraId="2216A63F" w14:textId="77777777" w:rsidR="00D7293E" w:rsidRDefault="00D7293E" w:rsidP="00D7293E">
      <w:pPr>
        <w:pStyle w:val="titel"/>
        <w:spacing w:before="227"/>
        <w:jc w:val="center"/>
        <w:rPr>
          <w:color w:val="1C1C1B"/>
          <w:sz w:val="28"/>
          <w:szCs w:val="28"/>
        </w:rPr>
      </w:pPr>
      <w:r>
        <w:rPr>
          <w:color w:val="1C1C1B"/>
          <w:sz w:val="28"/>
          <w:szCs w:val="28"/>
        </w:rPr>
        <w:t>Neuinszenierung von</w:t>
      </w:r>
    </w:p>
    <w:p w14:paraId="59F47296" w14:textId="77777777" w:rsidR="00D7293E" w:rsidRDefault="00D7293E" w:rsidP="00D7293E">
      <w:pPr>
        <w:pStyle w:val="titel"/>
        <w:spacing w:before="113"/>
        <w:jc w:val="center"/>
        <w:rPr>
          <w:sz w:val="28"/>
          <w:szCs w:val="28"/>
        </w:rPr>
      </w:pPr>
      <w:r>
        <w:rPr>
          <w:color w:val="1C1C1B"/>
          <w:sz w:val="28"/>
          <w:szCs w:val="28"/>
        </w:rPr>
        <w:t>Goethes ‹Faust 1 und 2› (ungekürzt)</w:t>
      </w:r>
    </w:p>
    <w:p w14:paraId="11DCCB12" w14:textId="77777777" w:rsidR="00D7293E" w:rsidRDefault="00D7293E" w:rsidP="00D7293E">
      <w:pPr>
        <w:pStyle w:val="body"/>
        <w:rPr>
          <w:rStyle w:val="fett"/>
        </w:rPr>
      </w:pPr>
    </w:p>
    <w:p w14:paraId="5E673E90" w14:textId="77777777" w:rsidR="00D7293E" w:rsidRDefault="00D7293E" w:rsidP="00D7293E">
      <w:pPr>
        <w:pStyle w:val="body"/>
        <w:rPr>
          <w:rStyle w:val="fett"/>
        </w:rPr>
      </w:pPr>
    </w:p>
    <w:p w14:paraId="39D81007" w14:textId="77777777" w:rsidR="00D7293E" w:rsidRDefault="00D7293E" w:rsidP="00D7293E">
      <w:pPr>
        <w:pStyle w:val="body"/>
        <w:rPr>
          <w:rStyle w:val="fett"/>
        </w:rPr>
      </w:pPr>
    </w:p>
    <w:p w14:paraId="30EB9DBB"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Premiere der Neuinszenierung ist 75. Gesamtaufführung </w:t>
      </w:r>
    </w:p>
    <w:p w14:paraId="5A0EE9D2" w14:textId="77777777" w:rsidR="00D7293E" w:rsidRDefault="00D7293E" w:rsidP="00D7293E">
      <w:pPr>
        <w:pStyle w:val="body"/>
        <w:rPr>
          <w:rFonts w:ascii="Titillium-Regular" w:hAnsi="Titillium-Regular" w:cs="Titillium-Regular"/>
        </w:rPr>
      </w:pPr>
    </w:p>
    <w:p w14:paraId="092D03CB" w14:textId="77777777" w:rsidR="00D7293E" w:rsidRDefault="00D7293E" w:rsidP="00D7293E">
      <w:pPr>
        <w:pStyle w:val="body"/>
        <w:rPr>
          <w:rFonts w:ascii="Titillium-Regular" w:hAnsi="Titillium-Regular" w:cs="Titillium-Regular"/>
        </w:rPr>
      </w:pPr>
      <w:r>
        <w:rPr>
          <w:rFonts w:ascii="Titillium-Regular" w:hAnsi="Titillium-Regular" w:cs="Titillium-Regular"/>
        </w:rPr>
        <w:t>Neuinszenierung Christian Peter</w:t>
      </w:r>
    </w:p>
    <w:p w14:paraId="1EF748CE" w14:textId="77777777" w:rsidR="00D7293E" w:rsidRDefault="00D7293E" w:rsidP="00D7293E">
      <w:pPr>
        <w:pStyle w:val="body"/>
        <w:rPr>
          <w:rFonts w:ascii="Titillium-Regular" w:hAnsi="Titillium-Regular" w:cs="Titillium-Regular"/>
        </w:rPr>
      </w:pPr>
    </w:p>
    <w:p w14:paraId="0FB0DA4F"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Leitung Eurythmie Margrethe </w:t>
      </w:r>
      <w:proofErr w:type="spellStart"/>
      <w:r>
        <w:rPr>
          <w:rFonts w:ascii="Titillium-Regular" w:hAnsi="Titillium-Regular" w:cs="Titillium-Regular"/>
        </w:rPr>
        <w:t>Solstad</w:t>
      </w:r>
      <w:proofErr w:type="spellEnd"/>
    </w:p>
    <w:p w14:paraId="0EB3C984" w14:textId="77777777" w:rsidR="00D7293E" w:rsidRDefault="00D7293E" w:rsidP="00D7293E">
      <w:pPr>
        <w:pStyle w:val="body"/>
        <w:rPr>
          <w:rFonts w:ascii="Titillium-Regular" w:hAnsi="Titillium-Regular" w:cs="Titillium-Regular"/>
        </w:rPr>
      </w:pPr>
    </w:p>
    <w:p w14:paraId="22468500"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Teileinstudierung Schauspiel Andrea </w:t>
      </w:r>
      <w:proofErr w:type="spellStart"/>
      <w:r>
        <w:rPr>
          <w:rFonts w:ascii="Titillium-Regular" w:hAnsi="Titillium-Regular" w:cs="Titillium-Regular"/>
        </w:rPr>
        <w:t>Pfaehler</w:t>
      </w:r>
      <w:proofErr w:type="spellEnd"/>
    </w:p>
    <w:p w14:paraId="066925BF" w14:textId="77777777" w:rsidR="00D7293E" w:rsidRDefault="00D7293E" w:rsidP="00D7293E">
      <w:pPr>
        <w:pStyle w:val="body"/>
        <w:rPr>
          <w:rFonts w:ascii="Titillium-Regular" w:hAnsi="Titillium-Regular" w:cs="Titillium-Regular"/>
        </w:rPr>
      </w:pPr>
    </w:p>
    <w:p w14:paraId="0AD9D493" w14:textId="77777777" w:rsidR="00D7293E" w:rsidRDefault="00D7293E" w:rsidP="00D7293E">
      <w:pPr>
        <w:pStyle w:val="body"/>
        <w:rPr>
          <w:rFonts w:ascii="Titillium-Regular" w:hAnsi="Titillium-Regular" w:cs="Titillium-Regular"/>
        </w:rPr>
      </w:pPr>
      <w:r>
        <w:rPr>
          <w:rFonts w:ascii="Titillium-Regular" w:hAnsi="Titillium-Regular" w:cs="Titillium-Regular"/>
        </w:rPr>
        <w:t>Fotoausstellung ‹Faust 2016›</w:t>
      </w:r>
    </w:p>
    <w:p w14:paraId="61BCCA1E" w14:textId="77777777" w:rsidR="00D7293E" w:rsidRDefault="00D7293E" w:rsidP="00D7293E">
      <w:pPr>
        <w:pStyle w:val="body"/>
        <w:rPr>
          <w:rFonts w:ascii="Titillium-Regular" w:hAnsi="Titillium-Regular" w:cs="Titillium-Regular"/>
        </w:rPr>
      </w:pPr>
    </w:p>
    <w:p w14:paraId="22A2BC03" w14:textId="77777777" w:rsidR="00D7293E" w:rsidRDefault="00D7293E" w:rsidP="00D7293E">
      <w:pPr>
        <w:pStyle w:val="body"/>
        <w:rPr>
          <w:rFonts w:ascii="Titillium-Regular" w:hAnsi="Titillium-Regular" w:cs="Titillium-Regular"/>
        </w:rPr>
      </w:pPr>
    </w:p>
    <w:p w14:paraId="58139422" w14:textId="77777777" w:rsidR="00D7293E" w:rsidRDefault="00D7293E" w:rsidP="00D7293E">
      <w:pPr>
        <w:pStyle w:val="body"/>
        <w:rPr>
          <w:rFonts w:ascii="Titillium-Regular" w:hAnsi="Titillium-Regular" w:cs="Titillium-Regular"/>
        </w:rPr>
      </w:pPr>
      <w:proofErr w:type="spellStart"/>
      <w:r>
        <w:rPr>
          <w:rFonts w:ascii="Titillium-Regular" w:hAnsi="Titillium-Regular" w:cs="Titillium-Regular"/>
        </w:rPr>
        <w:t>Goetheanum</w:t>
      </w:r>
      <w:proofErr w:type="spellEnd"/>
      <w:r>
        <w:rPr>
          <w:rFonts w:ascii="Titillium-Regular" w:hAnsi="Titillium-Regular" w:cs="Titillium-Regular"/>
        </w:rPr>
        <w:t>-Bühne – ein Ort mit Geschichte</w:t>
      </w:r>
    </w:p>
    <w:p w14:paraId="0226BC6A" w14:textId="77777777" w:rsidR="00D7293E" w:rsidRDefault="00D7293E" w:rsidP="00D7293E">
      <w:pPr>
        <w:pStyle w:val="body"/>
        <w:rPr>
          <w:rFonts w:ascii="Titillium-Regular" w:hAnsi="Titillium-Regular" w:cs="Titillium-Regular"/>
        </w:rPr>
      </w:pPr>
    </w:p>
    <w:p w14:paraId="2316DCBE" w14:textId="77777777" w:rsidR="00D7293E" w:rsidRDefault="00D7293E" w:rsidP="00D7293E">
      <w:pPr>
        <w:pStyle w:val="body"/>
        <w:rPr>
          <w:rFonts w:ascii="Titillium-Regular" w:hAnsi="Titillium-Regular" w:cs="Titillium-Regular"/>
        </w:rPr>
      </w:pPr>
      <w:proofErr w:type="spellStart"/>
      <w:r>
        <w:rPr>
          <w:rFonts w:ascii="Titillium-Regular" w:hAnsi="Titillium-Regular" w:cs="Titillium-Regular"/>
        </w:rPr>
        <w:t>Grosse</w:t>
      </w:r>
      <w:proofErr w:type="spellEnd"/>
      <w:r>
        <w:rPr>
          <w:rFonts w:ascii="Titillium-Regular" w:hAnsi="Titillium-Regular" w:cs="Titillium-Regular"/>
        </w:rPr>
        <w:t xml:space="preserve"> Bühne am </w:t>
      </w:r>
      <w:proofErr w:type="spellStart"/>
      <w:r>
        <w:rPr>
          <w:rFonts w:ascii="Titillium-Regular" w:hAnsi="Titillium-Regular" w:cs="Titillium-Regular"/>
        </w:rPr>
        <w:t>Goetheanum</w:t>
      </w:r>
      <w:proofErr w:type="spellEnd"/>
      <w:r>
        <w:rPr>
          <w:rFonts w:ascii="Titillium-Regular" w:hAnsi="Titillium-Regular" w:cs="Titillium-Regular"/>
        </w:rPr>
        <w:t xml:space="preserve"> – total saniert 2013/14</w:t>
      </w:r>
    </w:p>
    <w:p w14:paraId="3F1F1B46" w14:textId="77777777" w:rsidR="00D7293E" w:rsidRDefault="00D7293E" w:rsidP="00D7293E">
      <w:pPr>
        <w:pStyle w:val="body"/>
        <w:rPr>
          <w:rFonts w:ascii="Titillium-Regular" w:hAnsi="Titillium-Regular" w:cs="Titillium-Regular"/>
        </w:rPr>
      </w:pPr>
    </w:p>
    <w:p w14:paraId="27662A64" w14:textId="77777777" w:rsidR="00D7293E" w:rsidRDefault="00D7293E" w:rsidP="00D7293E">
      <w:pPr>
        <w:pStyle w:val="body"/>
        <w:rPr>
          <w:rFonts w:ascii="Titillium-Regular" w:hAnsi="Titillium-Regular" w:cs="Titillium-Regular"/>
        </w:rPr>
      </w:pPr>
    </w:p>
    <w:p w14:paraId="15750FA1" w14:textId="77777777" w:rsidR="00D7293E" w:rsidRDefault="00D7293E" w:rsidP="00D7293E">
      <w:pPr>
        <w:pStyle w:val="body"/>
        <w:rPr>
          <w:rFonts w:ascii="Titillium-Regular" w:hAnsi="Titillium-Regular" w:cs="Titillium-Regular"/>
        </w:rPr>
      </w:pPr>
      <w:proofErr w:type="spellStart"/>
      <w:r>
        <w:rPr>
          <w:rFonts w:ascii="Titillium-Regular" w:hAnsi="Titillium-Regular" w:cs="Titillium-Regular"/>
        </w:rPr>
        <w:t>Goetheanum</w:t>
      </w:r>
      <w:proofErr w:type="spellEnd"/>
      <w:r>
        <w:rPr>
          <w:rFonts w:ascii="Titillium-Regular" w:hAnsi="Titillium-Regular" w:cs="Titillium-Regular"/>
        </w:rPr>
        <w:t xml:space="preserve"> – Haupteingang neu im Westen</w:t>
      </w:r>
    </w:p>
    <w:p w14:paraId="46E54A09" w14:textId="77777777" w:rsidR="00D7293E" w:rsidRDefault="00D7293E" w:rsidP="00D7293E">
      <w:pPr>
        <w:pStyle w:val="body"/>
        <w:rPr>
          <w:rFonts w:ascii="Titillium-Regular" w:hAnsi="Titillium-Regular" w:cs="Titillium-Regular"/>
        </w:rPr>
      </w:pPr>
    </w:p>
    <w:p w14:paraId="65561E19" w14:textId="77777777" w:rsidR="00D7293E" w:rsidRDefault="00D7293E" w:rsidP="00D7293E">
      <w:pPr>
        <w:pStyle w:val="body"/>
        <w:rPr>
          <w:rFonts w:ascii="Titillium-Regular" w:hAnsi="Titillium-Regular" w:cs="Titillium-Regular"/>
        </w:rPr>
      </w:pPr>
    </w:p>
    <w:p w14:paraId="33CD9553" w14:textId="77777777" w:rsidR="00D7293E" w:rsidRDefault="00D7293E" w:rsidP="00D7293E">
      <w:pPr>
        <w:pStyle w:val="body"/>
        <w:rPr>
          <w:rFonts w:ascii="Titillium-Regular" w:hAnsi="Titillium-Regular" w:cs="Titillium-Regular"/>
        </w:rPr>
      </w:pPr>
      <w:r>
        <w:rPr>
          <w:rStyle w:val="fett"/>
          <w:rFonts w:ascii="Titillium-Regular" w:hAnsi="Titillium-Regular" w:cs="Titillium-Regular"/>
        </w:rPr>
        <w:t>Ich möchte…</w:t>
      </w:r>
    </w:p>
    <w:p w14:paraId="70E66EBC" w14:textId="77777777" w:rsidR="00D7293E" w:rsidRDefault="00D7293E" w:rsidP="00D7293E">
      <w:pPr>
        <w:pStyle w:val="body"/>
      </w:pPr>
    </w:p>
    <w:p w14:paraId="53331D7A" w14:textId="77777777" w:rsidR="00D7293E" w:rsidRDefault="00D7293E" w:rsidP="00D7293E">
      <w:pPr>
        <w:pStyle w:val="MFluss"/>
      </w:pPr>
    </w:p>
    <w:p w14:paraId="6AFEC2D6" w14:textId="77777777" w:rsidR="00D7293E" w:rsidRDefault="00D7293E" w:rsidP="00D7293E">
      <w:pPr>
        <w:pStyle w:val="MFluss"/>
      </w:pPr>
    </w:p>
    <w:p w14:paraId="4A856CB3" w14:textId="77777777" w:rsidR="00D7293E" w:rsidRDefault="00D7293E">
      <w:r>
        <w:br w:type="page"/>
      </w:r>
    </w:p>
    <w:p w14:paraId="7BA7EAA9" w14:textId="77777777" w:rsidR="00D7293E" w:rsidRDefault="00D7293E" w:rsidP="00D7293E">
      <w:pPr>
        <w:pStyle w:val="titel"/>
        <w:jc w:val="right"/>
        <w:rPr>
          <w:rFonts w:ascii="Titillium-Regular" w:hAnsi="Titillium-Regular" w:cs="Titillium-Regular"/>
          <w:sz w:val="22"/>
          <w:szCs w:val="22"/>
        </w:rPr>
      </w:pPr>
      <w:r>
        <w:rPr>
          <w:rFonts w:ascii="Titillium-Regular" w:hAnsi="Titillium-Regular" w:cs="Titillium-Regular"/>
          <w:sz w:val="22"/>
          <w:szCs w:val="22"/>
        </w:rPr>
        <w:tab/>
      </w:r>
      <w:proofErr w:type="spellStart"/>
      <w:r>
        <w:rPr>
          <w:rFonts w:ascii="Titillium-Regular" w:hAnsi="Titillium-Regular" w:cs="Titillium-Regular"/>
          <w:sz w:val="22"/>
          <w:szCs w:val="22"/>
        </w:rPr>
        <w:t>Goetheanum</w:t>
      </w:r>
      <w:proofErr w:type="spellEnd"/>
      <w:r>
        <w:rPr>
          <w:rFonts w:ascii="Titillium-Regular" w:hAnsi="Titillium-Regular" w:cs="Titillium-Regular"/>
          <w:sz w:val="22"/>
          <w:szCs w:val="22"/>
        </w:rPr>
        <w:t>, Dornach, 21. März 2016</w:t>
      </w:r>
    </w:p>
    <w:p w14:paraId="73E25B37" w14:textId="77777777" w:rsidR="00D7293E" w:rsidRDefault="00D7293E" w:rsidP="00D7293E">
      <w:pPr>
        <w:pStyle w:val="body"/>
      </w:pPr>
    </w:p>
    <w:p w14:paraId="4DD236B4" w14:textId="77777777" w:rsidR="00D7293E" w:rsidRDefault="00D7293E" w:rsidP="00D7293E">
      <w:pPr>
        <w:pStyle w:val="body"/>
      </w:pPr>
    </w:p>
    <w:p w14:paraId="14897C9F" w14:textId="77777777" w:rsidR="00D7293E" w:rsidRDefault="00D7293E" w:rsidP="00D7293E">
      <w:pPr>
        <w:pStyle w:val="titel"/>
        <w:spacing w:before="57"/>
        <w:rPr>
          <w:sz w:val="28"/>
          <w:szCs w:val="28"/>
        </w:rPr>
      </w:pPr>
      <w:r>
        <w:rPr>
          <w:sz w:val="28"/>
          <w:szCs w:val="28"/>
        </w:rPr>
        <w:t>Premiere der Neuinszenierung ist 75. Gesamtaufführung</w:t>
      </w:r>
    </w:p>
    <w:p w14:paraId="797EA272" w14:textId="77777777" w:rsidR="00D7293E" w:rsidRDefault="00D7293E" w:rsidP="00D7293E">
      <w:pPr>
        <w:pStyle w:val="body"/>
      </w:pPr>
    </w:p>
    <w:p w14:paraId="0A2AE295" w14:textId="77777777" w:rsidR="00D7293E" w:rsidRDefault="00D7293E" w:rsidP="00D7293E">
      <w:pPr>
        <w:pStyle w:val="body"/>
        <w:rPr>
          <w:rFonts w:ascii="Titillium-Semibold" w:hAnsi="Titillium-Semibold" w:cs="Titillium-Semibold"/>
        </w:rPr>
      </w:pPr>
      <w:r>
        <w:rPr>
          <w:rFonts w:ascii="Titillium-Semibold" w:hAnsi="Titillium-Semibold" w:cs="Titillium-Semibold"/>
        </w:rPr>
        <w:t xml:space="preserve">Goethes ‹Faust 1 und 2› hat am </w:t>
      </w:r>
      <w:proofErr w:type="spellStart"/>
      <w:r>
        <w:rPr>
          <w:rFonts w:ascii="Titillium-Semibold" w:hAnsi="Titillium-Semibold" w:cs="Titillium-Semibold"/>
        </w:rPr>
        <w:t>Goetheanum</w:t>
      </w:r>
      <w:proofErr w:type="spellEnd"/>
      <w:r>
        <w:rPr>
          <w:rFonts w:ascii="Titillium-Semibold" w:hAnsi="Titillium-Semibold" w:cs="Titillium-Semibold"/>
        </w:rPr>
        <w:t xml:space="preserve"> Tradition: 1938 fand hier die Uraufführung statt. Die Premiere der Neuinszenierung von 25. bis 27. März ist die 75. Gesamtaufführung. Für die Einstudierung der Szenen mit 17 Stunden Spielzeit zeichnen Christian Peter, Margrethe </w:t>
      </w:r>
      <w:proofErr w:type="spellStart"/>
      <w:r>
        <w:rPr>
          <w:rFonts w:ascii="Titillium-Semibold" w:hAnsi="Titillium-Semibold" w:cs="Titillium-Semibold"/>
        </w:rPr>
        <w:t>Solstad</w:t>
      </w:r>
      <w:proofErr w:type="spellEnd"/>
      <w:r>
        <w:rPr>
          <w:rFonts w:ascii="Titillium-Semibold" w:hAnsi="Titillium-Semibold" w:cs="Titillium-Semibold"/>
        </w:rPr>
        <w:t xml:space="preserve"> und Andrea </w:t>
      </w:r>
      <w:proofErr w:type="spellStart"/>
      <w:r>
        <w:rPr>
          <w:rFonts w:ascii="Titillium-Semibold" w:hAnsi="Titillium-Semibold" w:cs="Titillium-Semibold"/>
        </w:rPr>
        <w:t>Pfaehler</w:t>
      </w:r>
      <w:proofErr w:type="spellEnd"/>
      <w:r>
        <w:rPr>
          <w:rFonts w:ascii="Titillium-Semibold" w:hAnsi="Titillium-Semibold" w:cs="Titillium-Semibold"/>
        </w:rPr>
        <w:t xml:space="preserve"> verantwortlich. </w:t>
      </w:r>
    </w:p>
    <w:p w14:paraId="2A4328A6" w14:textId="77777777" w:rsidR="00D7293E" w:rsidRDefault="00D7293E" w:rsidP="00D7293E">
      <w:pPr>
        <w:pStyle w:val="body"/>
      </w:pPr>
    </w:p>
    <w:p w14:paraId="6D7B3CD2"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Noch heute ist Goethes ‹Faust› ein vom breiten Publikum gefragtes Stück Weltliteratur. Es bereicherte die deutsche Sprache wie die Bibelübersetzung Martin Luthers. Die Neuinszenierung greift mit Unterstützung von Florian Volkmann die Musikalität von Goethes Sprache auf: Das ‹normale› Spiel wird stellenweisen zu betont rhythmischem Sprechen bis zu Rap und Gesang erhoben; atmosphärische Klangteppiche erweitern den </w:t>
      </w:r>
      <w:proofErr w:type="spellStart"/>
      <w:r>
        <w:rPr>
          <w:rFonts w:ascii="Titillium-Regular" w:hAnsi="Titillium-Regular" w:cs="Titillium-Regular"/>
        </w:rPr>
        <w:t>Hörraum</w:t>
      </w:r>
      <w:proofErr w:type="spellEnd"/>
      <w:r>
        <w:rPr>
          <w:rFonts w:ascii="Titillium-Regular" w:hAnsi="Titillium-Regular" w:cs="Titillium-Regular"/>
        </w:rPr>
        <w:t xml:space="preserve">. Die Lebendigkeit der Sprache wird zudem in der Eurythmie sichtbar – Einzelrollen bekommen so einen gesteigerten Ausdruck, und Ensembleszenen vermitteln den Eindruck eines bewegt-wogenden Raumes. </w:t>
      </w:r>
    </w:p>
    <w:p w14:paraId="2BD9404C" w14:textId="77777777" w:rsidR="00D7293E" w:rsidRDefault="00D7293E" w:rsidP="00D7293E">
      <w:pPr>
        <w:pStyle w:val="body"/>
        <w:rPr>
          <w:rFonts w:ascii="Titillium-Regular" w:hAnsi="Titillium-Regular" w:cs="Titillium-Regular"/>
        </w:rPr>
      </w:pPr>
    </w:p>
    <w:p w14:paraId="48846EC3"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Die Bühnenbilder am </w:t>
      </w:r>
      <w:proofErr w:type="spellStart"/>
      <w:r>
        <w:rPr>
          <w:rFonts w:ascii="Titillium-Regular" w:hAnsi="Titillium-Regular" w:cs="Titillium-Regular"/>
        </w:rPr>
        <w:t>Goetheanum</w:t>
      </w:r>
      <w:proofErr w:type="spellEnd"/>
      <w:r>
        <w:rPr>
          <w:rFonts w:ascii="Titillium-Regular" w:hAnsi="Titillium-Regular" w:cs="Titillium-Regular"/>
        </w:rPr>
        <w:t xml:space="preserve"> waren lange Zeit überwiegend naturalistisch bis geist-realistisch. In Verbindung mit kräftiger, farbiger Beleuchtung wurden intensive Erlebnisräume vermittelt. Nicht zuletzt Walther Roggenkamp hat auf diese Weise die Rezeption von 1978 bis 1999 geprägt. Für die Neuinszenierung entwarf der Bühnenbildner Roy Spahn eine begehbare Skulptur. Die spiralartige Form symbolisiert auf verschiedenen Spielebenen den Lebensweg. Die schlichte Formensprache lässt die Darstellerinnen und Darsteller hervortreten, unterstützt von der Lichtführung Ilja van der </w:t>
      </w:r>
      <w:proofErr w:type="spellStart"/>
      <w:r>
        <w:rPr>
          <w:rFonts w:ascii="Titillium-Regular" w:hAnsi="Titillium-Regular" w:cs="Titillium-Regular"/>
        </w:rPr>
        <w:t>Lindens</w:t>
      </w:r>
      <w:proofErr w:type="spellEnd"/>
      <w:r>
        <w:rPr>
          <w:rFonts w:ascii="Titillium-Regular" w:hAnsi="Titillium-Regular" w:cs="Titillium-Regular"/>
        </w:rPr>
        <w:t xml:space="preserve">. </w:t>
      </w:r>
    </w:p>
    <w:p w14:paraId="1B9A0FCD" w14:textId="77777777" w:rsidR="00D7293E" w:rsidRDefault="00D7293E" w:rsidP="00D7293E">
      <w:pPr>
        <w:pStyle w:val="body"/>
        <w:rPr>
          <w:rFonts w:ascii="Titillium-Regular" w:hAnsi="Titillium-Regular" w:cs="Titillium-Regular"/>
        </w:rPr>
      </w:pPr>
    </w:p>
    <w:p w14:paraId="005CE09A"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Für die neue Produktion wurden rund 600 Kostüme hergestellt. Die Entwürfe von Rob </w:t>
      </w:r>
      <w:proofErr w:type="spellStart"/>
      <w:r>
        <w:rPr>
          <w:rFonts w:ascii="Titillium-Regular" w:hAnsi="Titillium-Regular" w:cs="Titillium-Regular"/>
        </w:rPr>
        <w:t>Barendsma</w:t>
      </w:r>
      <w:proofErr w:type="spellEnd"/>
      <w:r>
        <w:rPr>
          <w:rFonts w:ascii="Titillium-Regular" w:hAnsi="Titillium-Regular" w:cs="Titillium-Regular"/>
        </w:rPr>
        <w:t xml:space="preserve"> werden für das Schauspiel vom Atelier für Theaterkostüme </w:t>
      </w:r>
      <w:proofErr w:type="spellStart"/>
      <w:r>
        <w:rPr>
          <w:rFonts w:ascii="Titillium-Regular" w:hAnsi="Titillium-Regular" w:cs="Titillium-Regular"/>
        </w:rPr>
        <w:t>Madanti</w:t>
      </w:r>
      <w:proofErr w:type="spellEnd"/>
      <w:r>
        <w:rPr>
          <w:rFonts w:ascii="Titillium-Regular" w:hAnsi="Titillium-Regular" w:cs="Titillium-Regular"/>
        </w:rPr>
        <w:t xml:space="preserve"> in Budapest, die für die Eurythmie von der Kostümabteilung am </w:t>
      </w:r>
      <w:proofErr w:type="spellStart"/>
      <w:r>
        <w:rPr>
          <w:rFonts w:ascii="Titillium-Regular" w:hAnsi="Titillium-Regular" w:cs="Titillium-Regular"/>
        </w:rPr>
        <w:t>Goetheanum</w:t>
      </w:r>
      <w:proofErr w:type="spellEnd"/>
      <w:r>
        <w:rPr>
          <w:rFonts w:ascii="Titillium-Regular" w:hAnsi="Titillium-Regular" w:cs="Titillium-Regular"/>
        </w:rPr>
        <w:t xml:space="preserve"> umgesetzt.</w:t>
      </w:r>
    </w:p>
    <w:p w14:paraId="06211F1C" w14:textId="77777777" w:rsidR="00D7293E" w:rsidRDefault="00D7293E" w:rsidP="00D7293E">
      <w:pPr>
        <w:pStyle w:val="body"/>
        <w:rPr>
          <w:rFonts w:ascii="Titillium-Regular" w:hAnsi="Titillium-Regular" w:cs="Titillium-Regular"/>
        </w:rPr>
      </w:pPr>
    </w:p>
    <w:p w14:paraId="3FB31A43"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Die Produktionskosten für die Neuinszenierung liegen bei rund sechs Millionen Franken. Das </w:t>
      </w:r>
      <w:proofErr w:type="spellStart"/>
      <w:r>
        <w:rPr>
          <w:rFonts w:ascii="Titillium-Regular" w:hAnsi="Titillium-Regular" w:cs="Titillium-Regular"/>
        </w:rPr>
        <w:t>Goetheanum</w:t>
      </w:r>
      <w:proofErr w:type="spellEnd"/>
      <w:r>
        <w:rPr>
          <w:rFonts w:ascii="Titillium-Regular" w:hAnsi="Titillium-Regular" w:cs="Titillium-Regular"/>
        </w:rPr>
        <w:t xml:space="preserve"> bringt diesen Betrag allein durch Eigenmittel, Spenden und Kartenverkauf auf, völlig ohne Subventionen.</w:t>
      </w:r>
    </w:p>
    <w:p w14:paraId="5503612E" w14:textId="77777777" w:rsidR="00D7293E" w:rsidRDefault="00D7293E" w:rsidP="00D7293E">
      <w:pPr>
        <w:pStyle w:val="EinfAbs"/>
        <w:jc w:val="right"/>
        <w:rPr>
          <w:rFonts w:ascii="Titillium-Regular" w:hAnsi="Titillium-Regular" w:cs="Titillium-Regular"/>
          <w:sz w:val="22"/>
          <w:szCs w:val="22"/>
        </w:rPr>
      </w:pPr>
      <w:r>
        <w:rPr>
          <w:rStyle w:val="fett"/>
          <w:rFonts w:ascii="Titillium-Regular" w:hAnsi="Titillium-Regular" w:cs="Titillium-Regular"/>
        </w:rPr>
        <w:t>(1967 Zeichen/SJ)</w:t>
      </w:r>
    </w:p>
    <w:p w14:paraId="7DB3F76D"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 xml:space="preserve">Informationen: </w:t>
      </w:r>
    </w:p>
    <w:p w14:paraId="7C280901"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faust2016.ch, facebook.com/faust2016amGoetheanum</w:t>
      </w:r>
    </w:p>
    <w:p w14:paraId="26EE67AC" w14:textId="77777777" w:rsidR="00D7293E" w:rsidRDefault="00D7293E" w:rsidP="00D7293E">
      <w:pPr>
        <w:pStyle w:val="body"/>
        <w:rPr>
          <w:rFonts w:ascii="Titillium-Regular" w:hAnsi="Titillium-Regular" w:cs="Titillium-Regular"/>
        </w:rPr>
      </w:pPr>
    </w:p>
    <w:p w14:paraId="230BF226"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 xml:space="preserve">Ihre Ansprechpartnerin: </w:t>
      </w:r>
      <w:r>
        <w:rPr>
          <w:rFonts w:ascii="Titillium-Regular" w:hAnsi="Titillium-Regular" w:cs="Titillium-Regular"/>
          <w:sz w:val="22"/>
          <w:szCs w:val="22"/>
        </w:rPr>
        <w:br/>
        <w:t>Claudia Dunkel, buehne@goetheanum.ch, +41 61 706 42 50</w:t>
      </w:r>
    </w:p>
    <w:p w14:paraId="1C556C48" w14:textId="77777777" w:rsidR="00D7293E" w:rsidRDefault="00D7293E">
      <w:r>
        <w:br w:type="page"/>
      </w:r>
    </w:p>
    <w:p w14:paraId="1427BCC8" w14:textId="77777777" w:rsidR="00D7293E" w:rsidRDefault="00D7293E" w:rsidP="00D7293E">
      <w:pPr>
        <w:pStyle w:val="titel"/>
        <w:jc w:val="right"/>
        <w:rPr>
          <w:rFonts w:ascii="Titillium-Regular" w:hAnsi="Titillium-Regular" w:cs="Titillium-Regular"/>
          <w:sz w:val="22"/>
          <w:szCs w:val="22"/>
        </w:rPr>
      </w:pPr>
      <w:r>
        <w:rPr>
          <w:rFonts w:ascii="Titillium-Regular" w:hAnsi="Titillium-Regular" w:cs="Titillium-Regular"/>
          <w:sz w:val="22"/>
          <w:szCs w:val="22"/>
        </w:rPr>
        <w:tab/>
      </w:r>
      <w:proofErr w:type="spellStart"/>
      <w:r>
        <w:rPr>
          <w:rFonts w:ascii="Titillium-Regular" w:hAnsi="Titillium-Regular" w:cs="Titillium-Regular"/>
          <w:sz w:val="22"/>
          <w:szCs w:val="22"/>
        </w:rPr>
        <w:t>Goetheanum</w:t>
      </w:r>
      <w:proofErr w:type="spellEnd"/>
      <w:r>
        <w:rPr>
          <w:rFonts w:ascii="Titillium-Regular" w:hAnsi="Titillium-Regular" w:cs="Titillium-Regular"/>
          <w:sz w:val="22"/>
          <w:szCs w:val="22"/>
        </w:rPr>
        <w:t>, Dornach, 21. März 2016</w:t>
      </w:r>
    </w:p>
    <w:p w14:paraId="53820817" w14:textId="77777777" w:rsidR="00D7293E" w:rsidRDefault="00D7293E" w:rsidP="00D7293E">
      <w:pPr>
        <w:pStyle w:val="body"/>
      </w:pPr>
    </w:p>
    <w:p w14:paraId="3E7D467A" w14:textId="77777777" w:rsidR="00D7293E" w:rsidRDefault="00D7293E" w:rsidP="00D7293E">
      <w:pPr>
        <w:pStyle w:val="body"/>
      </w:pPr>
    </w:p>
    <w:p w14:paraId="67059447" w14:textId="77777777" w:rsidR="00D7293E" w:rsidRDefault="00D7293E" w:rsidP="00D7293E">
      <w:pPr>
        <w:pStyle w:val="titel"/>
        <w:rPr>
          <w:sz w:val="28"/>
          <w:szCs w:val="28"/>
        </w:rPr>
      </w:pPr>
      <w:r>
        <w:rPr>
          <w:sz w:val="28"/>
          <w:szCs w:val="28"/>
        </w:rPr>
        <w:t>‹Faust 1 und 2›: Neuinszenierung Christian Peter</w:t>
      </w:r>
    </w:p>
    <w:p w14:paraId="5C165F74" w14:textId="77777777" w:rsidR="00D7293E" w:rsidRDefault="00D7293E" w:rsidP="00D7293E">
      <w:pPr>
        <w:pStyle w:val="body"/>
      </w:pPr>
    </w:p>
    <w:p w14:paraId="6158C20D" w14:textId="77777777" w:rsidR="00D7293E" w:rsidRDefault="00D7293E" w:rsidP="00D7293E">
      <w:pPr>
        <w:pStyle w:val="body"/>
        <w:rPr>
          <w:rFonts w:ascii="Titillium-Semibold" w:hAnsi="Titillium-Semibold" w:cs="Titillium-Semibold"/>
        </w:rPr>
      </w:pPr>
      <w:r>
        <w:rPr>
          <w:rFonts w:ascii="Titillium-Semibold" w:hAnsi="Titillium-Semibold" w:cs="Titillium-Semibold"/>
        </w:rPr>
        <w:t xml:space="preserve">Christian Peter verfügt als Darsteller von Faust und </w:t>
      </w:r>
      <w:proofErr w:type="spellStart"/>
      <w:r>
        <w:rPr>
          <w:rFonts w:ascii="Titillium-Semibold" w:hAnsi="Titillium-Semibold" w:cs="Titillium-Semibold"/>
        </w:rPr>
        <w:t>Mephistopheles</w:t>
      </w:r>
      <w:proofErr w:type="spellEnd"/>
      <w:r>
        <w:rPr>
          <w:rFonts w:ascii="Titillium-Semibold" w:hAnsi="Titillium-Semibold" w:cs="Titillium-Semibold"/>
        </w:rPr>
        <w:t xml:space="preserve"> sowie als Regisseur über 30 Jahre Erfahrungen mit ‹Faust› von Johann Wolfgang von Goethe. Als Regisseur ermutigt er die Darsteller, selbst auf die Suche zu gehen – die Inszenierung entsteht aus dem Potenzial aller Beteiligten im Zusammenspiel mit Margrethe </w:t>
      </w:r>
      <w:proofErr w:type="spellStart"/>
      <w:r>
        <w:rPr>
          <w:rFonts w:ascii="Titillium-Semibold" w:hAnsi="Titillium-Semibold" w:cs="Titillium-Semibold"/>
        </w:rPr>
        <w:t>Solstad</w:t>
      </w:r>
      <w:proofErr w:type="spellEnd"/>
      <w:r>
        <w:rPr>
          <w:rFonts w:ascii="Titillium-Semibold" w:hAnsi="Titillium-Semibold" w:cs="Titillium-Semibold"/>
        </w:rPr>
        <w:t xml:space="preserve"> (Eurythmie) und Andrea </w:t>
      </w:r>
      <w:proofErr w:type="spellStart"/>
      <w:r>
        <w:rPr>
          <w:rFonts w:ascii="Titillium-Semibold" w:hAnsi="Titillium-Semibold" w:cs="Titillium-Semibold"/>
        </w:rPr>
        <w:t>Pfaehler</w:t>
      </w:r>
      <w:proofErr w:type="spellEnd"/>
      <w:r>
        <w:rPr>
          <w:rFonts w:ascii="Titillium-Semibold" w:hAnsi="Titillium-Semibold" w:cs="Titillium-Semibold"/>
        </w:rPr>
        <w:t xml:space="preserve"> (Schauspiel).</w:t>
      </w:r>
    </w:p>
    <w:p w14:paraId="25194F8E" w14:textId="77777777" w:rsidR="00D7293E" w:rsidRDefault="00D7293E" w:rsidP="00D7293E">
      <w:pPr>
        <w:pStyle w:val="body"/>
      </w:pPr>
    </w:p>
    <w:p w14:paraId="570DC477" w14:textId="77777777" w:rsidR="00D7293E" w:rsidRDefault="00D7293E" w:rsidP="00D7293E">
      <w:pPr>
        <w:pStyle w:val="body"/>
        <w:rPr>
          <w:rFonts w:ascii="Titillium-Regular" w:hAnsi="Titillium-Regular" w:cs="Titillium-Regular"/>
        </w:rPr>
      </w:pPr>
      <w:r>
        <w:rPr>
          <w:rFonts w:ascii="Titillium-Regular" w:hAnsi="Titillium-Regular" w:cs="Titillium-Regular"/>
        </w:rPr>
        <w:t>Im Projektensemble von ‹Faust 2016› sind zentrale Rollen mehrfach besetzt, um verschiedene Aspekte der Charaktere herauszuarbeiten</w:t>
      </w:r>
      <w:r>
        <w:rPr>
          <w:rFonts w:ascii="Titillium-Regular" w:hAnsi="Titillium-Regular" w:cs="Titillium-Regular"/>
          <w:strike/>
        </w:rPr>
        <w:t>:</w:t>
      </w:r>
      <w:r>
        <w:rPr>
          <w:rFonts w:ascii="Titillium-Regular" w:hAnsi="Titillium-Regular" w:cs="Titillium-Regular"/>
        </w:rPr>
        <w:t xml:space="preserve"> Mit Urs </w:t>
      </w:r>
      <w:proofErr w:type="spellStart"/>
      <w:r>
        <w:rPr>
          <w:rFonts w:ascii="Titillium-Regular" w:hAnsi="Titillium-Regular" w:cs="Titillium-Regular"/>
        </w:rPr>
        <w:t>Bihler</w:t>
      </w:r>
      <w:proofErr w:type="spellEnd"/>
      <w:r>
        <w:rPr>
          <w:rFonts w:ascii="Titillium-Regular" w:hAnsi="Titillium-Regular" w:cs="Titillium-Regular"/>
        </w:rPr>
        <w:t xml:space="preserve"> als </w:t>
      </w:r>
      <w:proofErr w:type="spellStart"/>
      <w:r>
        <w:rPr>
          <w:rFonts w:ascii="Titillium-Regular" w:hAnsi="Titillium-Regular" w:cs="Titillium-Regular"/>
        </w:rPr>
        <w:t>Mephistopheles</w:t>
      </w:r>
      <w:proofErr w:type="spellEnd"/>
      <w:r>
        <w:rPr>
          <w:rFonts w:ascii="Titillium-Regular" w:hAnsi="Titillium-Regular" w:cs="Titillium-Regular"/>
        </w:rPr>
        <w:t xml:space="preserve"> tritt ein Altmeister des Theaters an – er arbeitete mit Werner </w:t>
      </w:r>
      <w:proofErr w:type="spellStart"/>
      <w:r>
        <w:rPr>
          <w:rFonts w:ascii="Titillium-Regular" w:hAnsi="Titillium-Regular" w:cs="Titillium-Regular"/>
        </w:rPr>
        <w:t>Düggelin</w:t>
      </w:r>
      <w:proofErr w:type="spellEnd"/>
      <w:r>
        <w:rPr>
          <w:rFonts w:ascii="Titillium-Regular" w:hAnsi="Titillium-Regular" w:cs="Titillium-Regular"/>
        </w:rPr>
        <w:t xml:space="preserve">, Peter Brook und Christoph Marthaler. Er teilt sich die Rolle mit Maarten </w:t>
      </w:r>
      <w:proofErr w:type="spellStart"/>
      <w:r>
        <w:rPr>
          <w:rFonts w:ascii="Titillium-Regular" w:hAnsi="Titillium-Regular" w:cs="Titillium-Regular"/>
        </w:rPr>
        <w:t>Güppertz</w:t>
      </w:r>
      <w:proofErr w:type="spellEnd"/>
      <w:r>
        <w:rPr>
          <w:rFonts w:ascii="Titillium-Regular" w:hAnsi="Titillium-Regular" w:cs="Titillium-Regular"/>
        </w:rPr>
        <w:t xml:space="preserve">. Bernhard Glose verkörpert den jungen, Bodo </w:t>
      </w:r>
      <w:proofErr w:type="spellStart"/>
      <w:r>
        <w:rPr>
          <w:rFonts w:ascii="Titillium-Regular" w:hAnsi="Titillium-Regular" w:cs="Titillium-Regular"/>
        </w:rPr>
        <w:t>Bühling</w:t>
      </w:r>
      <w:proofErr w:type="spellEnd"/>
      <w:r>
        <w:rPr>
          <w:rFonts w:ascii="Titillium-Regular" w:hAnsi="Titillium-Regular" w:cs="Titillium-Regular"/>
        </w:rPr>
        <w:t xml:space="preserve"> den älteren Faust. Helena wird von Katja </w:t>
      </w:r>
      <w:proofErr w:type="spellStart"/>
      <w:r>
        <w:rPr>
          <w:rFonts w:ascii="Titillium-Regular" w:hAnsi="Titillium-Regular" w:cs="Titillium-Regular"/>
        </w:rPr>
        <w:t>Axe</w:t>
      </w:r>
      <w:proofErr w:type="spellEnd"/>
      <w:r>
        <w:rPr>
          <w:rFonts w:ascii="Titillium-Regular" w:hAnsi="Titillium-Regular" w:cs="Titillium-Regular"/>
        </w:rPr>
        <w:t xml:space="preserve">, Nathalie Kux und Barbara Stuten als Trio gezeigt. Das Gretchen zeigt die Jüngste auf der Bühne, Elena </w:t>
      </w:r>
      <w:proofErr w:type="spellStart"/>
      <w:r>
        <w:rPr>
          <w:rFonts w:ascii="Titillium-Regular" w:hAnsi="Titillium-Regular" w:cs="Titillium-Regular"/>
        </w:rPr>
        <w:t>Conradt</w:t>
      </w:r>
      <w:proofErr w:type="spellEnd"/>
      <w:r>
        <w:rPr>
          <w:rFonts w:ascii="Titillium-Regular" w:hAnsi="Titillium-Regular" w:cs="Titillium-Regular"/>
        </w:rPr>
        <w:t>.</w:t>
      </w:r>
    </w:p>
    <w:p w14:paraId="4636E6D1" w14:textId="77777777" w:rsidR="00D7293E" w:rsidRDefault="00D7293E" w:rsidP="00D7293E">
      <w:pPr>
        <w:pStyle w:val="body"/>
        <w:rPr>
          <w:rFonts w:ascii="Titillium-Regular" w:hAnsi="Titillium-Regular" w:cs="Titillium-Regular"/>
        </w:rPr>
      </w:pPr>
    </w:p>
    <w:p w14:paraId="4341B4BF"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Das </w:t>
      </w:r>
      <w:proofErr w:type="spellStart"/>
      <w:r>
        <w:rPr>
          <w:rFonts w:ascii="Titillium-Regular" w:hAnsi="Titillium-Regular" w:cs="Titillium-Regular"/>
        </w:rPr>
        <w:t>Grossprojekt</w:t>
      </w:r>
      <w:proofErr w:type="spellEnd"/>
      <w:r>
        <w:rPr>
          <w:rFonts w:ascii="Titillium-Regular" w:hAnsi="Titillium-Regular" w:cs="Titillium-Regular"/>
        </w:rPr>
        <w:t xml:space="preserve"> ‹Faust› hat ein komplexes Anforderungsprofil. Die Produktion des ‹Faust› erstreckt sich vom Casting bis zur letzten Aufführung über einen Zeitraum von rund zwei Jahren – eine lange Zeit der Bindung, die mit Engagements in anderen Projekten in Einklang gebracht werden muss. Bei der Zusammenstellung des Ensembles achteten Christian Peter und Margrethe </w:t>
      </w:r>
      <w:proofErr w:type="spellStart"/>
      <w:r>
        <w:rPr>
          <w:rFonts w:ascii="Titillium-Regular" w:hAnsi="Titillium-Regular" w:cs="Titillium-Regular"/>
        </w:rPr>
        <w:t>Solstad</w:t>
      </w:r>
      <w:proofErr w:type="spellEnd"/>
      <w:r>
        <w:rPr>
          <w:rFonts w:ascii="Titillium-Regular" w:hAnsi="Titillium-Regular" w:cs="Titillium-Regular"/>
        </w:rPr>
        <w:t xml:space="preserve"> zudem darauf, dass die Darsteller bereit sind, sich auf die Eurythmie einzulassen. </w:t>
      </w:r>
    </w:p>
    <w:p w14:paraId="4ABFCE8A" w14:textId="77777777" w:rsidR="00D7293E" w:rsidRDefault="00D7293E" w:rsidP="00D7293E">
      <w:pPr>
        <w:pStyle w:val="body"/>
        <w:rPr>
          <w:rFonts w:ascii="Titillium-Regular" w:hAnsi="Titillium-Regular" w:cs="Titillium-Regular"/>
        </w:rPr>
      </w:pPr>
    </w:p>
    <w:p w14:paraId="3B636517"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Christian Peters Regiearbeit setzt auf Eigenaktivität aller Darstellerinnen und Darsteller. Dafür schafft er Räume und Situationen, in denen sie Entdeckungen machen können. So besprach Christian Peter beispielsweise mit Musiker Florian Volkmann, wie man aus Glocken und Gongs Klänge herauslocken kann: Zum traditionellen Anschlagen kam ein Ziehen über den Boden und ein </w:t>
      </w:r>
      <w:proofErr w:type="spellStart"/>
      <w:r>
        <w:rPr>
          <w:rFonts w:ascii="Titillium-Regular" w:hAnsi="Titillium-Regular" w:cs="Titillium-Regular"/>
        </w:rPr>
        <w:t>Darüberfliessenlassen</w:t>
      </w:r>
      <w:proofErr w:type="spellEnd"/>
      <w:r>
        <w:rPr>
          <w:rFonts w:ascii="Titillium-Regular" w:hAnsi="Titillium-Regular" w:cs="Titillium-Regular"/>
        </w:rPr>
        <w:t xml:space="preserve"> von Wasser. Zum Ausprobieren gehört für Christian Peter das Lauschen auf das, was anwesend ist, und die Achtsamkeit darauf, was daraus entsteht. «Zunächst gibt es ein asymmetrisches Wachsen. Wenn alles gut geht, ist am Ende ein organisches Ganzes entstanden.»</w:t>
      </w:r>
    </w:p>
    <w:p w14:paraId="6F29FED7" w14:textId="77777777" w:rsidR="00D7293E" w:rsidRDefault="00D7293E" w:rsidP="00D7293E">
      <w:pPr>
        <w:pStyle w:val="EinfAbs"/>
        <w:jc w:val="right"/>
        <w:rPr>
          <w:rFonts w:ascii="Titillium-Regular" w:hAnsi="Titillium-Regular" w:cs="Titillium-Regular"/>
          <w:sz w:val="22"/>
          <w:szCs w:val="22"/>
        </w:rPr>
      </w:pPr>
      <w:r>
        <w:rPr>
          <w:rStyle w:val="fett"/>
          <w:rFonts w:ascii="Titillium-Regular" w:hAnsi="Titillium-Regular" w:cs="Titillium-Regular"/>
        </w:rPr>
        <w:t>(2018 Zeichen/SJ)</w:t>
      </w:r>
    </w:p>
    <w:p w14:paraId="392275FE"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 xml:space="preserve">Informationen: </w:t>
      </w:r>
    </w:p>
    <w:p w14:paraId="7A155CB9"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faust2016.ch</w:t>
      </w:r>
    </w:p>
    <w:p w14:paraId="2093220A"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facebook.com/faust2016amGoetheanum</w:t>
      </w:r>
    </w:p>
    <w:p w14:paraId="478DA4C9" w14:textId="77777777" w:rsidR="00D7293E" w:rsidRDefault="00D7293E" w:rsidP="00D7293E">
      <w:pPr>
        <w:pStyle w:val="body"/>
        <w:rPr>
          <w:rFonts w:ascii="Titillium-Regular" w:hAnsi="Titillium-Regular" w:cs="Titillium-Regular"/>
        </w:rPr>
      </w:pPr>
    </w:p>
    <w:p w14:paraId="1FF793FB"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 xml:space="preserve">Ihre Ansprechpartnerin: </w:t>
      </w:r>
      <w:r>
        <w:rPr>
          <w:rFonts w:ascii="Titillium-Regular" w:hAnsi="Titillium-Regular" w:cs="Titillium-Regular"/>
          <w:sz w:val="22"/>
          <w:szCs w:val="22"/>
        </w:rPr>
        <w:br/>
        <w:t>Claudia Dunkel, buehne@goetheanum.ch, +41 61 706 42 50</w:t>
      </w:r>
    </w:p>
    <w:p w14:paraId="77F4B94E" w14:textId="77777777" w:rsidR="00D7293E" w:rsidRDefault="00D7293E">
      <w:r>
        <w:br w:type="page"/>
      </w:r>
    </w:p>
    <w:p w14:paraId="0275DD3A" w14:textId="77777777" w:rsidR="00D7293E" w:rsidRDefault="00D7293E" w:rsidP="00D7293E">
      <w:pPr>
        <w:pStyle w:val="titel"/>
        <w:jc w:val="right"/>
        <w:rPr>
          <w:rFonts w:ascii="Titillium-Regular" w:hAnsi="Titillium-Regular" w:cs="Titillium-Regular"/>
          <w:sz w:val="22"/>
          <w:szCs w:val="22"/>
        </w:rPr>
      </w:pPr>
      <w:r>
        <w:rPr>
          <w:rFonts w:ascii="Titillium-Regular" w:hAnsi="Titillium-Regular" w:cs="Titillium-Regular"/>
          <w:sz w:val="22"/>
          <w:szCs w:val="22"/>
        </w:rPr>
        <w:tab/>
      </w:r>
      <w:proofErr w:type="spellStart"/>
      <w:r>
        <w:rPr>
          <w:rFonts w:ascii="Titillium-Regular" w:hAnsi="Titillium-Regular" w:cs="Titillium-Regular"/>
          <w:sz w:val="22"/>
          <w:szCs w:val="22"/>
        </w:rPr>
        <w:t>Goetheanum</w:t>
      </w:r>
      <w:proofErr w:type="spellEnd"/>
      <w:r>
        <w:rPr>
          <w:rFonts w:ascii="Titillium-Regular" w:hAnsi="Titillium-Regular" w:cs="Titillium-Regular"/>
          <w:sz w:val="22"/>
          <w:szCs w:val="22"/>
        </w:rPr>
        <w:t>, Dornach, 21. März 2016</w:t>
      </w:r>
    </w:p>
    <w:p w14:paraId="7EB49F28" w14:textId="77777777" w:rsidR="00D7293E" w:rsidRDefault="00D7293E" w:rsidP="00D7293E">
      <w:pPr>
        <w:pStyle w:val="body"/>
      </w:pPr>
    </w:p>
    <w:p w14:paraId="724ABE5D" w14:textId="77777777" w:rsidR="00D7293E" w:rsidRDefault="00D7293E" w:rsidP="00D7293E">
      <w:pPr>
        <w:pStyle w:val="body"/>
      </w:pPr>
    </w:p>
    <w:p w14:paraId="3875D7DE" w14:textId="77777777" w:rsidR="00D7293E" w:rsidRDefault="00D7293E" w:rsidP="00D7293E">
      <w:pPr>
        <w:pStyle w:val="titel"/>
        <w:rPr>
          <w:sz w:val="28"/>
          <w:szCs w:val="28"/>
        </w:rPr>
      </w:pPr>
      <w:r>
        <w:rPr>
          <w:sz w:val="28"/>
          <w:szCs w:val="28"/>
        </w:rPr>
        <w:t xml:space="preserve">‹Faust 1 und 2›: Leitung Eurythmie Margrethe </w:t>
      </w:r>
      <w:proofErr w:type="spellStart"/>
      <w:r>
        <w:rPr>
          <w:sz w:val="28"/>
          <w:szCs w:val="28"/>
        </w:rPr>
        <w:t>Solstad</w:t>
      </w:r>
      <w:proofErr w:type="spellEnd"/>
    </w:p>
    <w:p w14:paraId="1BE730A6" w14:textId="77777777" w:rsidR="00D7293E" w:rsidRDefault="00D7293E" w:rsidP="00D7293E">
      <w:pPr>
        <w:pStyle w:val="body"/>
      </w:pPr>
    </w:p>
    <w:p w14:paraId="0F421159" w14:textId="77777777" w:rsidR="00D7293E" w:rsidRDefault="00D7293E" w:rsidP="00D7293E">
      <w:pPr>
        <w:pStyle w:val="body"/>
        <w:rPr>
          <w:rFonts w:ascii="Titillium-Semibold" w:hAnsi="Titillium-Semibold" w:cs="Titillium-Semibold"/>
        </w:rPr>
      </w:pPr>
      <w:r>
        <w:rPr>
          <w:rFonts w:ascii="Titillium-Semibold" w:hAnsi="Titillium-Semibold" w:cs="Titillium-Semibold"/>
        </w:rPr>
        <w:t xml:space="preserve">Margrethe </w:t>
      </w:r>
      <w:proofErr w:type="spellStart"/>
      <w:r>
        <w:rPr>
          <w:rFonts w:ascii="Titillium-Semibold" w:hAnsi="Titillium-Semibold" w:cs="Titillium-Semibold"/>
        </w:rPr>
        <w:t>Solstad</w:t>
      </w:r>
      <w:proofErr w:type="spellEnd"/>
      <w:r>
        <w:rPr>
          <w:rFonts w:ascii="Titillium-Semibold" w:hAnsi="Titillium-Semibold" w:cs="Titillium-Semibold"/>
        </w:rPr>
        <w:t xml:space="preserve"> leitet die Eurythmie-Bühne am </w:t>
      </w:r>
      <w:proofErr w:type="spellStart"/>
      <w:r>
        <w:rPr>
          <w:rFonts w:ascii="Titillium-Semibold" w:hAnsi="Titillium-Semibold" w:cs="Titillium-Semibold"/>
        </w:rPr>
        <w:t>Goetheanum</w:t>
      </w:r>
      <w:proofErr w:type="spellEnd"/>
      <w:r>
        <w:rPr>
          <w:rFonts w:ascii="Titillium-Semibold" w:hAnsi="Titillium-Semibold" w:cs="Titillium-Semibold"/>
        </w:rPr>
        <w:t xml:space="preserve">, die für das ‹Faust›-Projekt auf 23 Eurythmistinnen und Eurythmisten erweitert wurde. In die eurythmische Arbeit </w:t>
      </w:r>
      <w:proofErr w:type="spellStart"/>
      <w:r>
        <w:rPr>
          <w:rFonts w:ascii="Titillium-Semibold" w:hAnsi="Titillium-Semibold" w:cs="Titillium-Semibold"/>
        </w:rPr>
        <w:t>fliessen</w:t>
      </w:r>
      <w:proofErr w:type="spellEnd"/>
      <w:r>
        <w:rPr>
          <w:rFonts w:ascii="Titillium-Semibold" w:hAnsi="Titillium-Semibold" w:cs="Titillium-Semibold"/>
        </w:rPr>
        <w:t xml:space="preserve"> Angaben Rudolf Steiners zu einzelnen Szenen und Wesen ein – alles andere entsteht im Rahmen der Inszenierung neu.</w:t>
      </w:r>
    </w:p>
    <w:p w14:paraId="74A029EB" w14:textId="77777777" w:rsidR="00D7293E" w:rsidRDefault="00D7293E" w:rsidP="00D7293E">
      <w:pPr>
        <w:pStyle w:val="body"/>
      </w:pPr>
    </w:p>
    <w:p w14:paraId="3F750B1E" w14:textId="77777777" w:rsidR="00D7293E" w:rsidRDefault="00D7293E" w:rsidP="00D7293E">
      <w:pPr>
        <w:pStyle w:val="body"/>
        <w:rPr>
          <w:rFonts w:ascii="Titillium-Regular" w:hAnsi="Titillium-Regular" w:cs="Titillium-Regular"/>
        </w:rPr>
      </w:pPr>
      <w:r>
        <w:rPr>
          <w:rFonts w:ascii="Titillium-Regular" w:hAnsi="Titillium-Regular" w:cs="Titillium-Regular"/>
        </w:rPr>
        <w:t>Eurythmistinnen und Eurythmisten aus zwölf Nationen bilden das Eurythmie-ensemble für ‹Faust 2016›. Bei der Zusammenstellung war das Augenmerk auf hohe solistische Ausdruckskraft und produktiven Umgang mit den Rollen im ‹Faust› gerichtet.</w:t>
      </w:r>
    </w:p>
    <w:p w14:paraId="0838435C" w14:textId="77777777" w:rsidR="00D7293E" w:rsidRDefault="00D7293E" w:rsidP="00D7293E">
      <w:pPr>
        <w:pStyle w:val="body"/>
        <w:rPr>
          <w:rFonts w:ascii="Titillium-Regular" w:hAnsi="Titillium-Regular" w:cs="Titillium-Regular"/>
        </w:rPr>
      </w:pPr>
    </w:p>
    <w:p w14:paraId="717CE282"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Wo Angaben Rudolf Steiners überliefert sind, werden sie in die eurythmische Arbeit einbezogen. «Seine Hinweise zu einzelnen Wesen sind sehr präzis», sagt Margrethe </w:t>
      </w:r>
      <w:proofErr w:type="spellStart"/>
      <w:r>
        <w:rPr>
          <w:rFonts w:ascii="Titillium-Regular" w:hAnsi="Titillium-Regular" w:cs="Titillium-Regular"/>
        </w:rPr>
        <w:t>Solstad</w:t>
      </w:r>
      <w:proofErr w:type="spellEnd"/>
      <w:r>
        <w:rPr>
          <w:rFonts w:ascii="Titillium-Regular" w:hAnsi="Titillium-Regular" w:cs="Titillium-Regular"/>
        </w:rPr>
        <w:t xml:space="preserve">. «Dem gehen wir nach.» Das betrifft vor allem Szenen von ‹Faust 2›, beispielsweise ‹Anmutige Gegend› im ersten, ‹Vor dem Palast des </w:t>
      </w:r>
      <w:proofErr w:type="spellStart"/>
      <w:r>
        <w:rPr>
          <w:rFonts w:ascii="Titillium-Regular" w:hAnsi="Titillium-Regular" w:cs="Titillium-Regular"/>
        </w:rPr>
        <w:t>Menelas</w:t>
      </w:r>
      <w:proofErr w:type="spellEnd"/>
      <w:r>
        <w:rPr>
          <w:rFonts w:ascii="Titillium-Regular" w:hAnsi="Titillium-Regular" w:cs="Titillium-Regular"/>
        </w:rPr>
        <w:t>› im dritten und die Sorge im fünften Akt. Alles andere wird für die Inszenierung neu entwickelt, nicht zuletzt mit Bezug auf das Bühnenbild. «Die Kulissen von Roy Spahn sind mit ihren konvexen und konkaven Formen für die Eurythmie ungeheuer spannend – eine Herausforderung im besten Sinne.»</w:t>
      </w:r>
    </w:p>
    <w:p w14:paraId="5F0A7702" w14:textId="77777777" w:rsidR="00D7293E" w:rsidRDefault="00D7293E" w:rsidP="00D7293E">
      <w:pPr>
        <w:pStyle w:val="body"/>
        <w:rPr>
          <w:rFonts w:ascii="Titillium-Regular" w:hAnsi="Titillium-Regular" w:cs="Titillium-Regular"/>
        </w:rPr>
      </w:pPr>
    </w:p>
    <w:p w14:paraId="2F846337"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Auf zentrale </w:t>
      </w:r>
      <w:proofErr w:type="spellStart"/>
      <w:r>
        <w:rPr>
          <w:rFonts w:ascii="Titillium-Regular" w:hAnsi="Titillium-Regular" w:cs="Titillium-Regular"/>
        </w:rPr>
        <w:t>Eurythmieszenen</w:t>
      </w:r>
      <w:proofErr w:type="spellEnd"/>
      <w:r>
        <w:rPr>
          <w:rFonts w:ascii="Titillium-Regular" w:hAnsi="Titillium-Regular" w:cs="Titillium-Regular"/>
        </w:rPr>
        <w:t xml:space="preserve"> bereiten sich Schauspieler und Eurythmisten gemeinsam vor. Anders als früher gehören auch die Sprecherinnen und Sprecher fallweise zum Bewegungschor der Eurythmistinnen und Eurythmisten. Um die verschiedenen Ebenen in den Szenen zu erfassen, «arbeiten wir viel musikalisch, sprachlich und eurythmisch zusammen». </w:t>
      </w:r>
    </w:p>
    <w:p w14:paraId="04DF0682" w14:textId="77777777" w:rsidR="00D7293E" w:rsidRDefault="00D7293E" w:rsidP="00D7293E">
      <w:pPr>
        <w:pStyle w:val="body"/>
        <w:jc w:val="right"/>
        <w:rPr>
          <w:rFonts w:ascii="Titillium-Regular" w:hAnsi="Titillium-Regular" w:cs="Titillium-Regular"/>
        </w:rPr>
      </w:pPr>
      <w:r>
        <w:rPr>
          <w:rFonts w:ascii="Titillium-Regular" w:hAnsi="Titillium-Regular" w:cs="Titillium-Regular"/>
        </w:rPr>
        <w:t>(1474 Zeichen/SJ)</w:t>
      </w:r>
    </w:p>
    <w:p w14:paraId="7B094E50" w14:textId="77777777" w:rsidR="00D7293E" w:rsidRDefault="00D7293E" w:rsidP="00D7293E">
      <w:pPr>
        <w:pStyle w:val="body"/>
        <w:rPr>
          <w:rFonts w:ascii="Titillium-Regular" w:hAnsi="Titillium-Regular" w:cs="Titillium-Regular"/>
        </w:rPr>
      </w:pPr>
    </w:p>
    <w:p w14:paraId="2F0E4FE5" w14:textId="77777777" w:rsidR="00D7293E" w:rsidRDefault="00D7293E" w:rsidP="00D7293E">
      <w:pPr>
        <w:pStyle w:val="body"/>
        <w:rPr>
          <w:rFonts w:ascii="Titillium-Regular" w:hAnsi="Titillium-Regular" w:cs="Titillium-Regular"/>
        </w:rPr>
      </w:pPr>
    </w:p>
    <w:p w14:paraId="531BCF58" w14:textId="77777777" w:rsidR="00D7293E" w:rsidRDefault="00D7293E" w:rsidP="00D7293E">
      <w:pPr>
        <w:pStyle w:val="body"/>
        <w:rPr>
          <w:rFonts w:ascii="Titillium-Regular" w:hAnsi="Titillium-Regular" w:cs="Titillium-Regular"/>
        </w:rPr>
      </w:pPr>
    </w:p>
    <w:p w14:paraId="6CEE43EC" w14:textId="77777777" w:rsidR="00D7293E" w:rsidRDefault="00D7293E" w:rsidP="00D7293E">
      <w:pPr>
        <w:pStyle w:val="body"/>
        <w:rPr>
          <w:rFonts w:ascii="Titillium-Regular" w:hAnsi="Titillium-Regular" w:cs="Titillium-Regular"/>
        </w:rPr>
      </w:pPr>
    </w:p>
    <w:p w14:paraId="0BB0B697" w14:textId="77777777" w:rsidR="00D7293E" w:rsidRDefault="00D7293E" w:rsidP="00D7293E">
      <w:pPr>
        <w:pStyle w:val="body"/>
        <w:rPr>
          <w:rFonts w:ascii="Titillium-Regular" w:hAnsi="Titillium-Regular" w:cs="Titillium-Regular"/>
        </w:rPr>
      </w:pPr>
    </w:p>
    <w:p w14:paraId="15596A18" w14:textId="77777777" w:rsidR="00D7293E" w:rsidRDefault="00D7293E" w:rsidP="00D7293E">
      <w:pPr>
        <w:pStyle w:val="body"/>
        <w:rPr>
          <w:rFonts w:ascii="Titillium-Regular" w:hAnsi="Titillium-Regular" w:cs="Titillium-Regular"/>
        </w:rPr>
      </w:pPr>
    </w:p>
    <w:p w14:paraId="2247C6C7"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 xml:space="preserve">Informationen: </w:t>
      </w:r>
    </w:p>
    <w:p w14:paraId="36A192A4"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faust2016.ch</w:t>
      </w:r>
    </w:p>
    <w:p w14:paraId="6F8368F4"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facebook.com/faust2016amGoetheanum</w:t>
      </w:r>
    </w:p>
    <w:p w14:paraId="1F5E4E81" w14:textId="77777777" w:rsidR="00D7293E" w:rsidRDefault="00D7293E" w:rsidP="00D7293E">
      <w:pPr>
        <w:pStyle w:val="body"/>
        <w:rPr>
          <w:rFonts w:ascii="Titillium-Regular" w:hAnsi="Titillium-Regular" w:cs="Titillium-Regular"/>
        </w:rPr>
      </w:pPr>
    </w:p>
    <w:p w14:paraId="7FF67A0F"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 xml:space="preserve">Ihre Ansprechpartnerin: </w:t>
      </w:r>
      <w:r>
        <w:rPr>
          <w:rFonts w:ascii="Titillium-Regular" w:hAnsi="Titillium-Regular" w:cs="Titillium-Regular"/>
          <w:sz w:val="22"/>
          <w:szCs w:val="22"/>
        </w:rPr>
        <w:br/>
        <w:t>Claudia Dunkel, buehne@goetheanum.ch, +41 61 706 42 50</w:t>
      </w:r>
    </w:p>
    <w:p w14:paraId="2DB5916E" w14:textId="77777777" w:rsidR="00D7293E" w:rsidRDefault="00D7293E">
      <w:r>
        <w:br w:type="page"/>
      </w:r>
    </w:p>
    <w:p w14:paraId="2998E5BB" w14:textId="77777777" w:rsidR="00D7293E" w:rsidRDefault="00D7293E" w:rsidP="00D7293E">
      <w:pPr>
        <w:pStyle w:val="titel"/>
        <w:jc w:val="right"/>
        <w:rPr>
          <w:rFonts w:ascii="Titillium-Regular" w:hAnsi="Titillium-Regular" w:cs="Titillium-Regular"/>
          <w:sz w:val="22"/>
          <w:szCs w:val="22"/>
        </w:rPr>
      </w:pPr>
      <w:r>
        <w:rPr>
          <w:rFonts w:ascii="Titillium-Regular" w:hAnsi="Titillium-Regular" w:cs="Titillium-Regular"/>
          <w:sz w:val="22"/>
          <w:szCs w:val="22"/>
        </w:rPr>
        <w:tab/>
      </w:r>
      <w:proofErr w:type="spellStart"/>
      <w:r>
        <w:rPr>
          <w:rFonts w:ascii="Titillium-Regular" w:hAnsi="Titillium-Regular" w:cs="Titillium-Regular"/>
          <w:sz w:val="22"/>
          <w:szCs w:val="22"/>
        </w:rPr>
        <w:t>Goetheanum</w:t>
      </w:r>
      <w:proofErr w:type="spellEnd"/>
      <w:r>
        <w:rPr>
          <w:rFonts w:ascii="Titillium-Regular" w:hAnsi="Titillium-Regular" w:cs="Titillium-Regular"/>
          <w:sz w:val="22"/>
          <w:szCs w:val="22"/>
        </w:rPr>
        <w:t>, Dornach, 21. März 2016</w:t>
      </w:r>
    </w:p>
    <w:p w14:paraId="69B1F652" w14:textId="77777777" w:rsidR="00D7293E" w:rsidRDefault="00D7293E" w:rsidP="00D7293E">
      <w:pPr>
        <w:pStyle w:val="body"/>
      </w:pPr>
    </w:p>
    <w:p w14:paraId="6B439B40" w14:textId="77777777" w:rsidR="00D7293E" w:rsidRDefault="00D7293E" w:rsidP="00D7293E">
      <w:pPr>
        <w:pStyle w:val="body"/>
      </w:pPr>
    </w:p>
    <w:p w14:paraId="1BA7E2EF" w14:textId="77777777" w:rsidR="00D7293E" w:rsidRDefault="00D7293E" w:rsidP="00D7293E">
      <w:pPr>
        <w:pStyle w:val="titel"/>
        <w:rPr>
          <w:sz w:val="28"/>
          <w:szCs w:val="28"/>
        </w:rPr>
      </w:pPr>
      <w:r>
        <w:rPr>
          <w:sz w:val="28"/>
          <w:szCs w:val="28"/>
        </w:rPr>
        <w:t xml:space="preserve">‹Faust 1 und 2›: Teileinstudierung Schauspiel Andrea </w:t>
      </w:r>
      <w:proofErr w:type="spellStart"/>
      <w:r>
        <w:rPr>
          <w:sz w:val="28"/>
          <w:szCs w:val="28"/>
        </w:rPr>
        <w:t>Pfaehler</w:t>
      </w:r>
      <w:proofErr w:type="spellEnd"/>
    </w:p>
    <w:p w14:paraId="12B9A7E5" w14:textId="77777777" w:rsidR="00D7293E" w:rsidRDefault="00D7293E" w:rsidP="00D7293E">
      <w:pPr>
        <w:pStyle w:val="body"/>
      </w:pPr>
    </w:p>
    <w:p w14:paraId="776AB116" w14:textId="77777777" w:rsidR="00D7293E" w:rsidRDefault="00D7293E" w:rsidP="00D7293E">
      <w:pPr>
        <w:pStyle w:val="body"/>
        <w:rPr>
          <w:rFonts w:ascii="Titillium-Semibold" w:hAnsi="Titillium-Semibold" w:cs="Titillium-Semibold"/>
        </w:rPr>
      </w:pPr>
      <w:r>
        <w:rPr>
          <w:rFonts w:ascii="Titillium-Semibold" w:hAnsi="Titillium-Semibold" w:cs="Titillium-Semibold"/>
        </w:rPr>
        <w:t xml:space="preserve">Andrea </w:t>
      </w:r>
      <w:proofErr w:type="spellStart"/>
      <w:r>
        <w:rPr>
          <w:rFonts w:ascii="Titillium-Semibold" w:hAnsi="Titillium-Semibold" w:cs="Titillium-Semibold"/>
        </w:rPr>
        <w:t>Pfaehler</w:t>
      </w:r>
      <w:proofErr w:type="spellEnd"/>
      <w:r>
        <w:rPr>
          <w:rFonts w:ascii="Titillium-Semibold" w:hAnsi="Titillium-Semibold" w:cs="Titillium-Semibold"/>
        </w:rPr>
        <w:t xml:space="preserve"> leitet viele der Proben. Dabei ist ihr wichtig, dass die Geschichte von ‹Faust 1 und 2› erschlossen und der Gedanke auch längerer Abschnitte von den Schauspielerinnen und Schauspielern erfasst wird.</w:t>
      </w:r>
    </w:p>
    <w:p w14:paraId="5318A256" w14:textId="77777777" w:rsidR="00D7293E" w:rsidRDefault="00D7293E" w:rsidP="00D7293E">
      <w:pPr>
        <w:pStyle w:val="body"/>
      </w:pPr>
    </w:p>
    <w:p w14:paraId="73189521"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Auf dem Weg von der Idee zur Umsetzung sind gerade in einem </w:t>
      </w:r>
      <w:proofErr w:type="spellStart"/>
      <w:r>
        <w:rPr>
          <w:rFonts w:ascii="Titillium-Regular" w:hAnsi="Titillium-Regular" w:cs="Titillium-Regular"/>
        </w:rPr>
        <w:t>Grossprojekt</w:t>
      </w:r>
      <w:proofErr w:type="spellEnd"/>
      <w:r>
        <w:rPr>
          <w:rFonts w:ascii="Titillium-Regular" w:hAnsi="Titillium-Regular" w:cs="Titillium-Regular"/>
        </w:rPr>
        <w:t xml:space="preserve"> viele Schritte nötig. Andrea </w:t>
      </w:r>
      <w:proofErr w:type="spellStart"/>
      <w:r>
        <w:rPr>
          <w:rFonts w:ascii="Titillium-Regular" w:hAnsi="Titillium-Regular" w:cs="Titillium-Regular"/>
        </w:rPr>
        <w:t>Pfaehler</w:t>
      </w:r>
      <w:proofErr w:type="spellEnd"/>
      <w:r>
        <w:rPr>
          <w:rFonts w:ascii="Titillium-Regular" w:hAnsi="Titillium-Regular" w:cs="Titillium-Regular"/>
        </w:rPr>
        <w:t xml:space="preserve"> hat der Inszenierung in vielen Proben durch den täglichen Kontakt zum Ensemble einen Boden gegeben. Dabei ist ihr wichtig, dass ‹Faust› als Geschichte erzählt wird. </w:t>
      </w:r>
    </w:p>
    <w:p w14:paraId="111E15AB" w14:textId="77777777" w:rsidR="00D7293E" w:rsidRDefault="00D7293E" w:rsidP="00D7293E">
      <w:pPr>
        <w:pStyle w:val="body"/>
        <w:rPr>
          <w:rFonts w:ascii="Titillium-Regular" w:hAnsi="Titillium-Regular" w:cs="Titillium-Regular"/>
        </w:rPr>
      </w:pPr>
    </w:p>
    <w:p w14:paraId="4A31EC34"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Jeden Morgen bietet Andrea </w:t>
      </w:r>
      <w:proofErr w:type="spellStart"/>
      <w:r>
        <w:rPr>
          <w:rFonts w:ascii="Titillium-Regular" w:hAnsi="Titillium-Regular" w:cs="Titillium-Regular"/>
        </w:rPr>
        <w:t>Pfaehler</w:t>
      </w:r>
      <w:proofErr w:type="spellEnd"/>
      <w:r>
        <w:rPr>
          <w:rFonts w:ascii="Titillium-Regular" w:hAnsi="Titillium-Regular" w:cs="Titillium-Regular"/>
        </w:rPr>
        <w:t xml:space="preserve"> Pilates an, um das Körperbewusstsein zu stärken: «Was macht eigentlich mein </w:t>
      </w:r>
      <w:proofErr w:type="spellStart"/>
      <w:r>
        <w:rPr>
          <w:rFonts w:ascii="Titillium-Regular" w:hAnsi="Titillium-Regular" w:cs="Titillium-Regular"/>
        </w:rPr>
        <w:t>Fuss</w:t>
      </w:r>
      <w:proofErr w:type="spellEnd"/>
      <w:r>
        <w:rPr>
          <w:rFonts w:ascii="Titillium-Regular" w:hAnsi="Titillium-Regular" w:cs="Titillium-Regular"/>
        </w:rPr>
        <w:t xml:space="preserve">, wenn ich oben meinen Kopf drehe?» Die </w:t>
      </w:r>
      <w:proofErr w:type="spellStart"/>
      <w:r>
        <w:rPr>
          <w:rFonts w:ascii="Titillium-Regular" w:hAnsi="Titillium-Regular" w:cs="Titillium-Regular"/>
        </w:rPr>
        <w:t>Grosse</w:t>
      </w:r>
      <w:proofErr w:type="spellEnd"/>
      <w:r>
        <w:rPr>
          <w:rFonts w:ascii="Titillium-Regular" w:hAnsi="Titillium-Regular" w:cs="Titillium-Regular"/>
        </w:rPr>
        <w:t xml:space="preserve"> Bühne sei akustisch schwierig, verlange eine frontale Spielweise, was dem eigentlichen Spielvorgang im Weg steht. Wenn man Bezüge zum Partner sichtbar macht, führt dies zu einer veränderten Spiel- und Sprechweise, «die man sich erst einmal zu eigen machen muss». </w:t>
      </w:r>
    </w:p>
    <w:p w14:paraId="783F71BC" w14:textId="77777777" w:rsidR="00D7293E" w:rsidRDefault="00D7293E" w:rsidP="00D7293E">
      <w:pPr>
        <w:pStyle w:val="body"/>
        <w:rPr>
          <w:rFonts w:ascii="Titillium-Regular" w:hAnsi="Titillium-Regular" w:cs="Titillium-Regular"/>
        </w:rPr>
      </w:pPr>
    </w:p>
    <w:p w14:paraId="34FB3A40" w14:textId="77777777" w:rsidR="00D7293E" w:rsidRDefault="00D7293E" w:rsidP="00D7293E">
      <w:pPr>
        <w:pStyle w:val="body"/>
        <w:rPr>
          <w:rFonts w:ascii="Titillium-Regular" w:hAnsi="Titillium-Regular" w:cs="Titillium-Regular"/>
        </w:rPr>
      </w:pPr>
      <w:r>
        <w:rPr>
          <w:rFonts w:ascii="Titillium-Regular" w:hAnsi="Titillium-Regular" w:cs="Titillium-Regular"/>
        </w:rPr>
        <w:t>Um das Publikum zu erreichen, müssten alle Einzelheiten des Originaltextes durchdrungen werden. «Weil der ‹Faust› ein Sprachstück ist, ist es wichtig, einen Gedanken, der sich über mehrere Zeilen entwickelt, so zu gestalten, dass er auch ankommt.»</w:t>
      </w:r>
    </w:p>
    <w:p w14:paraId="24F673F5" w14:textId="77777777" w:rsidR="00D7293E" w:rsidRDefault="00D7293E" w:rsidP="00D7293E">
      <w:pPr>
        <w:pStyle w:val="body"/>
        <w:rPr>
          <w:rFonts w:ascii="Titillium-Regular" w:hAnsi="Titillium-Regular" w:cs="Titillium-Regular"/>
        </w:rPr>
      </w:pPr>
    </w:p>
    <w:p w14:paraId="1DCB3527" w14:textId="77777777" w:rsidR="00D7293E" w:rsidRDefault="00D7293E" w:rsidP="00D7293E">
      <w:pPr>
        <w:pStyle w:val="body"/>
        <w:rPr>
          <w:rFonts w:ascii="Titillium-Regular" w:hAnsi="Titillium-Regular" w:cs="Titillium-Regular"/>
        </w:rPr>
      </w:pPr>
      <w:r>
        <w:rPr>
          <w:rFonts w:ascii="Titillium-Regular" w:hAnsi="Titillium-Regular" w:cs="Titillium-Regular"/>
        </w:rPr>
        <w:t xml:space="preserve">Andrea </w:t>
      </w:r>
      <w:proofErr w:type="spellStart"/>
      <w:r>
        <w:rPr>
          <w:rFonts w:ascii="Titillium-Regular" w:hAnsi="Titillium-Regular" w:cs="Titillium-Regular"/>
        </w:rPr>
        <w:t>Pfaehler</w:t>
      </w:r>
      <w:proofErr w:type="spellEnd"/>
      <w:r>
        <w:rPr>
          <w:rFonts w:ascii="Titillium-Regular" w:hAnsi="Titillium-Regular" w:cs="Titillium-Regular"/>
        </w:rPr>
        <w:t xml:space="preserve"> hat sich mit Gründung und Leitung der Jungen Bühne, Arlesheim, einen Namen gemacht. Seit 2012 inszeniert sie jährlich mit bis zu 20 Jugendlichen einen Klassiker der Weltliteratur. Zuletzt wurde diese Arbeit im Rahmen des Jugendprojektwettbewerbs des Kantons Solothurn ausgezeichnet. </w:t>
      </w:r>
    </w:p>
    <w:p w14:paraId="17C2E705" w14:textId="77777777" w:rsidR="00D7293E" w:rsidRDefault="00D7293E" w:rsidP="00D7293E">
      <w:pPr>
        <w:pStyle w:val="EinfAbs"/>
        <w:jc w:val="right"/>
        <w:rPr>
          <w:rFonts w:ascii="Titillium-Regular" w:hAnsi="Titillium-Regular" w:cs="Titillium-Regular"/>
          <w:sz w:val="22"/>
          <w:szCs w:val="22"/>
        </w:rPr>
      </w:pPr>
      <w:r>
        <w:rPr>
          <w:rStyle w:val="fett"/>
          <w:rFonts w:ascii="Titillium-Regular" w:hAnsi="Titillium-Regular" w:cs="Titillium-Regular"/>
        </w:rPr>
        <w:t>(1461 Zeichen/SJ)</w:t>
      </w:r>
    </w:p>
    <w:p w14:paraId="2B257A18" w14:textId="77777777" w:rsidR="00D7293E" w:rsidRDefault="00D7293E" w:rsidP="00D7293E">
      <w:pPr>
        <w:pStyle w:val="EinfAbs"/>
        <w:rPr>
          <w:rFonts w:ascii="Titillium-Regular" w:hAnsi="Titillium-Regular" w:cs="Titillium-Regular"/>
          <w:sz w:val="22"/>
          <w:szCs w:val="22"/>
        </w:rPr>
      </w:pPr>
    </w:p>
    <w:p w14:paraId="57C9A4F0" w14:textId="77777777" w:rsidR="00D7293E" w:rsidRDefault="00D7293E" w:rsidP="00D7293E">
      <w:pPr>
        <w:pStyle w:val="EinfAbs"/>
        <w:rPr>
          <w:rFonts w:ascii="Titillium-Regular" w:hAnsi="Titillium-Regular" w:cs="Titillium-Regular"/>
          <w:sz w:val="22"/>
          <w:szCs w:val="22"/>
        </w:rPr>
      </w:pPr>
    </w:p>
    <w:p w14:paraId="6DC96A32" w14:textId="77777777" w:rsidR="00D7293E" w:rsidRDefault="00D7293E" w:rsidP="00D7293E">
      <w:pPr>
        <w:pStyle w:val="EinfAbs"/>
        <w:rPr>
          <w:rFonts w:ascii="Titillium-Regular" w:hAnsi="Titillium-Regular" w:cs="Titillium-Regular"/>
          <w:sz w:val="22"/>
          <w:szCs w:val="22"/>
        </w:rPr>
      </w:pPr>
    </w:p>
    <w:p w14:paraId="62FBE64A" w14:textId="77777777" w:rsidR="00D7293E" w:rsidRDefault="00D7293E" w:rsidP="00D7293E">
      <w:pPr>
        <w:pStyle w:val="EinfAbs"/>
        <w:rPr>
          <w:rFonts w:ascii="Titillium-Regular" w:hAnsi="Titillium-Regular" w:cs="Titillium-Regular"/>
          <w:sz w:val="22"/>
          <w:szCs w:val="22"/>
        </w:rPr>
      </w:pPr>
    </w:p>
    <w:p w14:paraId="74BE94E6"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 xml:space="preserve">Aktuelle Informationen: </w:t>
      </w:r>
    </w:p>
    <w:p w14:paraId="4E632A99"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faust2016.ch</w:t>
      </w:r>
    </w:p>
    <w:p w14:paraId="4D6610EA"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facebook.com/faust2016amGoetheanum</w:t>
      </w:r>
    </w:p>
    <w:p w14:paraId="5FA3B8F9" w14:textId="77777777" w:rsidR="00D7293E" w:rsidRDefault="00D7293E" w:rsidP="00D7293E">
      <w:pPr>
        <w:pStyle w:val="body"/>
        <w:rPr>
          <w:rFonts w:ascii="Titillium-Regular" w:hAnsi="Titillium-Regular" w:cs="Titillium-Regular"/>
        </w:rPr>
      </w:pPr>
    </w:p>
    <w:p w14:paraId="26FC0BBD" w14:textId="77777777" w:rsidR="00D7293E" w:rsidRDefault="00D7293E" w:rsidP="00D7293E">
      <w:pPr>
        <w:pStyle w:val="EinfAbs"/>
        <w:rPr>
          <w:rFonts w:ascii="Titillium-Regular" w:hAnsi="Titillium-Regular" w:cs="Titillium-Regular"/>
          <w:sz w:val="22"/>
          <w:szCs w:val="22"/>
        </w:rPr>
      </w:pPr>
      <w:r>
        <w:rPr>
          <w:rFonts w:ascii="Titillium-Regular" w:hAnsi="Titillium-Regular" w:cs="Titillium-Regular"/>
          <w:sz w:val="22"/>
          <w:szCs w:val="22"/>
        </w:rPr>
        <w:t xml:space="preserve">Ihre Ansprechpartnerin: </w:t>
      </w:r>
      <w:r>
        <w:rPr>
          <w:rFonts w:ascii="Titillium-Regular" w:hAnsi="Titillium-Regular" w:cs="Titillium-Regular"/>
          <w:sz w:val="22"/>
          <w:szCs w:val="22"/>
        </w:rPr>
        <w:br/>
        <w:t>Claudia Dunkel, buehne@goetheanum.ch, +41 61 706 42 50</w:t>
      </w:r>
    </w:p>
    <w:p w14:paraId="2E5B1EFD" w14:textId="77777777" w:rsidR="00D7293E" w:rsidRDefault="00D7293E">
      <w:r>
        <w:br w:type="page"/>
      </w:r>
    </w:p>
    <w:p w14:paraId="78C094C4" w14:textId="77777777" w:rsidR="00D7293E" w:rsidRDefault="00D7293E" w:rsidP="00D7293E">
      <w:pPr>
        <w:pStyle w:val="titel"/>
        <w:jc w:val="right"/>
        <w:rPr>
          <w:rFonts w:ascii="Titillium-Light" w:hAnsi="Titillium-Light" w:cs="Titillium-Light"/>
          <w:sz w:val="22"/>
          <w:szCs w:val="22"/>
        </w:rPr>
      </w:pPr>
      <w:r>
        <w:rPr>
          <w:rFonts w:ascii="Titillium-Light" w:hAnsi="Titillium-Light" w:cs="Titillium-Light"/>
          <w:sz w:val="22"/>
          <w:szCs w:val="22"/>
        </w:rPr>
        <w:tab/>
      </w:r>
      <w:proofErr w:type="spellStart"/>
      <w:r>
        <w:rPr>
          <w:rFonts w:ascii="Titillium-Light" w:hAnsi="Titillium-Light" w:cs="Titillium-Light"/>
          <w:sz w:val="22"/>
          <w:szCs w:val="22"/>
        </w:rPr>
        <w:t>Goetheanum</w:t>
      </w:r>
      <w:proofErr w:type="spellEnd"/>
      <w:r>
        <w:rPr>
          <w:rFonts w:ascii="Titillium-Light" w:hAnsi="Titillium-Light" w:cs="Titillium-Light"/>
          <w:sz w:val="22"/>
          <w:szCs w:val="22"/>
        </w:rPr>
        <w:t>, Dornach, 21. März 2016</w:t>
      </w:r>
    </w:p>
    <w:p w14:paraId="0F1820A3" w14:textId="77777777" w:rsidR="00D7293E" w:rsidRDefault="00D7293E" w:rsidP="00D7293E">
      <w:pPr>
        <w:pStyle w:val="body"/>
      </w:pPr>
      <w:bookmarkStart w:id="0" w:name="_GoBack"/>
      <w:bookmarkEnd w:id="0"/>
    </w:p>
    <w:p w14:paraId="2BA8C364" w14:textId="77777777" w:rsidR="00D7293E" w:rsidRDefault="00D7293E" w:rsidP="00D7293E">
      <w:pPr>
        <w:pStyle w:val="titel"/>
        <w:rPr>
          <w:sz w:val="28"/>
          <w:szCs w:val="28"/>
        </w:rPr>
      </w:pPr>
      <w:r>
        <w:rPr>
          <w:sz w:val="28"/>
          <w:szCs w:val="28"/>
        </w:rPr>
        <w:t>Fotoausstellung ‹Faust 2016›</w:t>
      </w:r>
    </w:p>
    <w:p w14:paraId="045C9352" w14:textId="77777777" w:rsidR="00D7293E" w:rsidRDefault="00D7293E" w:rsidP="00D7293E">
      <w:pPr>
        <w:pStyle w:val="body"/>
      </w:pPr>
    </w:p>
    <w:p w14:paraId="6E8C68E8" w14:textId="77777777" w:rsidR="00D7293E" w:rsidRDefault="00D7293E" w:rsidP="00D7293E">
      <w:pPr>
        <w:pStyle w:val="body"/>
        <w:rPr>
          <w:rFonts w:ascii="Titillium-Semibold" w:hAnsi="Titillium-Semibold" w:cs="Titillium-Semibold"/>
        </w:rPr>
      </w:pPr>
      <w:r>
        <w:rPr>
          <w:rFonts w:ascii="Titillium-Semibold" w:hAnsi="Titillium-Semibold" w:cs="Titillium-Semibold"/>
        </w:rPr>
        <w:t xml:space="preserve">Zusätzlich zu den Aufführungen gibt es eine Ausstellung der </w:t>
      </w:r>
      <w:proofErr w:type="spellStart"/>
      <w:r>
        <w:rPr>
          <w:rFonts w:ascii="Titillium-Semibold" w:hAnsi="Titillium-Semibold" w:cs="Titillium-Semibold"/>
        </w:rPr>
        <w:t>Goetheanum</w:t>
      </w:r>
      <w:proofErr w:type="spellEnd"/>
      <w:r>
        <w:rPr>
          <w:rFonts w:ascii="Titillium-Semibold" w:hAnsi="Titillium-Semibold" w:cs="Titillium-Semibold"/>
        </w:rPr>
        <w:t xml:space="preserve">-Bühne zum Welt- und Menschenbild in Goethes ‹Faust 1 und 2›. Nach einem Konzept von Dramaturg Alexander Höhne arrangierte der Grafiker Joachim </w:t>
      </w:r>
      <w:proofErr w:type="spellStart"/>
      <w:r>
        <w:rPr>
          <w:rFonts w:ascii="Titillium-Semibold" w:hAnsi="Titillium-Semibold" w:cs="Titillium-Semibold"/>
        </w:rPr>
        <w:t>Kühmstedt</w:t>
      </w:r>
      <w:proofErr w:type="spellEnd"/>
      <w:r>
        <w:rPr>
          <w:rFonts w:ascii="Titillium-Semibold" w:hAnsi="Titillium-Semibold" w:cs="Titillium-Semibold"/>
        </w:rPr>
        <w:t xml:space="preserve"> Motive aus der Fotodokumentation der Neuinszenierung von Georg </w:t>
      </w:r>
      <w:proofErr w:type="spellStart"/>
      <w:r>
        <w:rPr>
          <w:rFonts w:ascii="Titillium-Semibold" w:hAnsi="Titillium-Semibold" w:cs="Titillium-Semibold"/>
        </w:rPr>
        <w:t>Tedeschi</w:t>
      </w:r>
      <w:proofErr w:type="spellEnd"/>
      <w:r>
        <w:rPr>
          <w:rFonts w:ascii="Titillium-Semibold" w:hAnsi="Titillium-Semibold" w:cs="Titillium-Semibold"/>
        </w:rPr>
        <w:t>.</w:t>
      </w:r>
    </w:p>
    <w:p w14:paraId="1BA18E5C" w14:textId="77777777" w:rsidR="00D7293E" w:rsidRDefault="00D7293E" w:rsidP="00D7293E">
      <w:pPr>
        <w:pStyle w:val="body"/>
      </w:pPr>
    </w:p>
    <w:p w14:paraId="1FDF1F7D" w14:textId="77777777" w:rsidR="00D7293E" w:rsidRDefault="00D7293E" w:rsidP="00D7293E">
      <w:pPr>
        <w:pStyle w:val="body"/>
      </w:pPr>
      <w:r>
        <w:t xml:space="preserve">Johann Wolfgang von Goethe gibt in seinem ‹Faust› den Erfahrungsebenen des Menschen vielfältige und starke Bilder. Durch die Anordnung von Szenenbildern aus der aktuellen ‹Faust›-Inszenierung am </w:t>
      </w:r>
      <w:proofErr w:type="spellStart"/>
      <w:r>
        <w:t>Goetheanum</w:t>
      </w:r>
      <w:proofErr w:type="spellEnd"/>
      <w:r>
        <w:t xml:space="preserve"> werden einige der Sichtachsen Goethes deutlich: Es gibt Szenen einer geistig-übersinnlichen Welt und der seelisch-irdischen Lebenssphäre. In einer weiteren Dimension geht es um Fragen der Gemeinschaft, des Frauenbildes beziehungsweise der Auffassung des Weiblichen und um die Persona, also um jene Maske, die mit der Strategie geschaffen wird, gesellschaftlichen Konventionen gerecht zu werden.</w:t>
      </w:r>
    </w:p>
    <w:p w14:paraId="4DC7BD80" w14:textId="77777777" w:rsidR="00D7293E" w:rsidRDefault="00D7293E" w:rsidP="00D7293E">
      <w:pPr>
        <w:pStyle w:val="body"/>
      </w:pPr>
    </w:p>
    <w:p w14:paraId="02BDAF18" w14:textId="77777777" w:rsidR="00D7293E" w:rsidRDefault="00D7293E" w:rsidP="00D7293E">
      <w:pPr>
        <w:pStyle w:val="body"/>
      </w:pPr>
      <w:r>
        <w:t xml:space="preserve">Den Engeln und Gottvater im ‹Prolog im Himmel› stehen die Saufkumpanen in ‹Auerbachs Keller› gegenüber. ‹Himmel› und ‹Keller› sind zugleich bildhafte Bewertungen: weisheitsvoll ist die göttliche, ‹obere› Welt, unmoralisch die ‹untere› Welt der Begierden, des Rausches und des herabgedämpften Bewusstseins. </w:t>
      </w:r>
    </w:p>
    <w:p w14:paraId="41F2EC28" w14:textId="77777777" w:rsidR="00D7293E" w:rsidRDefault="00D7293E" w:rsidP="00D7293E">
      <w:pPr>
        <w:pStyle w:val="body"/>
      </w:pPr>
    </w:p>
    <w:p w14:paraId="1F5A9C78" w14:textId="77777777" w:rsidR="00D7293E" w:rsidRDefault="00D7293E" w:rsidP="00D7293E">
      <w:pPr>
        <w:pStyle w:val="body"/>
      </w:pPr>
      <w:r>
        <w:t>Das Frauenbild lässt sich an Helena und Gretchen aufzeigen: Helena ist eine überhöht-idealisierte Gestalt, die darunter leidet, aus der Projektion anderer zu bestehen, ohne über eine persönliche Identität und damit über Handlungsfähigkeit zu verfügen. Gretchen ist bei aller Idealisierung gleichzeitig eine Frau mit Eigenwillen und sexuellen Bedürfnissen und entwickelt sich zum Beistand für Faust in der Himmelfahrt.</w:t>
      </w:r>
    </w:p>
    <w:p w14:paraId="72315B37" w14:textId="77777777" w:rsidR="00D7293E" w:rsidRDefault="00D7293E" w:rsidP="00D7293E">
      <w:pPr>
        <w:pStyle w:val="body"/>
      </w:pPr>
    </w:p>
    <w:p w14:paraId="6A8552F3" w14:textId="77777777" w:rsidR="00D7293E" w:rsidRDefault="00D7293E" w:rsidP="00D7293E">
      <w:pPr>
        <w:pStyle w:val="body"/>
      </w:pPr>
      <w:r>
        <w:t xml:space="preserve">Werden im Mummenschanz die Rollen des Alltagslebens abgelegt und andere Identitäten als Amüsement angenommen, zeigt die Himmelfahrt den Wesenskern, der übrig bleibt, wenn man die Persona ablegt: Faust erscheint als Dr. </w:t>
      </w:r>
      <w:proofErr w:type="spellStart"/>
      <w:r>
        <w:t>Marianus</w:t>
      </w:r>
      <w:proofErr w:type="spellEnd"/>
      <w:r>
        <w:t xml:space="preserve">. </w:t>
      </w:r>
    </w:p>
    <w:p w14:paraId="17CC2BCA" w14:textId="77777777" w:rsidR="00D7293E" w:rsidRDefault="00D7293E" w:rsidP="00D7293E">
      <w:pPr>
        <w:pStyle w:val="body"/>
        <w:jc w:val="right"/>
      </w:pPr>
      <w:r>
        <w:rPr>
          <w:rStyle w:val="fett"/>
        </w:rPr>
        <w:t>(1847 Zeichen/SJ)</w:t>
      </w:r>
    </w:p>
    <w:p w14:paraId="0EB8B35C"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 xml:space="preserve">Aktuelle Informationen: </w:t>
      </w:r>
    </w:p>
    <w:p w14:paraId="5EC59521"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faust2016.ch</w:t>
      </w:r>
    </w:p>
    <w:p w14:paraId="5CF7027B"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facebook.com/faust2016amGoetheanum</w:t>
      </w:r>
    </w:p>
    <w:p w14:paraId="0B270D51" w14:textId="77777777" w:rsidR="00D7293E" w:rsidRDefault="00D7293E" w:rsidP="00D7293E">
      <w:pPr>
        <w:pStyle w:val="body"/>
      </w:pPr>
    </w:p>
    <w:p w14:paraId="74368DBA"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Ihre Ansprechpartner:</w:t>
      </w:r>
    </w:p>
    <w:p w14:paraId="6BE80657"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Alexander Höhne, hoehne.a@gmail.com</w:t>
      </w:r>
    </w:p>
    <w:p w14:paraId="3F48157E"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 xml:space="preserve">Joachim </w:t>
      </w:r>
      <w:proofErr w:type="spellStart"/>
      <w:r>
        <w:rPr>
          <w:rFonts w:ascii="Titillium-Light" w:hAnsi="Titillium-Light" w:cs="Titillium-Light"/>
          <w:sz w:val="22"/>
          <w:szCs w:val="22"/>
        </w:rPr>
        <w:t>Kühmstedt</w:t>
      </w:r>
      <w:proofErr w:type="spellEnd"/>
      <w:r>
        <w:rPr>
          <w:rFonts w:ascii="Titillium-Light" w:hAnsi="Titillium-Light" w:cs="Titillium-Light"/>
          <w:sz w:val="22"/>
          <w:szCs w:val="22"/>
        </w:rPr>
        <w:t>, mail@j4-studio.com</w:t>
      </w:r>
    </w:p>
    <w:p w14:paraId="4B6D4D2D"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 xml:space="preserve">Georg </w:t>
      </w:r>
      <w:proofErr w:type="spellStart"/>
      <w:r>
        <w:rPr>
          <w:rFonts w:ascii="Titillium-Light" w:hAnsi="Titillium-Light" w:cs="Titillium-Light"/>
          <w:sz w:val="22"/>
          <w:szCs w:val="22"/>
        </w:rPr>
        <w:t>Tedeschi</w:t>
      </w:r>
      <w:proofErr w:type="spellEnd"/>
      <w:r>
        <w:rPr>
          <w:rFonts w:ascii="Titillium-Light" w:hAnsi="Titillium-Light" w:cs="Titillium-Light"/>
          <w:sz w:val="22"/>
          <w:szCs w:val="22"/>
        </w:rPr>
        <w:t>, info@georgtedeschi.com</w:t>
      </w:r>
    </w:p>
    <w:p w14:paraId="3B369F59" w14:textId="77777777" w:rsidR="00D7293E" w:rsidRDefault="00D7293E">
      <w:pPr>
        <w:rPr>
          <w:rFonts w:ascii="Titillium-Light" w:hAnsi="Titillium-Light" w:cs="Titillium-Light"/>
          <w:color w:val="000000"/>
          <w:sz w:val="22"/>
          <w:szCs w:val="22"/>
          <w:lang w:eastAsia="ja-JP"/>
        </w:rPr>
      </w:pPr>
      <w:r>
        <w:rPr>
          <w:rFonts w:ascii="Titillium-Light" w:hAnsi="Titillium-Light" w:cs="Titillium-Light"/>
          <w:sz w:val="22"/>
          <w:szCs w:val="22"/>
        </w:rPr>
        <w:br w:type="page"/>
      </w:r>
    </w:p>
    <w:p w14:paraId="398BF7AB" w14:textId="77777777" w:rsidR="00D7293E" w:rsidRDefault="00D7293E" w:rsidP="00D7293E">
      <w:pPr>
        <w:pStyle w:val="titel"/>
        <w:jc w:val="right"/>
        <w:rPr>
          <w:rFonts w:ascii="Titillium-Light" w:hAnsi="Titillium-Light" w:cs="Titillium-Light"/>
          <w:sz w:val="22"/>
          <w:szCs w:val="22"/>
        </w:rPr>
      </w:pPr>
      <w:r>
        <w:rPr>
          <w:rFonts w:ascii="Titillium-Light" w:hAnsi="Titillium-Light" w:cs="Titillium-Light"/>
          <w:sz w:val="22"/>
          <w:szCs w:val="22"/>
        </w:rPr>
        <w:tab/>
      </w:r>
      <w:proofErr w:type="spellStart"/>
      <w:r>
        <w:rPr>
          <w:rFonts w:ascii="Titillium-Light" w:hAnsi="Titillium-Light" w:cs="Titillium-Light"/>
          <w:sz w:val="22"/>
          <w:szCs w:val="22"/>
        </w:rPr>
        <w:t>Goetheanum</w:t>
      </w:r>
      <w:proofErr w:type="spellEnd"/>
      <w:r>
        <w:rPr>
          <w:rFonts w:ascii="Titillium-Light" w:hAnsi="Titillium-Light" w:cs="Titillium-Light"/>
          <w:sz w:val="22"/>
          <w:szCs w:val="22"/>
        </w:rPr>
        <w:t>, Dornach, 21. März 2016</w:t>
      </w:r>
    </w:p>
    <w:p w14:paraId="49A928E5" w14:textId="77777777" w:rsidR="00D7293E" w:rsidRDefault="00D7293E" w:rsidP="00D7293E">
      <w:pPr>
        <w:pStyle w:val="body"/>
      </w:pPr>
    </w:p>
    <w:p w14:paraId="7992C7DB" w14:textId="77777777" w:rsidR="00D7293E" w:rsidRDefault="00D7293E" w:rsidP="00D7293E">
      <w:pPr>
        <w:pStyle w:val="body"/>
      </w:pPr>
    </w:p>
    <w:p w14:paraId="0F0A27A1" w14:textId="77777777" w:rsidR="00D7293E" w:rsidRDefault="00D7293E" w:rsidP="00D7293E">
      <w:pPr>
        <w:pStyle w:val="titel"/>
        <w:rPr>
          <w:sz w:val="28"/>
          <w:szCs w:val="28"/>
        </w:rPr>
      </w:pPr>
      <w:proofErr w:type="spellStart"/>
      <w:r>
        <w:rPr>
          <w:sz w:val="28"/>
          <w:szCs w:val="28"/>
        </w:rPr>
        <w:t>Goetheanum</w:t>
      </w:r>
      <w:proofErr w:type="spellEnd"/>
      <w:r>
        <w:rPr>
          <w:sz w:val="28"/>
          <w:szCs w:val="28"/>
        </w:rPr>
        <w:t>-Bühne – ein Ort mit Geschichte</w:t>
      </w:r>
    </w:p>
    <w:p w14:paraId="139F03C3" w14:textId="77777777" w:rsidR="00D7293E" w:rsidRDefault="00D7293E" w:rsidP="00D7293E">
      <w:pPr>
        <w:pStyle w:val="body"/>
      </w:pPr>
    </w:p>
    <w:p w14:paraId="56601320" w14:textId="77777777" w:rsidR="00D7293E" w:rsidRDefault="00D7293E" w:rsidP="00D7293E">
      <w:pPr>
        <w:pStyle w:val="body"/>
        <w:rPr>
          <w:rFonts w:ascii="Titillium-Semibold" w:hAnsi="Titillium-Semibold" w:cs="Titillium-Semibold"/>
        </w:rPr>
      </w:pPr>
      <w:r>
        <w:rPr>
          <w:rFonts w:ascii="Titillium-Semibold" w:hAnsi="Titillium-Semibold" w:cs="Titillium-Semibold"/>
        </w:rPr>
        <w:t xml:space="preserve">Die Bühne im </w:t>
      </w:r>
      <w:proofErr w:type="spellStart"/>
      <w:r>
        <w:rPr>
          <w:rFonts w:ascii="Titillium-Semibold" w:hAnsi="Titillium-Semibold" w:cs="Titillium-Semibold"/>
        </w:rPr>
        <w:t>Grossen</w:t>
      </w:r>
      <w:proofErr w:type="spellEnd"/>
      <w:r>
        <w:rPr>
          <w:rFonts w:ascii="Titillium-Semibold" w:hAnsi="Titillium-Semibold" w:cs="Titillium-Semibold"/>
        </w:rPr>
        <w:t xml:space="preserve"> Saal des </w:t>
      </w:r>
      <w:proofErr w:type="spellStart"/>
      <w:r>
        <w:rPr>
          <w:rFonts w:ascii="Titillium-Semibold" w:hAnsi="Titillium-Semibold" w:cs="Titillium-Semibold"/>
        </w:rPr>
        <w:t>Goetheanum</w:t>
      </w:r>
      <w:proofErr w:type="spellEnd"/>
      <w:r>
        <w:rPr>
          <w:rFonts w:ascii="Titillium-Semibold" w:hAnsi="Titillium-Semibold" w:cs="Titillium-Semibold"/>
        </w:rPr>
        <w:t xml:space="preserve"> ist eine der </w:t>
      </w:r>
      <w:proofErr w:type="spellStart"/>
      <w:r>
        <w:rPr>
          <w:rFonts w:ascii="Titillium-Semibold" w:hAnsi="Titillium-Semibold" w:cs="Titillium-Semibold"/>
        </w:rPr>
        <w:t>grössten</w:t>
      </w:r>
      <w:proofErr w:type="spellEnd"/>
      <w:r>
        <w:rPr>
          <w:rFonts w:ascii="Titillium-Semibold" w:hAnsi="Titillium-Semibold" w:cs="Titillium-Semibold"/>
        </w:rPr>
        <w:t xml:space="preserve"> Bühnen in der Schweiz. Ihr Programm weist ein breites Spektrum an Veranstaltungen auf. Die eigenen Produktionen und Gastspiele werden vor allem von Tagungsgästen und Publikum aus der Region besucht.</w:t>
      </w:r>
    </w:p>
    <w:p w14:paraId="3ECA90CF" w14:textId="77777777" w:rsidR="00D7293E" w:rsidRDefault="00D7293E" w:rsidP="00D7293E">
      <w:pPr>
        <w:pStyle w:val="body"/>
      </w:pPr>
    </w:p>
    <w:p w14:paraId="7C223B66" w14:textId="77777777" w:rsidR="00D7293E" w:rsidRDefault="00D7293E" w:rsidP="00D7293E">
      <w:pPr>
        <w:pStyle w:val="body"/>
      </w:pPr>
      <w:r>
        <w:t xml:space="preserve">Die </w:t>
      </w:r>
      <w:proofErr w:type="spellStart"/>
      <w:r>
        <w:t>Goetheanum</w:t>
      </w:r>
      <w:proofErr w:type="spellEnd"/>
      <w:r>
        <w:t xml:space="preserve">-Bühne hat 1937 offiziell die Schweiz bei der Pariser Weltfachausstellung mit Szenen aus dem ‹Faust› von Johann Wolfgang von Goethe vertreten – ein Jahr später fand die Uraufführung des ungekürzten ‹Faust 1 und 2› am </w:t>
      </w:r>
      <w:proofErr w:type="spellStart"/>
      <w:r>
        <w:t>Goetheanum</w:t>
      </w:r>
      <w:proofErr w:type="spellEnd"/>
      <w:r>
        <w:t xml:space="preserve"> statt. Einige Dramen Albert Steffens wurden erstmals am </w:t>
      </w:r>
      <w:proofErr w:type="spellStart"/>
      <w:r>
        <w:t>Goetheanum</w:t>
      </w:r>
      <w:proofErr w:type="spellEnd"/>
      <w:r>
        <w:t xml:space="preserve"> gezeigt. Und die Oper ‹Der Sturz des Antichrist› von Viktor Ullmann in der Inszenierung des Mährischen Theaters Olomouc hatte am </w:t>
      </w:r>
      <w:proofErr w:type="spellStart"/>
      <w:r>
        <w:t>Goetheanum</w:t>
      </w:r>
      <w:proofErr w:type="spellEnd"/>
      <w:r>
        <w:t xml:space="preserve"> 2014 ihre Schweizer Erstaufführung.</w:t>
      </w:r>
    </w:p>
    <w:p w14:paraId="484DAEF7" w14:textId="77777777" w:rsidR="00D7293E" w:rsidRDefault="00D7293E" w:rsidP="00D7293E">
      <w:pPr>
        <w:pStyle w:val="body"/>
      </w:pPr>
    </w:p>
    <w:p w14:paraId="673E1DC2" w14:textId="77777777" w:rsidR="00D7293E" w:rsidRDefault="00D7293E" w:rsidP="00D7293E">
      <w:pPr>
        <w:pStyle w:val="body"/>
      </w:pPr>
      <w:r>
        <w:t xml:space="preserve">Das Kernprogramm der </w:t>
      </w:r>
      <w:proofErr w:type="spellStart"/>
      <w:r>
        <w:t>Goetheanum</w:t>
      </w:r>
      <w:proofErr w:type="spellEnd"/>
      <w:r>
        <w:t xml:space="preserve">-Bühne umfasst Eurythmie, Schauspiel und Konzerte. Dafür stehen </w:t>
      </w:r>
      <w:proofErr w:type="spellStart"/>
      <w:r>
        <w:t>Grosser</w:t>
      </w:r>
      <w:proofErr w:type="spellEnd"/>
      <w:r>
        <w:t xml:space="preserve"> Saal (1000 Plätze), Grundsteinsaal (460 Plätze) und Schreinereisaal (bis 200 Plätze) zur Verfügung. Für Lesungen und Rezitationen gibt es weitere Räume. Das Repertoire der </w:t>
      </w:r>
      <w:proofErr w:type="spellStart"/>
      <w:r>
        <w:t>Goetheanum</w:t>
      </w:r>
      <w:proofErr w:type="spellEnd"/>
      <w:r>
        <w:t xml:space="preserve">-Eurythmie-Bühne reicht von Bach über Beethoven bis zu zeitgenössischen Komponisten und Autoren. Für </w:t>
      </w:r>
      <w:proofErr w:type="spellStart"/>
      <w:r>
        <w:t>Grossprojekte</w:t>
      </w:r>
      <w:proofErr w:type="spellEnd"/>
      <w:r>
        <w:t xml:space="preserve"> wie die Aufführungen der vier </w:t>
      </w:r>
      <w:proofErr w:type="spellStart"/>
      <w:r>
        <w:t>Mysteriendramen</w:t>
      </w:r>
      <w:proofErr w:type="spellEnd"/>
      <w:r>
        <w:t xml:space="preserve"> Rudolf Steiners und von ‹Faust 1 und 2› werden Projektensembles gebildet. </w:t>
      </w:r>
    </w:p>
    <w:p w14:paraId="5508881F" w14:textId="77777777" w:rsidR="00D7293E" w:rsidRDefault="00D7293E" w:rsidP="00D7293E">
      <w:pPr>
        <w:pStyle w:val="body"/>
      </w:pPr>
    </w:p>
    <w:p w14:paraId="435AF5A3" w14:textId="77777777" w:rsidR="00D7293E" w:rsidRDefault="00D7293E" w:rsidP="00D7293E">
      <w:pPr>
        <w:pStyle w:val="body"/>
      </w:pPr>
      <w:r>
        <w:t xml:space="preserve">Die Gastspiele reichen von Schauspiel (Klassiker der Weltliteratur) über Clownerie bis zu Konzerten. </w:t>
      </w:r>
      <w:r>
        <w:rPr>
          <w:rStyle w:val="fett"/>
        </w:rPr>
        <w:t xml:space="preserve">Aufgrund seiner </w:t>
      </w:r>
      <w:r>
        <w:t xml:space="preserve">Akustik wird der </w:t>
      </w:r>
      <w:proofErr w:type="spellStart"/>
      <w:r>
        <w:t>Grosse</w:t>
      </w:r>
      <w:proofErr w:type="spellEnd"/>
      <w:r>
        <w:t xml:space="preserve"> Saal für Tonaufnahmen genutzt, zuletzt vom Opernhaus Zürich. Mit der Bühnensanierung 2013/14 wurde ein Orchestergraben – beispielsweise für </w:t>
      </w:r>
      <w:proofErr w:type="spellStart"/>
      <w:r>
        <w:t>Eurythmieaufführungen</w:t>
      </w:r>
      <w:proofErr w:type="spellEnd"/>
      <w:r>
        <w:t xml:space="preserve"> und Operninszenierungen – eingerichtet. </w:t>
      </w:r>
    </w:p>
    <w:p w14:paraId="138E4908" w14:textId="77777777" w:rsidR="00D7293E" w:rsidRDefault="00D7293E" w:rsidP="00D7293E">
      <w:pPr>
        <w:pStyle w:val="body"/>
      </w:pPr>
    </w:p>
    <w:p w14:paraId="54947113" w14:textId="77777777" w:rsidR="00D7293E" w:rsidRDefault="00D7293E" w:rsidP="00D7293E">
      <w:pPr>
        <w:pStyle w:val="body"/>
      </w:pPr>
      <w:r>
        <w:t xml:space="preserve">Die </w:t>
      </w:r>
      <w:proofErr w:type="spellStart"/>
      <w:r>
        <w:t>Goetheanum</w:t>
      </w:r>
      <w:proofErr w:type="spellEnd"/>
      <w:r>
        <w:t>-Bühne ist Kooperationspartner der Jungen Bühne (Leitung: An-</w:t>
      </w:r>
      <w:proofErr w:type="spellStart"/>
      <w:r>
        <w:t>drea</w:t>
      </w:r>
      <w:proofErr w:type="spellEnd"/>
      <w:r>
        <w:t xml:space="preserve"> </w:t>
      </w:r>
      <w:proofErr w:type="spellStart"/>
      <w:r>
        <w:t>Pfaehler</w:t>
      </w:r>
      <w:proofErr w:type="spellEnd"/>
      <w:r>
        <w:t>), die seit 2012 Jugendlichen professionelle Theaterarbeit vermittelt.</w:t>
      </w:r>
    </w:p>
    <w:p w14:paraId="5DC2D671" w14:textId="77777777" w:rsidR="00D7293E" w:rsidRDefault="00D7293E" w:rsidP="00D7293E">
      <w:pPr>
        <w:pStyle w:val="body"/>
        <w:jc w:val="right"/>
      </w:pPr>
      <w:r>
        <w:rPr>
          <w:rStyle w:val="fett"/>
        </w:rPr>
        <w:t>(1766 Zeichen/SJ)</w:t>
      </w:r>
    </w:p>
    <w:p w14:paraId="16A9A683" w14:textId="77777777" w:rsidR="00D7293E" w:rsidRDefault="00D7293E" w:rsidP="00D7293E">
      <w:pPr>
        <w:pStyle w:val="body"/>
      </w:pPr>
    </w:p>
    <w:p w14:paraId="0565B3EE"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 xml:space="preserve">Informationen: </w:t>
      </w:r>
    </w:p>
    <w:p w14:paraId="29B457C0"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goetheanum-buehne.ch</w:t>
      </w:r>
    </w:p>
    <w:p w14:paraId="069733A0"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www.junge-buehne.ch</w:t>
      </w:r>
    </w:p>
    <w:p w14:paraId="71A4308D" w14:textId="77777777" w:rsidR="00D7293E" w:rsidRDefault="00D7293E" w:rsidP="00D7293E">
      <w:pPr>
        <w:pStyle w:val="EinfAbs"/>
        <w:rPr>
          <w:rFonts w:ascii="Titillium-Light" w:hAnsi="Titillium-Light" w:cs="Titillium-Light"/>
          <w:sz w:val="22"/>
          <w:szCs w:val="22"/>
        </w:rPr>
      </w:pPr>
    </w:p>
    <w:p w14:paraId="42E7909A"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Ihre Ansprechpartnerin:</w:t>
      </w:r>
    </w:p>
    <w:p w14:paraId="48A335B1"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 xml:space="preserve">Eleni </w:t>
      </w:r>
      <w:proofErr w:type="spellStart"/>
      <w:r>
        <w:rPr>
          <w:rFonts w:ascii="Titillium-Light" w:hAnsi="Titillium-Light" w:cs="Titillium-Light"/>
          <w:sz w:val="22"/>
          <w:szCs w:val="22"/>
        </w:rPr>
        <w:t>Prelorentzos</w:t>
      </w:r>
      <w:proofErr w:type="spellEnd"/>
      <w:r>
        <w:rPr>
          <w:rFonts w:ascii="Titillium-Light" w:hAnsi="Titillium-Light" w:cs="Titillium-Light"/>
          <w:sz w:val="22"/>
          <w:szCs w:val="22"/>
        </w:rPr>
        <w:t>, kbb@goethea</w:t>
      </w:r>
      <w:r>
        <w:rPr>
          <w:rFonts w:ascii="Titillium-Light" w:hAnsi="Titillium-Light" w:cs="Titillium-Light"/>
          <w:sz w:val="22"/>
          <w:szCs w:val="22"/>
        </w:rPr>
        <w:t>num.ch,  Tel. +41 61 706 42 53</w:t>
      </w:r>
      <w:r>
        <w:rPr>
          <w:rFonts w:ascii="Titillium-Light" w:hAnsi="Titillium-Light" w:cs="Titillium-Light"/>
          <w:sz w:val="22"/>
          <w:szCs w:val="22"/>
        </w:rPr>
        <w:br/>
      </w:r>
    </w:p>
    <w:p w14:paraId="384FA7A9" w14:textId="77777777" w:rsidR="00D7293E" w:rsidRDefault="00D7293E">
      <w:pPr>
        <w:rPr>
          <w:rFonts w:ascii="Titillium-Light" w:hAnsi="Titillium-Light" w:cs="Titillium-Light"/>
          <w:color w:val="000000"/>
          <w:sz w:val="22"/>
          <w:szCs w:val="22"/>
          <w:lang w:eastAsia="ja-JP"/>
        </w:rPr>
      </w:pPr>
      <w:r>
        <w:rPr>
          <w:rFonts w:ascii="Titillium-Light" w:hAnsi="Titillium-Light" w:cs="Titillium-Light"/>
          <w:sz w:val="22"/>
          <w:szCs w:val="22"/>
        </w:rPr>
        <w:br w:type="page"/>
      </w:r>
    </w:p>
    <w:p w14:paraId="62DFC87F" w14:textId="77777777" w:rsidR="00D7293E" w:rsidRDefault="00D7293E" w:rsidP="00D7293E">
      <w:pPr>
        <w:pStyle w:val="titel"/>
        <w:jc w:val="right"/>
        <w:rPr>
          <w:rFonts w:ascii="Titillium-Light" w:hAnsi="Titillium-Light" w:cs="Titillium-Light"/>
          <w:sz w:val="22"/>
          <w:szCs w:val="22"/>
        </w:rPr>
      </w:pPr>
      <w:r>
        <w:rPr>
          <w:rFonts w:ascii="Titillium-Light" w:hAnsi="Titillium-Light" w:cs="Titillium-Light"/>
          <w:sz w:val="22"/>
          <w:szCs w:val="22"/>
        </w:rPr>
        <w:tab/>
      </w:r>
      <w:proofErr w:type="spellStart"/>
      <w:r>
        <w:rPr>
          <w:rFonts w:ascii="Titillium-Light" w:hAnsi="Titillium-Light" w:cs="Titillium-Light"/>
          <w:sz w:val="22"/>
          <w:szCs w:val="22"/>
        </w:rPr>
        <w:t>Goetheanum</w:t>
      </w:r>
      <w:proofErr w:type="spellEnd"/>
      <w:r>
        <w:rPr>
          <w:rFonts w:ascii="Titillium-Light" w:hAnsi="Titillium-Light" w:cs="Titillium-Light"/>
          <w:sz w:val="22"/>
          <w:szCs w:val="22"/>
        </w:rPr>
        <w:t>, Dornach, 21. März 2016</w:t>
      </w:r>
    </w:p>
    <w:p w14:paraId="3E1BA2A1" w14:textId="77777777" w:rsidR="00D7293E" w:rsidRDefault="00D7293E" w:rsidP="00D7293E">
      <w:pPr>
        <w:pStyle w:val="body"/>
      </w:pPr>
    </w:p>
    <w:p w14:paraId="453AC2F2" w14:textId="77777777" w:rsidR="00D7293E" w:rsidRDefault="00D7293E" w:rsidP="00D7293E">
      <w:pPr>
        <w:pStyle w:val="body"/>
      </w:pPr>
    </w:p>
    <w:p w14:paraId="7A558A30" w14:textId="77777777" w:rsidR="00D7293E" w:rsidRDefault="00D7293E" w:rsidP="00D7293E">
      <w:pPr>
        <w:pStyle w:val="titel"/>
        <w:rPr>
          <w:sz w:val="28"/>
          <w:szCs w:val="28"/>
        </w:rPr>
      </w:pPr>
      <w:proofErr w:type="spellStart"/>
      <w:r>
        <w:rPr>
          <w:sz w:val="28"/>
          <w:szCs w:val="28"/>
        </w:rPr>
        <w:t>Grosse</w:t>
      </w:r>
      <w:proofErr w:type="spellEnd"/>
      <w:r>
        <w:rPr>
          <w:sz w:val="28"/>
          <w:szCs w:val="28"/>
        </w:rPr>
        <w:t xml:space="preserve"> Bühne am </w:t>
      </w:r>
      <w:proofErr w:type="spellStart"/>
      <w:r>
        <w:rPr>
          <w:sz w:val="28"/>
          <w:szCs w:val="28"/>
        </w:rPr>
        <w:t>Goetheanum</w:t>
      </w:r>
      <w:proofErr w:type="spellEnd"/>
      <w:r>
        <w:rPr>
          <w:sz w:val="28"/>
          <w:szCs w:val="28"/>
        </w:rPr>
        <w:t xml:space="preserve"> – total saniert 2013/14</w:t>
      </w:r>
    </w:p>
    <w:p w14:paraId="3EA35032" w14:textId="77777777" w:rsidR="00D7293E" w:rsidRDefault="00D7293E" w:rsidP="00D7293E">
      <w:pPr>
        <w:pStyle w:val="body"/>
      </w:pPr>
    </w:p>
    <w:p w14:paraId="1A485247" w14:textId="77777777" w:rsidR="00D7293E" w:rsidRDefault="00D7293E" w:rsidP="00D7293E">
      <w:pPr>
        <w:pStyle w:val="body"/>
        <w:rPr>
          <w:rStyle w:val="fett"/>
        </w:rPr>
      </w:pPr>
      <w:r>
        <w:rPr>
          <w:rFonts w:ascii="Titillium-Semibold" w:hAnsi="Titillium-Semibold" w:cs="Titillium-Semibold"/>
        </w:rPr>
        <w:t xml:space="preserve">Am 26. September 2014 war die Bühne des </w:t>
      </w:r>
      <w:proofErr w:type="spellStart"/>
      <w:r>
        <w:rPr>
          <w:rFonts w:ascii="Titillium-Semibold" w:hAnsi="Titillium-Semibold" w:cs="Titillium-Semibold"/>
        </w:rPr>
        <w:t>Grossen</w:t>
      </w:r>
      <w:proofErr w:type="spellEnd"/>
      <w:r>
        <w:rPr>
          <w:rFonts w:ascii="Titillium-Semibold" w:hAnsi="Titillium-Semibold" w:cs="Titillium-Semibold"/>
        </w:rPr>
        <w:t xml:space="preserve"> Saals wieder bespielbar. Sie war ein Jahr lang bis auf die Betonhülle vollständig erneuert worden und weist seither einen Orchestergraben auf. Als Besonderheiten erfassen Messsonden die Belastung am Betonträgerwerk und dient ein Glasfasergewebe mit Stahleinlagen als Eiserner Vorhang.</w:t>
      </w:r>
    </w:p>
    <w:p w14:paraId="6389258A" w14:textId="77777777" w:rsidR="00D7293E" w:rsidRDefault="00D7293E" w:rsidP="00D7293E">
      <w:pPr>
        <w:pStyle w:val="body"/>
        <w:rPr>
          <w:rStyle w:val="kursiv"/>
          <w:rFonts w:ascii="Titillium-Light" w:hAnsi="Titillium-Light" w:cs="Titillium-Light"/>
          <w:i w:val="0"/>
          <w:iCs w:val="0"/>
        </w:rPr>
      </w:pPr>
    </w:p>
    <w:p w14:paraId="1F71FE5E" w14:textId="77777777" w:rsidR="00D7293E" w:rsidRDefault="00D7293E" w:rsidP="00D7293E">
      <w:pPr>
        <w:pStyle w:val="body"/>
      </w:pPr>
      <w:r>
        <w:t xml:space="preserve">Die </w:t>
      </w:r>
      <w:proofErr w:type="spellStart"/>
      <w:r>
        <w:t>Goetheanum</w:t>
      </w:r>
      <w:proofErr w:type="spellEnd"/>
      <w:r>
        <w:t xml:space="preserve">-Bühne wurde 1928 von der Wiesbadener Maschinenfabrik eingerichtet. Aufgrund von Altersbaufälligkeit war eine Sanierung unausweichlich geworden. Sie wurde im Herbst 2013 mit dem ehrgeizigen Ziel begonnen, innerhalb eines Jahres abgeschlossen zu sein. Dank des Einsatzes der beteiligten Firmen aus ganz Europa konnte dieses Ziel erreicht werden. Finanziert wurde die Sanierung mit Kosten in Höhe von 9 Millionen Franken aus Spenden und Eigenmitteln des </w:t>
      </w:r>
      <w:proofErr w:type="spellStart"/>
      <w:r>
        <w:t>Goetheanum</w:t>
      </w:r>
      <w:proofErr w:type="spellEnd"/>
      <w:r>
        <w:t xml:space="preserve">. </w:t>
      </w:r>
    </w:p>
    <w:p w14:paraId="733830D1" w14:textId="77777777" w:rsidR="00D7293E" w:rsidRDefault="00D7293E" w:rsidP="00D7293E">
      <w:pPr>
        <w:pStyle w:val="body"/>
        <w:rPr>
          <w:rStyle w:val="kursiv"/>
          <w:rFonts w:ascii="Titillium-Light" w:hAnsi="Titillium-Light" w:cs="Titillium-Light"/>
          <w:i w:val="0"/>
          <w:iCs w:val="0"/>
        </w:rPr>
      </w:pPr>
    </w:p>
    <w:p w14:paraId="4DB5A581" w14:textId="77777777" w:rsidR="00D7293E" w:rsidRDefault="00D7293E" w:rsidP="00D7293E">
      <w:pPr>
        <w:pStyle w:val="body"/>
        <w:rPr>
          <w:rStyle w:val="kursiv"/>
          <w:rFonts w:ascii="Titillium-Light" w:hAnsi="Titillium-Light" w:cs="Titillium-Light"/>
          <w:i w:val="0"/>
          <w:iCs w:val="0"/>
        </w:rPr>
      </w:pPr>
      <w:r>
        <w:rPr>
          <w:rStyle w:val="kursiv"/>
          <w:rFonts w:ascii="Titillium-Light" w:hAnsi="Titillium-Light" w:cs="Titillium-Light"/>
          <w:i w:val="0"/>
          <w:iCs w:val="0"/>
          <w:spacing w:val="4"/>
        </w:rPr>
        <w:t xml:space="preserve">Der </w:t>
      </w:r>
      <w:r>
        <w:rPr>
          <w:rStyle w:val="kursiv"/>
          <w:rFonts w:ascii="Titillium-Light" w:hAnsi="Titillium-Light" w:cs="Titillium-Light"/>
          <w:i w:val="0"/>
          <w:iCs w:val="0"/>
        </w:rPr>
        <w:t xml:space="preserve">Schnürboden wurde im bestehenden Betonträgerwerk aufgehängt und mit Messsonden ausgestattet. Sie kontrollieren ständig die Belastung und gewährleisten den sicheren Betrieb. Eine weitere Besonderheit ist das Glasfasergewebe mit Stahl-einlagen, das an die Stelle des Eisernen Vorhangs tritt und in dieser </w:t>
      </w:r>
      <w:proofErr w:type="spellStart"/>
      <w:r>
        <w:rPr>
          <w:rStyle w:val="kursiv"/>
          <w:rFonts w:ascii="Titillium-Light" w:hAnsi="Titillium-Light" w:cs="Titillium-Light"/>
          <w:i w:val="0"/>
          <w:iCs w:val="0"/>
        </w:rPr>
        <w:t>Grösse</w:t>
      </w:r>
      <w:proofErr w:type="spellEnd"/>
      <w:r>
        <w:rPr>
          <w:rStyle w:val="kursiv"/>
          <w:rFonts w:ascii="Titillium-Light" w:hAnsi="Titillium-Light" w:cs="Titillium-Light"/>
          <w:i w:val="0"/>
          <w:iCs w:val="0"/>
        </w:rPr>
        <w:t xml:space="preserve"> zurzeit einzigartig ist. Das Glasfasergewebe ist mit zwei Tonnen Gewicht deutlich leichter als der alte Eiserne Vorhang mit rund acht Tonnen. Insgesamt wurden rund je 200 Tonnen Stahl aus- und wieder eingebaut.</w:t>
      </w:r>
    </w:p>
    <w:p w14:paraId="4C9B2F23" w14:textId="77777777" w:rsidR="00D7293E" w:rsidRDefault="00D7293E" w:rsidP="00D7293E">
      <w:pPr>
        <w:pStyle w:val="body"/>
        <w:rPr>
          <w:rStyle w:val="kursiv"/>
          <w:rFonts w:ascii="Titillium-Light" w:hAnsi="Titillium-Light" w:cs="Titillium-Light"/>
          <w:i w:val="0"/>
          <w:iCs w:val="0"/>
        </w:rPr>
      </w:pPr>
    </w:p>
    <w:p w14:paraId="786C336B" w14:textId="77777777" w:rsidR="00D7293E" w:rsidRDefault="00D7293E" w:rsidP="00D7293E">
      <w:pPr>
        <w:pStyle w:val="body"/>
        <w:rPr>
          <w:rStyle w:val="kursiv"/>
          <w:rFonts w:ascii="Titillium-Light" w:hAnsi="Titillium-Light" w:cs="Titillium-Light"/>
          <w:i w:val="0"/>
          <w:iCs w:val="0"/>
        </w:rPr>
      </w:pPr>
      <w:r>
        <w:rPr>
          <w:rStyle w:val="kursiv"/>
          <w:rFonts w:ascii="Titillium-Light" w:hAnsi="Titillium-Light" w:cs="Titillium-Light"/>
          <w:i w:val="0"/>
          <w:iCs w:val="0"/>
        </w:rPr>
        <w:t xml:space="preserve">«Die neue Maschinentechnik erlaubt eine mit der Steuerung der Lichtanlagen vergleichbare dynamische, nuancierte Bewegung», sagt Nils Frischknecht, Geschäftsführer der </w:t>
      </w:r>
      <w:proofErr w:type="spellStart"/>
      <w:r>
        <w:rPr>
          <w:rStyle w:val="kursiv"/>
          <w:rFonts w:ascii="Titillium-Light" w:hAnsi="Titillium-Light" w:cs="Titillium-Light"/>
          <w:i w:val="0"/>
          <w:iCs w:val="0"/>
        </w:rPr>
        <w:t>Goetheanum</w:t>
      </w:r>
      <w:proofErr w:type="spellEnd"/>
      <w:r>
        <w:rPr>
          <w:rStyle w:val="kursiv"/>
          <w:rFonts w:ascii="Titillium-Light" w:hAnsi="Titillium-Light" w:cs="Titillium-Light"/>
          <w:i w:val="0"/>
          <w:iCs w:val="0"/>
        </w:rPr>
        <w:t xml:space="preserve">-Bühne. Weitere Verbesserungen sind mehr Lager- und Rangierraum, die Möglichkeit, das Bühnenportal auf beiden Seiten und in der Höhe maximal öffnen zu können, zwei Hubpodien zum Schrägstellen der Bühnenfläche sowie herausnehmbare Einlegetafeln im hinteren Teil der Bühne. Neben der Beleuchtung wurden auch alte Maschinen wie Einschlagkasten, Wind-, Donner- und Regenmaschine wieder eingebaut, die klanglich auf die am </w:t>
      </w:r>
      <w:proofErr w:type="spellStart"/>
      <w:r>
        <w:rPr>
          <w:rStyle w:val="kursiv"/>
          <w:rFonts w:ascii="Titillium-Light" w:hAnsi="Titillium-Light" w:cs="Titillium-Light"/>
          <w:i w:val="0"/>
          <w:iCs w:val="0"/>
        </w:rPr>
        <w:t>Goetheanum</w:t>
      </w:r>
      <w:proofErr w:type="spellEnd"/>
      <w:r>
        <w:rPr>
          <w:rStyle w:val="kursiv"/>
          <w:rFonts w:ascii="Titillium-Light" w:hAnsi="Titillium-Light" w:cs="Titillium-Light"/>
          <w:i w:val="0"/>
          <w:iCs w:val="0"/>
        </w:rPr>
        <w:t xml:space="preserve"> übliche Livemusik abgestimmt sind. </w:t>
      </w:r>
    </w:p>
    <w:p w14:paraId="69FD8AAD" w14:textId="77777777" w:rsidR="00D7293E" w:rsidRDefault="00D7293E" w:rsidP="00D7293E">
      <w:pPr>
        <w:pStyle w:val="EinfAbs"/>
        <w:jc w:val="right"/>
        <w:rPr>
          <w:rStyle w:val="fett"/>
          <w:rFonts w:ascii="Titillium-Light" w:hAnsi="Titillium-Light" w:cs="Titillium-Light"/>
        </w:rPr>
      </w:pPr>
      <w:r>
        <w:rPr>
          <w:rStyle w:val="fett"/>
          <w:rFonts w:ascii="Titillium-Light" w:hAnsi="Titillium-Light" w:cs="Titillium-Light"/>
        </w:rPr>
        <w:t>(1974 Zeichen)</w:t>
      </w:r>
    </w:p>
    <w:p w14:paraId="3EBE03F6" w14:textId="77777777" w:rsidR="00D7293E" w:rsidRDefault="00D7293E" w:rsidP="00D7293E">
      <w:pPr>
        <w:pStyle w:val="EinfAbs"/>
        <w:rPr>
          <w:rFonts w:ascii="Titillium-Light" w:hAnsi="Titillium-Light" w:cs="Titillium-Light"/>
          <w:sz w:val="22"/>
          <w:szCs w:val="22"/>
        </w:rPr>
      </w:pPr>
    </w:p>
    <w:p w14:paraId="1AAACA8A"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 xml:space="preserve">Informationen: </w:t>
      </w:r>
      <w:r>
        <w:rPr>
          <w:rFonts w:ascii="Titillium-Light" w:hAnsi="Titillium-Light" w:cs="Titillium-Light"/>
          <w:sz w:val="22"/>
          <w:szCs w:val="22"/>
        </w:rPr>
        <w:br/>
        <w:t>goetheanum-buehne.ch</w:t>
      </w:r>
    </w:p>
    <w:p w14:paraId="2528BF44" w14:textId="77777777" w:rsidR="00D7293E" w:rsidRDefault="00D7293E" w:rsidP="00D7293E">
      <w:pPr>
        <w:pStyle w:val="EinfAbs"/>
        <w:rPr>
          <w:rStyle w:val="fett"/>
          <w:rFonts w:ascii="Titillium-Light" w:hAnsi="Titillium-Light" w:cs="Titillium-Light"/>
        </w:rPr>
      </w:pPr>
    </w:p>
    <w:p w14:paraId="273E50D9" w14:textId="77777777" w:rsidR="00D7293E" w:rsidRDefault="00D7293E" w:rsidP="00D7293E">
      <w:pPr>
        <w:pStyle w:val="EinfAbs"/>
        <w:rPr>
          <w:rStyle w:val="fett"/>
          <w:rFonts w:ascii="Titillium-Light" w:hAnsi="Titillium-Light" w:cs="Titillium-Light"/>
        </w:rPr>
      </w:pPr>
      <w:r>
        <w:rPr>
          <w:rStyle w:val="fett"/>
          <w:rFonts w:ascii="Titillium-Light" w:hAnsi="Titillium-Light" w:cs="Titillium-Light"/>
        </w:rPr>
        <w:t xml:space="preserve">Ihr Ansprechpartner: </w:t>
      </w:r>
    </w:p>
    <w:p w14:paraId="1CB050B4" w14:textId="77777777" w:rsidR="00D7293E" w:rsidRDefault="00D7293E" w:rsidP="00D7293E">
      <w:pPr>
        <w:pStyle w:val="EinfAbs"/>
        <w:rPr>
          <w:rFonts w:ascii="Titillium-Light" w:hAnsi="Titillium-Light" w:cs="Titillium-Light"/>
          <w:sz w:val="22"/>
          <w:szCs w:val="22"/>
        </w:rPr>
      </w:pPr>
      <w:r>
        <w:rPr>
          <w:rStyle w:val="fett"/>
          <w:rFonts w:ascii="Titillium-Light" w:hAnsi="Titillium-Light" w:cs="Titillium-Light"/>
        </w:rPr>
        <w:t>Nils Frischknecht, Tel. +41 61 706 43 20, nils.frischknecht@goetheanum.ch</w:t>
      </w:r>
    </w:p>
    <w:p w14:paraId="3314C1E3" w14:textId="77777777" w:rsidR="00D7293E" w:rsidRDefault="00D7293E">
      <w:r>
        <w:br w:type="page"/>
      </w:r>
    </w:p>
    <w:p w14:paraId="3E5EF9A8" w14:textId="77777777" w:rsidR="00D7293E" w:rsidRDefault="00D7293E" w:rsidP="00D7293E">
      <w:pPr>
        <w:pStyle w:val="titel"/>
        <w:jc w:val="right"/>
        <w:rPr>
          <w:rFonts w:ascii="Titillium-Light" w:hAnsi="Titillium-Light" w:cs="Titillium-Light"/>
          <w:sz w:val="22"/>
          <w:szCs w:val="22"/>
        </w:rPr>
      </w:pPr>
      <w:r>
        <w:rPr>
          <w:rFonts w:ascii="Titillium-Light" w:hAnsi="Titillium-Light" w:cs="Titillium-Light"/>
          <w:sz w:val="22"/>
          <w:szCs w:val="22"/>
        </w:rPr>
        <w:tab/>
      </w:r>
      <w:proofErr w:type="spellStart"/>
      <w:r>
        <w:rPr>
          <w:rFonts w:ascii="Titillium-Light" w:hAnsi="Titillium-Light" w:cs="Titillium-Light"/>
          <w:sz w:val="22"/>
          <w:szCs w:val="22"/>
        </w:rPr>
        <w:t>Goetheanum</w:t>
      </w:r>
      <w:proofErr w:type="spellEnd"/>
      <w:r>
        <w:rPr>
          <w:rFonts w:ascii="Titillium-Light" w:hAnsi="Titillium-Light" w:cs="Titillium-Light"/>
          <w:sz w:val="22"/>
          <w:szCs w:val="22"/>
        </w:rPr>
        <w:t>, Dornach, 21. März 2016</w:t>
      </w:r>
    </w:p>
    <w:p w14:paraId="5C9C73DA" w14:textId="77777777" w:rsidR="00D7293E" w:rsidRDefault="00D7293E" w:rsidP="00D7293E">
      <w:pPr>
        <w:pStyle w:val="body"/>
      </w:pPr>
    </w:p>
    <w:p w14:paraId="79155985" w14:textId="77777777" w:rsidR="00D7293E" w:rsidRDefault="00D7293E" w:rsidP="00D7293E">
      <w:pPr>
        <w:pStyle w:val="body"/>
      </w:pPr>
    </w:p>
    <w:p w14:paraId="43182FAA" w14:textId="77777777" w:rsidR="00D7293E" w:rsidRDefault="00D7293E" w:rsidP="00D7293E">
      <w:pPr>
        <w:pStyle w:val="titel"/>
        <w:rPr>
          <w:sz w:val="28"/>
          <w:szCs w:val="28"/>
        </w:rPr>
      </w:pPr>
      <w:proofErr w:type="spellStart"/>
      <w:r>
        <w:rPr>
          <w:sz w:val="28"/>
          <w:szCs w:val="28"/>
        </w:rPr>
        <w:t>Goetheanum</w:t>
      </w:r>
      <w:proofErr w:type="spellEnd"/>
      <w:r>
        <w:rPr>
          <w:sz w:val="28"/>
          <w:szCs w:val="28"/>
        </w:rPr>
        <w:t xml:space="preserve"> – Haupteingang neu im Westen</w:t>
      </w:r>
    </w:p>
    <w:p w14:paraId="11E9596A" w14:textId="77777777" w:rsidR="00D7293E" w:rsidRDefault="00D7293E" w:rsidP="00D7293E">
      <w:pPr>
        <w:pStyle w:val="body"/>
      </w:pPr>
    </w:p>
    <w:p w14:paraId="4017E404" w14:textId="77777777" w:rsidR="00D7293E" w:rsidRDefault="00D7293E" w:rsidP="00D7293E">
      <w:pPr>
        <w:pStyle w:val="body"/>
        <w:rPr>
          <w:rFonts w:ascii="Titillium-Semibold" w:hAnsi="Titillium-Semibold" w:cs="Titillium-Semibold"/>
        </w:rPr>
      </w:pPr>
      <w:r>
        <w:rPr>
          <w:rFonts w:ascii="Titillium-Semibold" w:hAnsi="Titillium-Semibold" w:cs="Titillium-Semibold"/>
        </w:rPr>
        <w:t xml:space="preserve">Das </w:t>
      </w:r>
      <w:proofErr w:type="spellStart"/>
      <w:r>
        <w:rPr>
          <w:rFonts w:ascii="Titillium-Semibold" w:hAnsi="Titillium-Semibold" w:cs="Titillium-Semibold"/>
        </w:rPr>
        <w:t>Goetheanum</w:t>
      </w:r>
      <w:proofErr w:type="spellEnd"/>
      <w:r>
        <w:rPr>
          <w:rFonts w:ascii="Titillium-Semibold" w:hAnsi="Titillium-Semibold" w:cs="Titillium-Semibold"/>
        </w:rPr>
        <w:t xml:space="preserve"> von 1928 ist ein Pionierbau des damals neuen Werkstoffs Eisenbeton. Seither hat die Witterung Spuren hinterlassen – in den letzten Jahren wurden Fassade und Dach saniert, die Arbeiten an der Terrasse dauern noch an. 2016 wurde der Haupteingang vom Süden in den Westen verlegt.</w:t>
      </w:r>
    </w:p>
    <w:p w14:paraId="6F93433E" w14:textId="77777777" w:rsidR="00D7293E" w:rsidRDefault="00D7293E" w:rsidP="00D7293E">
      <w:pPr>
        <w:pStyle w:val="body"/>
      </w:pPr>
    </w:p>
    <w:p w14:paraId="7F87A0E6" w14:textId="77777777" w:rsidR="00D7293E" w:rsidRDefault="00D7293E" w:rsidP="00D7293E">
      <w:pPr>
        <w:pStyle w:val="body"/>
      </w:pPr>
      <w:r>
        <w:t xml:space="preserve">Das erste </w:t>
      </w:r>
      <w:proofErr w:type="spellStart"/>
      <w:r>
        <w:t>Goetheanum</w:t>
      </w:r>
      <w:proofErr w:type="spellEnd"/>
      <w:r>
        <w:t xml:space="preserve"> von 1913 bis 1920 war ein Holzbau. Ein Brand zerstörte das Gebäude in der Nacht vom 31. Dezember 1922 auf den 1. Januar 1923. Das zweite </w:t>
      </w:r>
      <w:proofErr w:type="spellStart"/>
      <w:r>
        <w:t>Goetheanum</w:t>
      </w:r>
      <w:proofErr w:type="spellEnd"/>
      <w:r>
        <w:t xml:space="preserve"> wurde 1925 als Eisenbetonbau errichtet und 1928 eröffnet.</w:t>
      </w:r>
    </w:p>
    <w:p w14:paraId="11348FAB" w14:textId="77777777" w:rsidR="00D7293E" w:rsidRDefault="00D7293E" w:rsidP="00D7293E">
      <w:pPr>
        <w:pStyle w:val="body"/>
      </w:pPr>
    </w:p>
    <w:p w14:paraId="28784D31" w14:textId="77777777" w:rsidR="00D7293E" w:rsidRDefault="00D7293E" w:rsidP="00D7293E">
      <w:pPr>
        <w:pStyle w:val="body"/>
      </w:pPr>
      <w:r>
        <w:t xml:space="preserve">Seither bot der dünne, unverputzte </w:t>
      </w:r>
      <w:proofErr w:type="spellStart"/>
      <w:r>
        <w:t>Rohbeton</w:t>
      </w:r>
      <w:proofErr w:type="spellEnd"/>
      <w:r>
        <w:t xml:space="preserve"> wenig Schutz vor Feuchtigkeit – die Eisenarmierung korrodierte und sprengte vereinzelt die Betonschicht ab. Nach Ausbesserung der betroffenen Stellen wurde dem weiteren Eindringen von Feuchtigkeit durch </w:t>
      </w:r>
      <w:proofErr w:type="spellStart"/>
      <w:r>
        <w:t>Hydrobierung</w:t>
      </w:r>
      <w:proofErr w:type="spellEnd"/>
      <w:r>
        <w:t xml:space="preserve"> vorgebaut. Da sich die ‹Rezepte› für Beton seit der Errichtung des </w:t>
      </w:r>
      <w:proofErr w:type="spellStart"/>
      <w:r>
        <w:t>Goetheanum</w:t>
      </w:r>
      <w:proofErr w:type="spellEnd"/>
      <w:r>
        <w:t xml:space="preserve"> geändert haben und sich die einzelnen Partien der Gebäudehülle beim Altern unterschiedlich verfärbt haben, sehen Teile der Fassade scheckig aus, bis die Witterung die Unterschiede wieder ausgleicht.</w:t>
      </w:r>
    </w:p>
    <w:p w14:paraId="2A3621E0" w14:textId="77777777" w:rsidR="00D7293E" w:rsidRDefault="00D7293E" w:rsidP="00D7293E">
      <w:pPr>
        <w:pStyle w:val="body"/>
      </w:pPr>
    </w:p>
    <w:p w14:paraId="79BE5661" w14:textId="77777777" w:rsidR="00D7293E" w:rsidRDefault="00D7293E" w:rsidP="00D7293E">
      <w:pPr>
        <w:pStyle w:val="body"/>
      </w:pPr>
      <w:r>
        <w:t>Die Schieferplatten des Daches waren brüchig und die Dachkonstruktion war an einzelnen Stellen morsch geworden. Im Zuge der Neueindeckung wurde das Unterdach erneuert und mit einer Wärmedämmung versehen.</w:t>
      </w:r>
    </w:p>
    <w:p w14:paraId="1604B66F" w14:textId="77777777" w:rsidR="00D7293E" w:rsidRDefault="00D7293E" w:rsidP="00D7293E">
      <w:pPr>
        <w:pStyle w:val="body"/>
      </w:pPr>
    </w:p>
    <w:p w14:paraId="4DD78914" w14:textId="77777777" w:rsidR="00D7293E" w:rsidRDefault="00D7293E" w:rsidP="00D7293E">
      <w:pPr>
        <w:pStyle w:val="body"/>
      </w:pPr>
      <w:r>
        <w:t>Auch die Terrasse wird saniert: Der neue Belag soll den hohen Temperaturschwankungen besser standhalten und vor Feuchtigkeit schützen. Gleichzeitig wird die Wärmedämmung verbessert.</w:t>
      </w:r>
    </w:p>
    <w:p w14:paraId="60B2AC6A" w14:textId="77777777" w:rsidR="00D7293E" w:rsidRDefault="00D7293E" w:rsidP="00D7293E">
      <w:pPr>
        <w:pStyle w:val="body"/>
      </w:pPr>
    </w:p>
    <w:p w14:paraId="418D4AC8" w14:textId="77777777" w:rsidR="00D7293E" w:rsidRDefault="00D7293E" w:rsidP="00D7293E">
      <w:pPr>
        <w:pStyle w:val="body"/>
      </w:pPr>
      <w:r>
        <w:t xml:space="preserve">Aus historischen Gründen – der Ausbau des </w:t>
      </w:r>
      <w:proofErr w:type="spellStart"/>
      <w:r>
        <w:t>Goetheanum</w:t>
      </w:r>
      <w:proofErr w:type="spellEnd"/>
      <w:r>
        <w:t xml:space="preserve"> wurde in einzelnen Bauabschnitten vorgenommen und ist in einzelnen Bereichen noch nicht abgeschlossen – entwickelte sich der Süden zum Haupteingang. Die Ausrichtung des Gebäudes legt jedoch den Haupteingang im Westen nahe. Dazu wurde die Wegführung auf dem </w:t>
      </w:r>
      <w:proofErr w:type="spellStart"/>
      <w:r>
        <w:t>Goetheanum</w:t>
      </w:r>
      <w:proofErr w:type="spellEnd"/>
      <w:r>
        <w:t xml:space="preserve">-Gelände zum Westen hin stärker betont und der Westeingang funktional neu gefasst. Neu befindet sich hier links die Garderobe sowie der Verkauf von Büchern und Kunstpostkarten. Rechts gibt es beim Empfang die Tickets und allgemeine Auskünfte zum </w:t>
      </w:r>
      <w:proofErr w:type="spellStart"/>
      <w:r>
        <w:t>Goetheanum</w:t>
      </w:r>
      <w:proofErr w:type="spellEnd"/>
      <w:r>
        <w:t>. Zwischen Westen und Süden erhält die Cafeteria an einem neuen Standort eine moderne Küchenanlage.</w:t>
      </w:r>
    </w:p>
    <w:p w14:paraId="647AA030" w14:textId="77777777" w:rsidR="00D7293E" w:rsidRDefault="00D7293E" w:rsidP="00D7293E">
      <w:pPr>
        <w:pStyle w:val="body"/>
        <w:jc w:val="right"/>
      </w:pPr>
      <w:r>
        <w:rPr>
          <w:rStyle w:val="fett"/>
        </w:rPr>
        <w:t>(2112 Zeichen/SJ)</w:t>
      </w:r>
    </w:p>
    <w:p w14:paraId="4F6040DB" w14:textId="77777777" w:rsidR="00D7293E" w:rsidRDefault="00D7293E" w:rsidP="00D7293E">
      <w:pPr>
        <w:pStyle w:val="body"/>
        <w:jc w:val="right"/>
      </w:pPr>
    </w:p>
    <w:p w14:paraId="3AA4EF38" w14:textId="77777777" w:rsidR="00D7293E" w:rsidRDefault="00D7293E" w:rsidP="00D7293E">
      <w:pPr>
        <w:pStyle w:val="EinfAbs"/>
        <w:rPr>
          <w:rFonts w:ascii="Titillium-Light" w:hAnsi="Titillium-Light" w:cs="Titillium-Light"/>
          <w:sz w:val="22"/>
          <w:szCs w:val="22"/>
        </w:rPr>
      </w:pPr>
      <w:r>
        <w:rPr>
          <w:rFonts w:ascii="Titillium-Light" w:hAnsi="Titillium-Light" w:cs="Titillium-Light"/>
          <w:sz w:val="22"/>
          <w:szCs w:val="22"/>
        </w:rPr>
        <w:t>Ihr Ansprechpartner:</w:t>
      </w:r>
    </w:p>
    <w:p w14:paraId="647A1321" w14:textId="77777777" w:rsidR="00D7293E" w:rsidRDefault="00D7293E" w:rsidP="00D7293E">
      <w:r>
        <w:rPr>
          <w:rFonts w:ascii="Titillium-Light" w:hAnsi="Titillium-Light" w:cs="Titillium-Light"/>
          <w:sz w:val="22"/>
          <w:szCs w:val="22"/>
        </w:rPr>
        <w:t>Martin Zweifel, martin.zweifel@goetheanum.ch,  Tel. +41 61 706 44 02</w:t>
      </w:r>
      <w:r>
        <w:rPr>
          <w:rFonts w:ascii="Titillium-Light" w:hAnsi="Titillium-Light" w:cs="Titillium-Light"/>
          <w:sz w:val="22"/>
          <w:szCs w:val="22"/>
        </w:rPr>
        <w:br/>
      </w:r>
    </w:p>
    <w:p w14:paraId="3A3CC662" w14:textId="77777777" w:rsidR="00D7293E" w:rsidRDefault="00D7293E">
      <w:r>
        <w:br w:type="page"/>
      </w:r>
    </w:p>
    <w:p w14:paraId="48937EEF" w14:textId="77777777" w:rsidR="00D7293E" w:rsidRDefault="00D7293E" w:rsidP="00D7293E">
      <w:pPr>
        <w:pStyle w:val="titel"/>
        <w:spacing w:before="57"/>
        <w:rPr>
          <w:sz w:val="28"/>
          <w:szCs w:val="28"/>
        </w:rPr>
      </w:pPr>
    </w:p>
    <w:p w14:paraId="5D796ECA" w14:textId="77777777" w:rsidR="00D7293E" w:rsidRDefault="00D7293E" w:rsidP="00D7293E">
      <w:pPr>
        <w:pStyle w:val="titel"/>
        <w:spacing w:before="57"/>
        <w:rPr>
          <w:sz w:val="28"/>
          <w:szCs w:val="28"/>
        </w:rPr>
      </w:pPr>
    </w:p>
    <w:p w14:paraId="169C1EAA" w14:textId="77777777" w:rsidR="00D7293E" w:rsidRDefault="00D7293E" w:rsidP="00D7293E">
      <w:pPr>
        <w:pStyle w:val="titel"/>
        <w:spacing w:before="57"/>
        <w:rPr>
          <w:sz w:val="28"/>
          <w:szCs w:val="28"/>
        </w:rPr>
      </w:pPr>
    </w:p>
    <w:p w14:paraId="7E512D15" w14:textId="77777777" w:rsidR="00D7293E" w:rsidRDefault="00D7293E" w:rsidP="00D7293E">
      <w:pPr>
        <w:pStyle w:val="titel"/>
        <w:spacing w:before="57"/>
        <w:rPr>
          <w:sz w:val="28"/>
          <w:szCs w:val="28"/>
        </w:rPr>
      </w:pPr>
    </w:p>
    <w:p w14:paraId="0B3B69DB" w14:textId="77777777" w:rsidR="00D7293E" w:rsidRDefault="00D7293E" w:rsidP="00D7293E">
      <w:pPr>
        <w:pStyle w:val="titel"/>
        <w:spacing w:before="57"/>
        <w:rPr>
          <w:sz w:val="28"/>
          <w:szCs w:val="28"/>
        </w:rPr>
      </w:pPr>
    </w:p>
    <w:p w14:paraId="0158A757" w14:textId="77777777" w:rsidR="00D7293E" w:rsidRDefault="00D7293E" w:rsidP="00D7293E">
      <w:pPr>
        <w:pStyle w:val="titel"/>
        <w:spacing w:before="57"/>
        <w:rPr>
          <w:sz w:val="28"/>
          <w:szCs w:val="28"/>
        </w:rPr>
      </w:pPr>
    </w:p>
    <w:p w14:paraId="41187199" w14:textId="77777777" w:rsidR="00D7293E" w:rsidRDefault="00D7293E" w:rsidP="00D7293E">
      <w:pPr>
        <w:pStyle w:val="titel"/>
        <w:spacing w:before="57"/>
        <w:rPr>
          <w:sz w:val="28"/>
          <w:szCs w:val="28"/>
        </w:rPr>
      </w:pPr>
      <w:r>
        <w:rPr>
          <w:sz w:val="28"/>
          <w:szCs w:val="28"/>
        </w:rPr>
        <w:t>Ich möchte</w:t>
      </w:r>
    </w:p>
    <w:p w14:paraId="61CACEE0" w14:textId="77777777" w:rsidR="00D7293E" w:rsidRDefault="00D7293E" w:rsidP="00D7293E">
      <w:pPr>
        <w:pStyle w:val="body"/>
        <w:spacing w:before="283"/>
        <w:ind w:left="227" w:hanging="227"/>
        <w:rPr>
          <w:rFonts w:ascii="Titillium-Regular" w:hAnsi="Titillium-Regular" w:cs="Titillium-Regular"/>
        </w:rPr>
      </w:pPr>
      <w:r>
        <w:rPr>
          <w:rFonts w:ascii="Titillium-Regular" w:hAnsi="Titillium-Regular" w:cs="Titillium-Regular"/>
        </w:rPr>
        <w:t>O</w:t>
      </w:r>
      <w:r>
        <w:rPr>
          <w:rFonts w:ascii="Titillium-Regular" w:hAnsi="Titillium-Regular" w:cs="Titillium-Regular"/>
        </w:rPr>
        <w:tab/>
        <w:t xml:space="preserve">Material zur </w:t>
      </w:r>
      <w:proofErr w:type="spellStart"/>
      <w:r>
        <w:rPr>
          <w:rFonts w:ascii="Titillium-Regular" w:hAnsi="Titillium-Regular" w:cs="Titillium-Regular"/>
        </w:rPr>
        <w:t>Goetheanum</w:t>
      </w:r>
      <w:proofErr w:type="spellEnd"/>
      <w:r>
        <w:rPr>
          <w:rFonts w:ascii="Titillium-Regular" w:hAnsi="Titillium-Regular" w:cs="Titillium-Regular"/>
        </w:rPr>
        <w:t>-Bühne</w:t>
      </w:r>
    </w:p>
    <w:p w14:paraId="3C6F59F1" w14:textId="77777777" w:rsidR="00D7293E" w:rsidRDefault="00D7293E" w:rsidP="00D7293E">
      <w:pPr>
        <w:pStyle w:val="body"/>
        <w:ind w:left="227" w:hanging="227"/>
        <w:rPr>
          <w:rFonts w:ascii="Titillium-Regular" w:hAnsi="Titillium-Regular" w:cs="Titillium-Regular"/>
        </w:rPr>
      </w:pPr>
    </w:p>
    <w:p w14:paraId="16DA41FA" w14:textId="77777777" w:rsidR="00D7293E" w:rsidRDefault="00D7293E" w:rsidP="00D7293E">
      <w:pPr>
        <w:pStyle w:val="body"/>
        <w:ind w:left="227" w:hanging="227"/>
        <w:rPr>
          <w:rFonts w:ascii="Titillium-Regular" w:hAnsi="Titillium-Regular" w:cs="Titillium-Regular"/>
        </w:rPr>
      </w:pPr>
      <w:r>
        <w:rPr>
          <w:rFonts w:ascii="Titillium-Regular" w:hAnsi="Titillium-Regular" w:cs="Titillium-Regular"/>
        </w:rPr>
        <w:t>O</w:t>
      </w:r>
      <w:r>
        <w:rPr>
          <w:rFonts w:ascii="Titillium-Regular" w:hAnsi="Titillium-Regular" w:cs="Titillium-Regular"/>
        </w:rPr>
        <w:tab/>
        <w:t xml:space="preserve">Material zum </w:t>
      </w:r>
      <w:proofErr w:type="spellStart"/>
      <w:r>
        <w:rPr>
          <w:rFonts w:ascii="Titillium-Regular" w:hAnsi="Titillium-Regular" w:cs="Titillium-Regular"/>
        </w:rPr>
        <w:t>Goetheanum</w:t>
      </w:r>
      <w:proofErr w:type="spellEnd"/>
    </w:p>
    <w:p w14:paraId="4E21DBFA" w14:textId="77777777" w:rsidR="00D7293E" w:rsidRDefault="00D7293E" w:rsidP="00D7293E">
      <w:pPr>
        <w:pStyle w:val="body"/>
        <w:ind w:left="227" w:hanging="227"/>
        <w:rPr>
          <w:rFonts w:ascii="Titillium-Regular" w:hAnsi="Titillium-Regular" w:cs="Titillium-Regular"/>
        </w:rPr>
      </w:pPr>
    </w:p>
    <w:p w14:paraId="0400DC97" w14:textId="77777777" w:rsidR="00D7293E" w:rsidRDefault="00D7293E" w:rsidP="00D7293E">
      <w:pPr>
        <w:pStyle w:val="body"/>
        <w:ind w:left="227" w:hanging="227"/>
        <w:rPr>
          <w:rStyle w:val="kursiv"/>
          <w:rFonts w:ascii="Titillium-Regular" w:hAnsi="Titillium-Regular" w:cs="Titillium-Regular"/>
          <w:i w:val="0"/>
          <w:iCs w:val="0"/>
        </w:rPr>
      </w:pPr>
      <w:r>
        <w:rPr>
          <w:rFonts w:ascii="Titillium-Regular" w:hAnsi="Titillium-Regular" w:cs="Titillium-Regular"/>
        </w:rPr>
        <w:t>O</w:t>
      </w:r>
      <w:r>
        <w:rPr>
          <w:rFonts w:ascii="Titillium-Regular" w:hAnsi="Titillium-Regular" w:cs="Titillium-Regular"/>
        </w:rPr>
        <w:tab/>
        <w:t>eine Pressekarte für eine der ‹Faust›-Gesamtaufführungen</w:t>
      </w:r>
    </w:p>
    <w:p w14:paraId="301B4D5F" w14:textId="77777777" w:rsidR="00D7293E" w:rsidRDefault="00D7293E" w:rsidP="00D7293E">
      <w:pPr>
        <w:pStyle w:val="body"/>
        <w:ind w:left="227" w:hanging="227"/>
        <w:rPr>
          <w:rStyle w:val="kursiv"/>
          <w:rFonts w:ascii="Titillium-Regular" w:hAnsi="Titillium-Regular" w:cs="Titillium-Regular"/>
          <w:i w:val="0"/>
          <w:iCs w:val="0"/>
        </w:rPr>
      </w:pPr>
    </w:p>
    <w:p w14:paraId="2273F80D" w14:textId="77777777" w:rsidR="00D7293E" w:rsidRDefault="00D7293E" w:rsidP="00D7293E">
      <w:pPr>
        <w:pStyle w:val="body"/>
        <w:ind w:left="227" w:hanging="227"/>
        <w:rPr>
          <w:rStyle w:val="kursiv"/>
          <w:rFonts w:ascii="Titillium-Regular" w:hAnsi="Titillium-Regular" w:cs="Titillium-Regular"/>
          <w:i w:val="0"/>
          <w:iCs w:val="0"/>
        </w:rPr>
      </w:pPr>
      <w:r>
        <w:rPr>
          <w:rFonts w:ascii="Titillium-Regular" w:hAnsi="Titillium-Regular" w:cs="Titillium-Regular"/>
        </w:rPr>
        <w:t>O</w:t>
      </w:r>
      <w:r>
        <w:rPr>
          <w:rFonts w:ascii="Titillium-Regular" w:hAnsi="Titillium-Regular" w:cs="Titillium-Regular"/>
        </w:rPr>
        <w:tab/>
        <w:t>___________________________________________</w:t>
      </w:r>
    </w:p>
    <w:p w14:paraId="55FFC996" w14:textId="77777777" w:rsidR="00D7293E" w:rsidRDefault="00D7293E" w:rsidP="00D7293E">
      <w:pPr>
        <w:pStyle w:val="titel"/>
        <w:spacing w:before="1020"/>
        <w:rPr>
          <w:sz w:val="28"/>
          <w:szCs w:val="28"/>
        </w:rPr>
      </w:pPr>
      <w:r>
        <w:rPr>
          <w:sz w:val="28"/>
          <w:szCs w:val="28"/>
        </w:rPr>
        <w:t>Ich bin</w:t>
      </w:r>
    </w:p>
    <w:p w14:paraId="50E5688A" w14:textId="77777777" w:rsidR="00D7293E" w:rsidRDefault="00D7293E" w:rsidP="00D7293E">
      <w:pPr>
        <w:pStyle w:val="body"/>
        <w:spacing w:before="283"/>
        <w:rPr>
          <w:rFonts w:ascii="Titillium-Regular" w:hAnsi="Titillium-Regular" w:cs="Titillium-Regular"/>
        </w:rPr>
      </w:pPr>
      <w:r>
        <w:rPr>
          <w:rFonts w:ascii="Titillium-Regular" w:hAnsi="Titillium-Regular" w:cs="Titillium-Regular"/>
        </w:rPr>
        <w:t>Vorname</w:t>
      </w:r>
      <w:r>
        <w:rPr>
          <w:rFonts w:ascii="Titillium-Regular" w:hAnsi="Titillium-Regular" w:cs="Titillium-Regular"/>
        </w:rPr>
        <w:tab/>
        <w:t>: _________________________</w:t>
      </w:r>
    </w:p>
    <w:p w14:paraId="0BE8694D" w14:textId="77777777" w:rsidR="00D7293E" w:rsidRDefault="00D7293E" w:rsidP="00D7293E">
      <w:pPr>
        <w:pStyle w:val="body"/>
        <w:spacing w:before="340"/>
        <w:rPr>
          <w:rFonts w:ascii="Titillium-Regular" w:hAnsi="Titillium-Regular" w:cs="Titillium-Regular"/>
        </w:rPr>
      </w:pPr>
      <w:r>
        <w:rPr>
          <w:rFonts w:ascii="Titillium-Regular" w:hAnsi="Titillium-Regular" w:cs="Titillium-Regular"/>
        </w:rPr>
        <w:t>Nachname</w:t>
      </w:r>
      <w:r>
        <w:rPr>
          <w:rFonts w:ascii="Titillium-Regular" w:hAnsi="Titillium-Regular" w:cs="Titillium-Regular"/>
        </w:rPr>
        <w:tab/>
        <w:t>: _________________________</w:t>
      </w:r>
    </w:p>
    <w:p w14:paraId="6E1C696A" w14:textId="77777777" w:rsidR="00D7293E" w:rsidRDefault="00D7293E" w:rsidP="00D7293E">
      <w:pPr>
        <w:pStyle w:val="body"/>
        <w:spacing w:before="340"/>
        <w:rPr>
          <w:rFonts w:ascii="Titillium-Regular" w:hAnsi="Titillium-Regular" w:cs="Titillium-Regular"/>
        </w:rPr>
      </w:pPr>
      <w:r>
        <w:rPr>
          <w:rFonts w:ascii="Titillium-Regular" w:hAnsi="Titillium-Regular" w:cs="Titillium-Regular"/>
        </w:rPr>
        <w:t>Medium</w:t>
      </w:r>
      <w:r>
        <w:rPr>
          <w:rFonts w:ascii="Titillium-Regular" w:hAnsi="Titillium-Regular" w:cs="Titillium-Regular"/>
        </w:rPr>
        <w:tab/>
        <w:t>: _________________________</w:t>
      </w:r>
    </w:p>
    <w:p w14:paraId="5304FB6C" w14:textId="77777777" w:rsidR="00D7293E" w:rsidRDefault="00D7293E" w:rsidP="00D7293E">
      <w:pPr>
        <w:pStyle w:val="body"/>
        <w:spacing w:before="340"/>
        <w:rPr>
          <w:rFonts w:ascii="Titillium-Regular" w:hAnsi="Titillium-Regular" w:cs="Titillium-Regular"/>
        </w:rPr>
      </w:pPr>
      <w:proofErr w:type="spellStart"/>
      <w:r>
        <w:rPr>
          <w:rFonts w:ascii="Titillium-Regular" w:hAnsi="Titillium-Regular" w:cs="Titillium-Regular"/>
        </w:rPr>
        <w:t>Strasse</w:t>
      </w:r>
      <w:proofErr w:type="spellEnd"/>
      <w:r>
        <w:rPr>
          <w:rFonts w:ascii="Titillium-Regular" w:hAnsi="Titillium-Regular" w:cs="Titillium-Regular"/>
        </w:rPr>
        <w:tab/>
      </w:r>
      <w:r>
        <w:rPr>
          <w:rFonts w:ascii="Titillium-Regular" w:hAnsi="Titillium-Regular" w:cs="Titillium-Regular"/>
        </w:rPr>
        <w:tab/>
        <w:t>: _________________________</w:t>
      </w:r>
    </w:p>
    <w:p w14:paraId="012E3814" w14:textId="77777777" w:rsidR="00D7293E" w:rsidRDefault="00D7293E" w:rsidP="00D7293E">
      <w:pPr>
        <w:pStyle w:val="body"/>
        <w:spacing w:before="340"/>
        <w:rPr>
          <w:rFonts w:ascii="Titillium-Regular" w:hAnsi="Titillium-Regular" w:cs="Titillium-Regular"/>
        </w:rPr>
      </w:pPr>
      <w:r>
        <w:rPr>
          <w:rFonts w:ascii="Titillium-Regular" w:hAnsi="Titillium-Regular" w:cs="Titillium-Regular"/>
        </w:rPr>
        <w:t>PLZ, Ort</w:t>
      </w:r>
      <w:r>
        <w:rPr>
          <w:rFonts w:ascii="Titillium-Regular" w:hAnsi="Titillium-Regular" w:cs="Titillium-Regular"/>
        </w:rPr>
        <w:tab/>
        <w:t>: ____   ____________________</w:t>
      </w:r>
    </w:p>
    <w:p w14:paraId="652A0292" w14:textId="77777777" w:rsidR="00D7293E" w:rsidRDefault="00D7293E" w:rsidP="00D7293E">
      <w:pPr>
        <w:pStyle w:val="body"/>
        <w:spacing w:before="680"/>
        <w:rPr>
          <w:rFonts w:ascii="Titillium-Regular" w:hAnsi="Titillium-Regular" w:cs="Titillium-Regular"/>
        </w:rPr>
      </w:pPr>
      <w:r>
        <w:rPr>
          <w:rFonts w:ascii="Titillium-Regular" w:hAnsi="Titillium-Regular" w:cs="Titillium-Regular"/>
        </w:rPr>
        <w:t>E-Mail</w:t>
      </w:r>
      <w:r>
        <w:rPr>
          <w:rFonts w:ascii="Titillium-Regular" w:hAnsi="Titillium-Regular" w:cs="Titillium-Regular"/>
        </w:rPr>
        <w:tab/>
      </w:r>
      <w:r>
        <w:rPr>
          <w:rFonts w:ascii="Titillium-Regular" w:hAnsi="Titillium-Regular" w:cs="Titillium-Regular"/>
        </w:rPr>
        <w:tab/>
        <w:t>: _________________________</w:t>
      </w:r>
    </w:p>
    <w:p w14:paraId="17B19ACC" w14:textId="77777777" w:rsidR="00D7293E" w:rsidRDefault="00D7293E" w:rsidP="00D7293E">
      <w:pPr>
        <w:pStyle w:val="body"/>
        <w:spacing w:before="340"/>
        <w:rPr>
          <w:rFonts w:ascii="Titillium-Regular" w:hAnsi="Titillium-Regular" w:cs="Titillium-Regular"/>
        </w:rPr>
      </w:pPr>
      <w:r>
        <w:rPr>
          <w:rFonts w:ascii="Titillium-Regular" w:hAnsi="Titillium-Regular" w:cs="Titillium-Regular"/>
        </w:rPr>
        <w:t>Telefon</w:t>
      </w:r>
      <w:r>
        <w:rPr>
          <w:rFonts w:ascii="Titillium-Regular" w:hAnsi="Titillium-Regular" w:cs="Titillium-Regular"/>
        </w:rPr>
        <w:tab/>
      </w:r>
      <w:r>
        <w:rPr>
          <w:rFonts w:ascii="Titillium-Regular" w:hAnsi="Titillium-Regular" w:cs="Titillium-Regular"/>
        </w:rPr>
        <w:tab/>
        <w:t>: _________________________</w:t>
      </w:r>
    </w:p>
    <w:p w14:paraId="138C3770" w14:textId="77777777" w:rsidR="00D7293E" w:rsidRDefault="00D7293E" w:rsidP="00D7293E">
      <w:proofErr w:type="spellStart"/>
      <w:r>
        <w:rPr>
          <w:rFonts w:ascii="Titillium-Regular" w:hAnsi="Titillium-Regular" w:cs="Titillium-Regular"/>
        </w:rPr>
        <w:t>Natel</w:t>
      </w:r>
      <w:proofErr w:type="spellEnd"/>
      <w:r>
        <w:rPr>
          <w:rFonts w:ascii="Titillium-Regular" w:hAnsi="Titillium-Regular" w:cs="Titillium-Regular"/>
        </w:rPr>
        <w:tab/>
      </w:r>
      <w:r>
        <w:rPr>
          <w:rFonts w:ascii="Titillium-Regular" w:hAnsi="Titillium-Regular" w:cs="Titillium-Regular"/>
        </w:rPr>
        <w:tab/>
        <w:t>: _________________________</w:t>
      </w:r>
    </w:p>
    <w:sectPr w:rsidR="00D7293E" w:rsidSect="00D7293E">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saPro">
    <w:panose1 w:val="02010504030101020102"/>
    <w:charset w:val="00"/>
    <w:family w:val="auto"/>
    <w:pitch w:val="variable"/>
    <w:sig w:usb0="A00000FF" w:usb1="4000205B" w:usb2="00000008" w:usb3="00000000" w:csb0="00000093" w:csb1="00000000"/>
  </w:font>
  <w:font w:name="MinionPro-Regular">
    <w:panose1 w:val="00000000000000000000"/>
    <w:charset w:val="4D"/>
    <w:family w:val="auto"/>
    <w:notTrueType/>
    <w:pitch w:val="default"/>
    <w:sig w:usb0="00000003" w:usb1="00000000" w:usb2="00000000" w:usb3="00000000" w:csb0="00000001" w:csb1="00000000"/>
  </w:font>
  <w:font w:name="Titillium-LightItalic">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Titillium-RegularItalic">
    <w:altName w:val="Titillium Regular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00"/>
    <w:rsid w:val="0048742D"/>
    <w:rsid w:val="006B372A"/>
    <w:rsid w:val="007B1A00"/>
    <w:rsid w:val="00D7293E"/>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531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7293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7293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MFluss">
    <w:name w:val="M_Fluss"/>
    <w:basedOn w:val="Standard"/>
    <w:next w:val="Standard"/>
    <w:uiPriority w:val="99"/>
    <w:rsid w:val="00D7293E"/>
    <w:pPr>
      <w:widowControl w:val="0"/>
      <w:autoSpaceDE w:val="0"/>
      <w:autoSpaceDN w:val="0"/>
      <w:adjustRightInd w:val="0"/>
      <w:spacing w:line="240" w:lineRule="atLeast"/>
      <w:jc w:val="both"/>
      <w:textAlignment w:val="center"/>
    </w:pPr>
    <w:rPr>
      <w:rFonts w:ascii="TisaPro" w:hAnsi="TisaPro" w:cs="TisaPro"/>
      <w:color w:val="000000"/>
      <w:sz w:val="18"/>
      <w:szCs w:val="18"/>
      <w:lang w:eastAsia="ja-JP"/>
    </w:rPr>
  </w:style>
  <w:style w:type="character" w:customStyle="1" w:styleId="fett">
    <w:name w:val="fett"/>
    <w:uiPriority w:val="99"/>
    <w:rsid w:val="00D7293E"/>
    <w:rPr>
      <w:rFonts w:ascii="Titillium-Semibold" w:hAnsi="Titillium-Semibold" w:cs="Titillium-Semibold"/>
      <w:sz w:val="22"/>
      <w:szCs w:val="22"/>
    </w:rPr>
  </w:style>
  <w:style w:type="paragraph" w:customStyle="1" w:styleId="EinfAbs">
    <w:name w:val="[Einf. Abs.]"/>
    <w:basedOn w:val="Standard"/>
    <w:uiPriority w:val="99"/>
    <w:rsid w:val="00D7293E"/>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kursiv">
    <w:name w:val="kursiv"/>
    <w:uiPriority w:val="99"/>
    <w:rsid w:val="00D7293E"/>
    <w:rPr>
      <w:rFonts w:ascii="Titillium-LightItalic" w:hAnsi="Titillium-LightItalic" w:cs="Titillium-LightItalic"/>
      <w:i/>
      <w:i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7293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7293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MFluss">
    <w:name w:val="M_Fluss"/>
    <w:basedOn w:val="Standard"/>
    <w:next w:val="Standard"/>
    <w:uiPriority w:val="99"/>
    <w:rsid w:val="00D7293E"/>
    <w:pPr>
      <w:widowControl w:val="0"/>
      <w:autoSpaceDE w:val="0"/>
      <w:autoSpaceDN w:val="0"/>
      <w:adjustRightInd w:val="0"/>
      <w:spacing w:line="240" w:lineRule="atLeast"/>
      <w:jc w:val="both"/>
      <w:textAlignment w:val="center"/>
    </w:pPr>
    <w:rPr>
      <w:rFonts w:ascii="TisaPro" w:hAnsi="TisaPro" w:cs="TisaPro"/>
      <w:color w:val="000000"/>
      <w:sz w:val="18"/>
      <w:szCs w:val="18"/>
      <w:lang w:eastAsia="ja-JP"/>
    </w:rPr>
  </w:style>
  <w:style w:type="character" w:customStyle="1" w:styleId="fett">
    <w:name w:val="fett"/>
    <w:uiPriority w:val="99"/>
    <w:rsid w:val="00D7293E"/>
    <w:rPr>
      <w:rFonts w:ascii="Titillium-Semibold" w:hAnsi="Titillium-Semibold" w:cs="Titillium-Semibold"/>
      <w:sz w:val="22"/>
      <w:szCs w:val="22"/>
    </w:rPr>
  </w:style>
  <w:style w:type="paragraph" w:customStyle="1" w:styleId="EinfAbs">
    <w:name w:val="[Einf. Abs.]"/>
    <w:basedOn w:val="Standard"/>
    <w:uiPriority w:val="99"/>
    <w:rsid w:val="00D7293E"/>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kursiv">
    <w:name w:val="kursiv"/>
    <w:uiPriority w:val="99"/>
    <w:rsid w:val="00D7293E"/>
    <w:rPr>
      <w:rFonts w:ascii="Titillium-LightItalic" w:hAnsi="Titillium-LightItalic" w:cs="Titillium-LightItalic"/>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2510</Words>
  <Characters>15813</Characters>
  <Application>Microsoft Macintosh Word</Application>
  <DocSecurity>0</DocSecurity>
  <Lines>131</Lines>
  <Paragraphs>36</Paragraphs>
  <ScaleCrop>false</ScaleCrop>
  <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2016-03-18T19:20:00Z</dcterms:created>
  <dcterms:modified xsi:type="dcterms:W3CDTF">2016-03-18T19:38:00Z</dcterms:modified>
</cp:coreProperties>
</file>