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DE4" w:rsidRDefault="000D2650">
      <w:pPr>
        <w:pStyle w:val="Heading10"/>
        <w:keepNext/>
        <w:keepLines/>
        <w:shd w:val="clear" w:color="auto" w:fill="auto"/>
        <w:spacing w:after="66" w:line="260" w:lineRule="exact"/>
        <w:ind w:left="320"/>
      </w:pPr>
      <w:bookmarkStart w:id="0" w:name="bookmark0"/>
      <w:bookmarkStart w:id="1" w:name="_GoBack"/>
      <w:r>
        <w:t>Richter undertecknar licens- och distributionsavtal för att stärka sin</w:t>
      </w:r>
      <w:bookmarkEnd w:id="0"/>
    </w:p>
    <w:p w:rsidR="00A50DE4" w:rsidRDefault="000D2650">
      <w:pPr>
        <w:pStyle w:val="Heading10"/>
        <w:keepNext/>
        <w:keepLines/>
        <w:shd w:val="clear" w:color="auto" w:fill="auto"/>
        <w:spacing w:after="656" w:line="260" w:lineRule="exact"/>
        <w:jc w:val="center"/>
      </w:pPr>
      <w:bookmarkStart w:id="2" w:name="bookmark1"/>
      <w:bookmarkEnd w:id="1"/>
      <w:r>
        <w:t>fertilitetsportfölj</w:t>
      </w:r>
      <w:bookmarkEnd w:id="2"/>
    </w:p>
    <w:p w:rsidR="00A50DE4" w:rsidRDefault="000D2650" w:rsidP="00197B41">
      <w:pPr>
        <w:pStyle w:val="Bodytext20"/>
        <w:shd w:val="clear" w:color="auto" w:fill="auto"/>
        <w:spacing w:before="0" w:after="175" w:line="278" w:lineRule="exact"/>
      </w:pPr>
      <w:r>
        <w:rPr>
          <w:rStyle w:val="Bodytext2Bold"/>
        </w:rPr>
        <w:t xml:space="preserve">Budapest, Ungern </w:t>
      </w:r>
      <w:r w:rsidR="00200B07">
        <w:t>–</w:t>
      </w:r>
      <w:r>
        <w:t xml:space="preserve"> </w:t>
      </w:r>
      <w:r w:rsidR="00200B07">
        <w:t>2 November</w:t>
      </w:r>
      <w:r>
        <w:t xml:space="preserve"> 2018 - Gedeon Richter Pic. (”Richter”) meddelar att företaget har ingått ett licens- och distributionsavtal med det brittiska företaget L.D. Collins &amp; Co. Limited (”L.D. Collins”). Syftet är att i 27 EU-länder börja marknadsföra Cyclogest®, en produkt innehållande 400 mg progesteron, avsedd att användas vid assisterad befruktning ART</w:t>
      </w:r>
      <w:r w:rsidR="00197B41" w:rsidRPr="00197B41">
        <w:t xml:space="preserve"> </w:t>
      </w:r>
      <w:r w:rsidR="00197B41">
        <w:t>(Assisted Reproductive Technology, dvs. assisterad befruktning).</w:t>
      </w:r>
      <w:r w:rsidR="00417603">
        <w:t xml:space="preserve"> </w:t>
      </w:r>
      <w:r>
        <w:t>Godkännande</w:t>
      </w:r>
      <w:r w:rsidR="00417603">
        <w:t xml:space="preserve"> </w:t>
      </w:r>
      <w:r>
        <w:t xml:space="preserve">för försäljning har redan beviljats i ovan nämnda region. Efter överföring av försäljningsgodkännandet till </w:t>
      </w:r>
      <w:r w:rsidR="00197B41">
        <w:t xml:space="preserve">Gedeon </w:t>
      </w:r>
      <w:r>
        <w:t>Richter förväntas produkten lanseras i början av 2019.</w:t>
      </w:r>
    </w:p>
    <w:p w:rsidR="00A50DE4" w:rsidRDefault="000D2650">
      <w:pPr>
        <w:pStyle w:val="Bodytext20"/>
        <w:shd w:val="clear" w:color="auto" w:fill="auto"/>
        <w:spacing w:before="0"/>
      </w:pPr>
      <w:r>
        <w:t xml:space="preserve">Enligt det ingångna avtalet ska </w:t>
      </w:r>
      <w:r w:rsidR="00197B41">
        <w:t xml:space="preserve">Gedeon </w:t>
      </w:r>
      <w:r>
        <w:t>Richter betala försäljningsrelaterad royalty till L.D. Collins när produkten har lanserats på marknaden.</w:t>
      </w:r>
    </w:p>
    <w:p w:rsidR="00A50DE4" w:rsidRDefault="000D2650">
      <w:pPr>
        <w:pStyle w:val="Bodytext20"/>
        <w:shd w:val="clear" w:color="auto" w:fill="auto"/>
        <w:spacing w:before="0" w:after="479"/>
      </w:pPr>
      <w:r>
        <w:t xml:space="preserve">”Cyclogest är ett välbehövligt tillägg till vår befintliga fertilitetsportfölj. Som en ansvarstagande aktör på läkemedelsmarknaden är vi väl medvetna om </w:t>
      </w:r>
      <w:r w:rsidR="00197B41">
        <w:t>parens</w:t>
      </w:r>
      <w:r>
        <w:t xml:space="preserve"> önskan att få barn</w:t>
      </w:r>
      <w:r w:rsidR="00496CC9">
        <w:t>. V</w:t>
      </w:r>
      <w:r>
        <w:t xml:space="preserve">i arbetar ständigt för att </w:t>
      </w:r>
      <w:r w:rsidR="00417603">
        <w:t>bredda vår portfölj med produkter för kvinnors hälsa</w:t>
      </w:r>
      <w:r>
        <w:t>”, säger G</w:t>
      </w:r>
      <w:r w:rsidR="00197B41">
        <w:t>á</w:t>
      </w:r>
      <w:r>
        <w:t>bor Orb</w:t>
      </w:r>
      <w:r w:rsidR="00197B41">
        <w:t>á</w:t>
      </w:r>
      <w:r>
        <w:t>n, verkställande direktör vid Gedeon Richter Plc.</w:t>
      </w:r>
    </w:p>
    <w:p w:rsidR="00A50DE4" w:rsidRDefault="000D2650">
      <w:pPr>
        <w:pStyle w:val="Heading20"/>
        <w:keepNext/>
        <w:keepLines/>
        <w:shd w:val="clear" w:color="auto" w:fill="auto"/>
        <w:spacing w:before="0" w:after="189" w:line="210" w:lineRule="exact"/>
      </w:pPr>
      <w:bookmarkStart w:id="3" w:name="bookmark2"/>
      <w:r>
        <w:t>Om Cyclogest</w:t>
      </w:r>
      <w:bookmarkEnd w:id="3"/>
    </w:p>
    <w:p w:rsidR="00A50DE4" w:rsidRDefault="000D2650">
      <w:pPr>
        <w:pStyle w:val="Bodytext20"/>
        <w:shd w:val="clear" w:color="auto" w:fill="auto"/>
        <w:spacing w:before="0" w:after="175" w:line="278" w:lineRule="exact"/>
      </w:pPr>
      <w:r>
        <w:t>Förutom att reglera ägglossning och menstruation är progesteron avgörande för att en kvinna överhuvudtaget ska bli gravid och för att bevara en tidig graviditet. Cyclogest är ett vagitorium som innehåller 400 mg progesteron, e</w:t>
      </w:r>
      <w:r w:rsidR="00197B41">
        <w:t>tt</w:t>
      </w:r>
      <w:r>
        <w:t xml:space="preserve"> naturligt förekommande </w:t>
      </w:r>
      <w:r w:rsidR="00197B41">
        <w:t>hormon</w:t>
      </w:r>
      <w:r>
        <w:t>. Cyclogest gör att livmoderslemhinnan (endometriet) blir så mottaglig som möjligt för ett embryo och är därför ett avgörande stöd under lutealfasen vid ART</w:t>
      </w:r>
      <w:r w:rsidR="00197B41">
        <w:t>.</w:t>
      </w:r>
    </w:p>
    <w:p w:rsidR="00197B41" w:rsidRDefault="00197B41">
      <w:pPr>
        <w:pStyle w:val="Bodytext20"/>
        <w:shd w:val="clear" w:color="auto" w:fill="auto"/>
        <w:spacing w:before="0" w:after="175" w:line="278" w:lineRule="exact"/>
      </w:pPr>
    </w:p>
    <w:p w:rsidR="00A50DE4" w:rsidRPr="00991D32" w:rsidRDefault="000D2650">
      <w:pPr>
        <w:pStyle w:val="Bodytext30"/>
        <w:shd w:val="clear" w:color="auto" w:fill="auto"/>
        <w:spacing w:before="0" w:after="186" w:line="210" w:lineRule="exact"/>
        <w:rPr>
          <w:lang w:val="en-US"/>
        </w:rPr>
      </w:pPr>
      <w:r w:rsidRPr="00991D32">
        <w:rPr>
          <w:lang w:val="en-US"/>
        </w:rPr>
        <w:t>Om Gedeon Richter</w:t>
      </w:r>
    </w:p>
    <w:p w:rsidR="00A50DE4" w:rsidRDefault="000D2650">
      <w:pPr>
        <w:pStyle w:val="Bodytext20"/>
        <w:shd w:val="clear" w:color="auto" w:fill="auto"/>
        <w:spacing w:before="0" w:after="0"/>
        <w:sectPr w:rsidR="00A50DE4">
          <w:footerReference w:type="default" r:id="rId6"/>
          <w:pgSz w:w="11900" w:h="16840"/>
          <w:pgMar w:top="2112" w:right="1339" w:bottom="2112" w:left="1349" w:header="0" w:footer="3" w:gutter="0"/>
          <w:cols w:space="720"/>
          <w:noEndnote/>
          <w:docGrid w:linePitch="360"/>
        </w:sectPr>
      </w:pPr>
      <w:r w:rsidRPr="00991D32">
        <w:rPr>
          <w:lang w:val="en-US"/>
        </w:rPr>
        <w:t xml:space="preserve">Gedeon Richter Plc. </w:t>
      </w:r>
      <w:r>
        <w:t>(</w:t>
      </w:r>
      <w:hyperlink r:id="rId7" w:history="1">
        <w:r>
          <w:rPr>
            <w:rStyle w:val="Hyperlnk"/>
          </w:rPr>
          <w:t>www.richter.hu</w:t>
        </w:r>
      </w:hyperlink>
      <w:r>
        <w:t xml:space="preserve">), med huvudkontor i Budapest i Ungern, är ett större läkemedelsföretag i centrala Östeuropa med pågående expansion i Västeuropa, Kina och Latinamerika. I slutet av 2017 uppgick </w:t>
      </w:r>
      <w:r w:rsidR="00417603">
        <w:t xml:space="preserve">Gedeon </w:t>
      </w:r>
      <w:r>
        <w:t xml:space="preserve">Richters börsvärde till 4,1 miljarder euro (4,9 miljarder dollar) och den totala omsättningen samma år var ca 1,4 miljarder euro (1,6 miljarder dollar). I </w:t>
      </w:r>
      <w:r w:rsidR="00417603">
        <w:t xml:space="preserve">Gedeon </w:t>
      </w:r>
      <w:r>
        <w:t xml:space="preserve">Richters produktportfölj finns många viktiga behandlingsområden, bland annat kvinnohälsa, centrala nervsystemet och hjärta-kärl. </w:t>
      </w:r>
      <w:r w:rsidR="00417603">
        <w:t xml:space="preserve">Gedeon </w:t>
      </w:r>
      <w:r>
        <w:t xml:space="preserve">Richter har den största F&amp;U-avdelningen i centrala Östeuropa, där den ursprungliga forskningen inriktas på centrala nervsystemet. </w:t>
      </w:r>
      <w:r w:rsidR="00417603">
        <w:t xml:space="preserve">Gedeon </w:t>
      </w:r>
      <w:r>
        <w:t xml:space="preserve">Richter har med sina vitt erkända expertkunskaper i steroidkemi blivit en viktig global aktör inom området kvinnohälsa. </w:t>
      </w:r>
      <w:r w:rsidR="00417603">
        <w:t xml:space="preserve">Gedeon </w:t>
      </w:r>
      <w:r>
        <w:t>Richter är också aktivt inom utveckling av biosimilarer.</w:t>
      </w:r>
    </w:p>
    <w:p w:rsidR="00A50DE4" w:rsidRDefault="000D2650">
      <w:pPr>
        <w:pStyle w:val="Heading20"/>
        <w:keepNext/>
        <w:keepLines/>
        <w:shd w:val="clear" w:color="auto" w:fill="auto"/>
        <w:spacing w:before="0" w:after="189" w:line="210" w:lineRule="exact"/>
      </w:pPr>
      <w:bookmarkStart w:id="4" w:name="bookmark3"/>
      <w:r>
        <w:lastRenderedPageBreak/>
        <w:t>Om L.D. Collins</w:t>
      </w:r>
      <w:bookmarkEnd w:id="4"/>
    </w:p>
    <w:p w:rsidR="00A50DE4" w:rsidRDefault="000D2650">
      <w:pPr>
        <w:pStyle w:val="Bodytext20"/>
        <w:shd w:val="clear" w:color="auto" w:fill="auto"/>
        <w:spacing w:before="0" w:after="443" w:line="278" w:lineRule="exact"/>
      </w:pPr>
      <w:r w:rsidRPr="00991D32">
        <w:rPr>
          <w:lang w:val="en-US"/>
        </w:rPr>
        <w:t xml:space="preserve">L.D. Collins &amp; Co. Ltd. </w:t>
      </w:r>
      <w:r>
        <w:t>(</w:t>
      </w:r>
      <w:hyperlink r:id="rId8" w:history="1">
        <w:r>
          <w:rPr>
            <w:rStyle w:val="Hyperlnk"/>
          </w:rPr>
          <w:t>www.ldcollins.co.uk</w:t>
        </w:r>
      </w:hyperlink>
      <w:r>
        <w:t>), med huvudkontor i Storbritannien, har sin huvudinriktning på kvinnohälsa och är global ägare av Cyclogest, ett läkemedel som används vid IVF (s.k. provrörsbefruktning) och som kan förändra livet för många människor. L.D. grundades 1970 av Laurence Collins och är nu kommersiellt etablerat i över 58 länder över hela världen, bland annat i många länder där Cyclogest är förstahandsvalet, t.ex. i Storbritannien. L.D. Collins investerade nyligen i en omfattande klinisk prövning i Europa på miljontals dollar för att få IVF godkänt som indikation för Cyclogest. L.D. Collins strategi är inriktad på global expansion samt utveckling av produktportföljen för kvinnors hälsa genom forskning och företagsförvärv.</w:t>
      </w:r>
    </w:p>
    <w:p w:rsidR="00A50DE4" w:rsidRDefault="000D2650">
      <w:pPr>
        <w:pStyle w:val="Heading20"/>
        <w:keepNext/>
        <w:keepLines/>
        <w:shd w:val="clear" w:color="auto" w:fill="auto"/>
        <w:spacing w:before="0" w:after="0" w:line="475" w:lineRule="exact"/>
      </w:pPr>
      <w:bookmarkStart w:id="5" w:name="bookmark4"/>
      <w:r>
        <w:t>Mer information:</w:t>
      </w:r>
      <w:bookmarkEnd w:id="5"/>
    </w:p>
    <w:p w:rsidR="00A50DE4" w:rsidRDefault="000D2650">
      <w:pPr>
        <w:pStyle w:val="Heading20"/>
        <w:keepNext/>
        <w:keepLines/>
        <w:shd w:val="clear" w:color="auto" w:fill="auto"/>
        <w:spacing w:before="0" w:after="0" w:line="475" w:lineRule="exact"/>
      </w:pPr>
      <w:bookmarkStart w:id="6" w:name="bookmark5"/>
      <w:r>
        <w:t>Investerare:</w:t>
      </w:r>
      <w:bookmarkEnd w:id="6"/>
    </w:p>
    <w:p w:rsidR="00A50DE4" w:rsidRDefault="000D2650">
      <w:pPr>
        <w:pStyle w:val="Bodytext20"/>
        <w:shd w:val="clear" w:color="auto" w:fill="auto"/>
        <w:tabs>
          <w:tab w:val="left" w:pos="2095"/>
        </w:tabs>
        <w:spacing w:before="0" w:after="0" w:line="475" w:lineRule="exact"/>
      </w:pPr>
      <w:r>
        <w:t>Katalin Ordog:</w:t>
      </w:r>
      <w:r>
        <w:tab/>
        <w:t>+36 1 431 5680</w:t>
      </w:r>
    </w:p>
    <w:p w:rsidR="00A50DE4" w:rsidRDefault="000D2650">
      <w:pPr>
        <w:pStyle w:val="Heading20"/>
        <w:keepNext/>
        <w:keepLines/>
        <w:shd w:val="clear" w:color="auto" w:fill="auto"/>
        <w:spacing w:before="0" w:after="0" w:line="475" w:lineRule="exact"/>
      </w:pPr>
      <w:bookmarkStart w:id="7" w:name="bookmark6"/>
      <w:r>
        <w:t>Media:</w:t>
      </w:r>
      <w:bookmarkEnd w:id="7"/>
    </w:p>
    <w:p w:rsidR="00A50DE4" w:rsidRDefault="000D2650">
      <w:pPr>
        <w:pStyle w:val="Bodytext20"/>
        <w:shd w:val="clear" w:color="auto" w:fill="auto"/>
        <w:tabs>
          <w:tab w:val="left" w:pos="2095"/>
        </w:tabs>
        <w:spacing w:before="0" w:after="0" w:line="475" w:lineRule="exact"/>
      </w:pPr>
      <w:r>
        <w:t>Zsuzsa Beke:</w:t>
      </w:r>
      <w:r>
        <w:tab/>
        <w:t>+36 1 431 4888</w:t>
      </w:r>
    </w:p>
    <w:sectPr w:rsidR="00A50DE4">
      <w:pgSz w:w="11900" w:h="16840"/>
      <w:pgMar w:top="2098" w:right="1349" w:bottom="2098" w:left="134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573" w:rsidRDefault="002D5573">
      <w:r>
        <w:separator/>
      </w:r>
    </w:p>
  </w:endnote>
  <w:endnote w:type="continuationSeparator" w:id="0">
    <w:p w:rsidR="002D5573" w:rsidRDefault="002D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DE4" w:rsidRDefault="000C6243">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3755390</wp:posOffset>
              </wp:positionH>
              <wp:positionV relativeFrom="page">
                <wp:posOffset>9656445</wp:posOffset>
              </wp:positionV>
              <wp:extent cx="67310" cy="138430"/>
              <wp:effectExtent l="254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DE4" w:rsidRDefault="000D2650">
                          <w:pPr>
                            <w:pStyle w:val="Headerorfooter0"/>
                            <w:shd w:val="clear" w:color="auto" w:fill="auto"/>
                            <w:spacing w:line="240" w:lineRule="auto"/>
                          </w:pPr>
                          <w:r>
                            <w:fldChar w:fldCharType="begin"/>
                          </w:r>
                          <w:r>
                            <w:instrText xml:space="preserve"> PAGE \* MERGEFORMAT </w:instrText>
                          </w:r>
                          <w:r>
                            <w:fldChar w:fldCharType="separate"/>
                          </w:r>
                          <w:r w:rsidR="000C6243" w:rsidRPr="000C6243">
                            <w:rPr>
                              <w:rStyle w:val="Headerorfooter1"/>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7pt;margin-top:760.35pt;width:5.3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CKzqQIAAKU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" filled="f" stroked="f">
              <v:textbox style="mso-fit-shape-to-text:t" inset="0,0,0,0">
                <w:txbxContent>
                  <w:p w:rsidR="00A50DE4" w:rsidRDefault="000D2650">
                    <w:pPr>
                      <w:pStyle w:val="Headerorfooter0"/>
                      <w:shd w:val="clear" w:color="auto" w:fill="auto"/>
                      <w:spacing w:line="240" w:lineRule="auto"/>
                    </w:pPr>
                    <w:r>
                      <w:fldChar w:fldCharType="begin"/>
                    </w:r>
                    <w:r>
                      <w:instrText xml:space="preserve"> PAGE \* MERGEFORMAT </w:instrText>
                    </w:r>
                    <w:r>
                      <w:fldChar w:fldCharType="separate"/>
                    </w:r>
                    <w:r w:rsidR="000C6243" w:rsidRPr="000C6243">
                      <w:rPr>
                        <w:rStyle w:val="Headerorfooter1"/>
                      </w:rPr>
                      <w:t>2</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573" w:rsidRDefault="002D5573"/>
  </w:footnote>
  <w:footnote w:type="continuationSeparator" w:id="0">
    <w:p w:rsidR="002D5573" w:rsidRDefault="002D557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defaultTabStop w:val="1304"/>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E4"/>
    <w:rsid w:val="00037357"/>
    <w:rsid w:val="000C6243"/>
    <w:rsid w:val="000D2650"/>
    <w:rsid w:val="00197B41"/>
    <w:rsid w:val="00200B07"/>
    <w:rsid w:val="002D5573"/>
    <w:rsid w:val="00417603"/>
    <w:rsid w:val="00496CC9"/>
    <w:rsid w:val="00535B12"/>
    <w:rsid w:val="006D4410"/>
    <w:rsid w:val="00991D32"/>
    <w:rsid w:val="00A50DE4"/>
    <w:rsid w:val="00BA7A2C"/>
    <w:rsid w:val="00F924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4D67D3-6802-4324-AE57-D13858E6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sv-SE"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Pr>
      <w:color w:val="0066CC"/>
      <w:u w:val="single"/>
    </w:rPr>
  </w:style>
  <w:style w:type="character" w:customStyle="1" w:styleId="Heading1">
    <w:name w:val="Heading #1_"/>
    <w:basedOn w:val="Standardstycketeckensnitt"/>
    <w:link w:val="Heading10"/>
    <w:rPr>
      <w:rFonts w:ascii="Arial" w:eastAsia="Arial" w:hAnsi="Arial" w:cs="Arial"/>
      <w:b/>
      <w:bCs/>
      <w:i w:val="0"/>
      <w:iCs w:val="0"/>
      <w:smallCaps w:val="0"/>
      <w:strike w:val="0"/>
      <w:sz w:val="26"/>
      <w:szCs w:val="26"/>
      <w:u w:val="none"/>
    </w:rPr>
  </w:style>
  <w:style w:type="character" w:customStyle="1" w:styleId="Headerorfooter">
    <w:name w:val="Header or footer_"/>
    <w:basedOn w:val="Standardstycketeckensnitt"/>
    <w:link w:val="Headerorfooter0"/>
    <w:rPr>
      <w:rFonts w:ascii="Arial" w:eastAsia="Arial" w:hAnsi="Arial" w:cs="Arial"/>
      <w:b w:val="0"/>
      <w:bCs w:val="0"/>
      <w:i w:val="0"/>
      <w:iCs w:val="0"/>
      <w:smallCaps w:val="0"/>
      <w:strike w:val="0"/>
      <w:sz w:val="19"/>
      <w:szCs w:val="19"/>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9"/>
      <w:szCs w:val="19"/>
      <w:u w:val="none"/>
      <w:lang w:val="sv-SE" w:eastAsia="en-US" w:bidi="en-US"/>
    </w:rPr>
  </w:style>
  <w:style w:type="character" w:customStyle="1" w:styleId="Bodytext2">
    <w:name w:val="Body text (2)_"/>
    <w:basedOn w:val="Standardstycketeckensnitt"/>
    <w:link w:val="Bodytext20"/>
    <w:rPr>
      <w:rFonts w:ascii="Arial" w:eastAsia="Arial" w:hAnsi="Arial" w:cs="Arial"/>
      <w:b w:val="0"/>
      <w:bCs w:val="0"/>
      <w:i w:val="0"/>
      <w:iCs w:val="0"/>
      <w:smallCaps w:val="0"/>
      <w:strike w:val="0"/>
      <w:sz w:val="21"/>
      <w:szCs w:val="21"/>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1"/>
      <w:szCs w:val="21"/>
      <w:u w:val="none"/>
      <w:lang w:val="sv-SE" w:eastAsia="en-US" w:bidi="en-US"/>
    </w:rPr>
  </w:style>
  <w:style w:type="character" w:customStyle="1" w:styleId="Heading2">
    <w:name w:val="Heading #2_"/>
    <w:basedOn w:val="Standardstycketeckensnitt"/>
    <w:link w:val="Heading20"/>
    <w:rPr>
      <w:rFonts w:ascii="Arial" w:eastAsia="Arial" w:hAnsi="Arial" w:cs="Arial"/>
      <w:b/>
      <w:bCs/>
      <w:i w:val="0"/>
      <w:iCs w:val="0"/>
      <w:smallCaps w:val="0"/>
      <w:strike w:val="0"/>
      <w:sz w:val="21"/>
      <w:szCs w:val="21"/>
      <w:u w:val="none"/>
    </w:rPr>
  </w:style>
  <w:style w:type="character" w:customStyle="1" w:styleId="Heading2NotBold">
    <w:name w:val="Heading #2 + Not Bold"/>
    <w:basedOn w:val="Heading2"/>
    <w:rPr>
      <w:rFonts w:ascii="Arial" w:eastAsia="Arial" w:hAnsi="Arial" w:cs="Arial"/>
      <w:b/>
      <w:bCs/>
      <w:i w:val="0"/>
      <w:iCs w:val="0"/>
      <w:smallCaps w:val="0"/>
      <w:strike w:val="0"/>
      <w:color w:val="000000"/>
      <w:spacing w:val="0"/>
      <w:w w:val="100"/>
      <w:position w:val="0"/>
      <w:sz w:val="21"/>
      <w:szCs w:val="21"/>
      <w:u w:val="none"/>
      <w:lang w:val="sv-SE" w:eastAsia="en-US" w:bidi="en-US"/>
    </w:rPr>
  </w:style>
  <w:style w:type="character" w:customStyle="1" w:styleId="Bodytext3">
    <w:name w:val="Body text (3)_"/>
    <w:basedOn w:val="Standardstycketeckensnitt"/>
    <w:link w:val="Bodytext30"/>
    <w:rPr>
      <w:rFonts w:ascii="Arial" w:eastAsia="Arial" w:hAnsi="Arial" w:cs="Arial"/>
      <w:b/>
      <w:bCs/>
      <w:i w:val="0"/>
      <w:iCs w:val="0"/>
      <w:smallCaps w:val="0"/>
      <w:strike w:val="0"/>
      <w:sz w:val="21"/>
      <w:szCs w:val="21"/>
      <w:u w:val="none"/>
    </w:rPr>
  </w:style>
  <w:style w:type="paragraph" w:customStyle="1" w:styleId="Heading10">
    <w:name w:val="Heading #1"/>
    <w:basedOn w:val="Normal"/>
    <w:link w:val="Heading1"/>
    <w:pPr>
      <w:shd w:val="clear" w:color="auto" w:fill="FFFFFF"/>
      <w:spacing w:after="120" w:line="0" w:lineRule="atLeast"/>
      <w:outlineLvl w:val="0"/>
    </w:pPr>
    <w:rPr>
      <w:rFonts w:ascii="Arial" w:eastAsia="Arial" w:hAnsi="Arial" w:cs="Arial"/>
      <w:b/>
      <w:bCs/>
      <w:sz w:val="26"/>
      <w:szCs w:val="26"/>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19"/>
      <w:szCs w:val="19"/>
    </w:rPr>
  </w:style>
  <w:style w:type="paragraph" w:customStyle="1" w:styleId="Bodytext20">
    <w:name w:val="Body text (2)"/>
    <w:basedOn w:val="Normal"/>
    <w:link w:val="Bodytext2"/>
    <w:pPr>
      <w:shd w:val="clear" w:color="auto" w:fill="FFFFFF"/>
      <w:spacing w:before="780" w:after="420" w:line="283" w:lineRule="exact"/>
      <w:jc w:val="both"/>
    </w:pPr>
    <w:rPr>
      <w:rFonts w:ascii="Arial" w:eastAsia="Arial" w:hAnsi="Arial" w:cs="Arial"/>
      <w:sz w:val="21"/>
      <w:szCs w:val="21"/>
    </w:rPr>
  </w:style>
  <w:style w:type="paragraph" w:customStyle="1" w:styleId="Heading20">
    <w:name w:val="Heading #2"/>
    <w:basedOn w:val="Normal"/>
    <w:link w:val="Heading2"/>
    <w:pPr>
      <w:shd w:val="clear" w:color="auto" w:fill="FFFFFF"/>
      <w:spacing w:before="420" w:after="300" w:line="0" w:lineRule="atLeast"/>
      <w:jc w:val="both"/>
      <w:outlineLvl w:val="1"/>
    </w:pPr>
    <w:rPr>
      <w:rFonts w:ascii="Arial" w:eastAsia="Arial" w:hAnsi="Arial" w:cs="Arial"/>
      <w:b/>
      <w:bCs/>
      <w:sz w:val="21"/>
      <w:szCs w:val="21"/>
    </w:rPr>
  </w:style>
  <w:style w:type="paragraph" w:customStyle="1" w:styleId="Bodytext30">
    <w:name w:val="Body text (3)"/>
    <w:basedOn w:val="Normal"/>
    <w:link w:val="Bodytext3"/>
    <w:pPr>
      <w:shd w:val="clear" w:color="auto" w:fill="FFFFFF"/>
      <w:spacing w:before="120" w:after="300" w:line="0" w:lineRule="atLeast"/>
      <w:jc w:val="both"/>
    </w:pPr>
    <w:rPr>
      <w:rFonts w:ascii="Arial" w:eastAsia="Arial" w:hAnsi="Arial" w:cs="Arial"/>
      <w:b/>
      <w:bCs/>
      <w:sz w:val="21"/>
      <w:szCs w:val="21"/>
    </w:rPr>
  </w:style>
  <w:style w:type="paragraph" w:styleId="Ballongtext">
    <w:name w:val="Balloon Text"/>
    <w:basedOn w:val="Normal"/>
    <w:link w:val="BallongtextChar"/>
    <w:uiPriority w:val="99"/>
    <w:semiHidden/>
    <w:unhideWhenUsed/>
    <w:rsid w:val="00BA7A2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A7A2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dcollins.co.uk" TargetMode="External"/><Relationship Id="rId3" Type="http://schemas.openxmlformats.org/officeDocument/2006/relationships/webSettings" Target="webSettings.xml"/><Relationship Id="rId7" Type="http://schemas.openxmlformats.org/officeDocument/2006/relationships/hyperlink" Target="http://www.richter.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Samuelsson</dc:creator>
  <cp:lastModifiedBy>Respina Gholinia</cp:lastModifiedBy>
  <cp:revision>2</cp:revision>
  <dcterms:created xsi:type="dcterms:W3CDTF">2018-11-02T09:04:00Z</dcterms:created>
  <dcterms:modified xsi:type="dcterms:W3CDTF">2018-11-02T09:04:00Z</dcterms:modified>
</cp:coreProperties>
</file>