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9695B" w:rsidRPr="0013130C" w:rsidRDefault="00AA7568" w:rsidP="00CB64A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Unfallversicherung: Beiträge steuerlich absetzbar</w:t>
      </w:r>
    </w:p>
    <w:p w:rsidR="0013130C" w:rsidRPr="0013130C" w:rsidRDefault="00685E5A" w:rsidP="00CB6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13130C">
        <w:rPr>
          <w:b/>
          <w:sz w:val="28"/>
          <w:szCs w:val="28"/>
        </w:rPr>
        <w:t>mfassend abgesichert sein</w:t>
      </w:r>
    </w:p>
    <w:p w:rsidR="0013130C" w:rsidRPr="00AC7412" w:rsidRDefault="0013130C" w:rsidP="00CB64AB">
      <w:pPr>
        <w:rPr>
          <w:sz w:val="22"/>
          <w:szCs w:val="22"/>
        </w:rPr>
      </w:pPr>
    </w:p>
    <w:p w:rsidR="002545D7" w:rsidRDefault="00AA7568" w:rsidP="002545D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(März/April 2016) </w:t>
      </w:r>
      <w:r w:rsidR="002545D7">
        <w:rPr>
          <w:b/>
          <w:sz w:val="22"/>
          <w:szCs w:val="22"/>
        </w:rPr>
        <w:t xml:space="preserve">70 Prozent aller Unfälle </w:t>
      </w:r>
      <w:r w:rsidR="00AA33AB">
        <w:rPr>
          <w:b/>
          <w:sz w:val="22"/>
          <w:szCs w:val="22"/>
        </w:rPr>
        <w:t xml:space="preserve">ereignen sich </w:t>
      </w:r>
      <w:r w:rsidR="002545D7">
        <w:rPr>
          <w:b/>
          <w:sz w:val="22"/>
          <w:szCs w:val="22"/>
        </w:rPr>
        <w:t>in der Freizeit, sind also ausschließlich über eine private Unfallversicherung abzu</w:t>
      </w:r>
      <w:r w:rsidR="00E978D0">
        <w:rPr>
          <w:b/>
          <w:sz w:val="22"/>
          <w:szCs w:val="22"/>
        </w:rPr>
        <w:t>sicher</w:t>
      </w:r>
      <w:r w:rsidR="002545D7">
        <w:rPr>
          <w:b/>
          <w:sz w:val="22"/>
          <w:szCs w:val="22"/>
        </w:rPr>
        <w:t xml:space="preserve">n. </w:t>
      </w:r>
      <w:r w:rsidR="00AA33AB">
        <w:rPr>
          <w:b/>
          <w:sz w:val="22"/>
          <w:szCs w:val="22"/>
        </w:rPr>
        <w:t xml:space="preserve">Die Beiträge zu einer Risikounfallversicherung sind </w:t>
      </w:r>
      <w:r w:rsidR="00685E5A">
        <w:rPr>
          <w:b/>
          <w:sz w:val="22"/>
          <w:szCs w:val="22"/>
        </w:rPr>
        <w:t xml:space="preserve">sogar teilweise </w:t>
      </w:r>
      <w:r w:rsidR="00AA33AB">
        <w:rPr>
          <w:b/>
          <w:sz w:val="22"/>
          <w:szCs w:val="22"/>
        </w:rPr>
        <w:t>als Werbungskosten</w:t>
      </w:r>
      <w:r>
        <w:rPr>
          <w:b/>
          <w:sz w:val="22"/>
          <w:szCs w:val="22"/>
        </w:rPr>
        <w:t xml:space="preserve"> </w:t>
      </w:r>
      <w:r w:rsidR="00AA33AB">
        <w:rPr>
          <w:b/>
          <w:sz w:val="22"/>
          <w:szCs w:val="22"/>
        </w:rPr>
        <w:t>steuerlich absetzbar. Darauf weist die SIGNAL IDUNA hin.</w:t>
      </w:r>
      <w:r w:rsidR="002545D7">
        <w:rPr>
          <w:b/>
          <w:sz w:val="22"/>
          <w:szCs w:val="22"/>
        </w:rPr>
        <w:t xml:space="preserve"> </w:t>
      </w:r>
    </w:p>
    <w:p w:rsidR="002545D7" w:rsidRDefault="002545D7" w:rsidP="002545D7">
      <w:pPr>
        <w:rPr>
          <w:sz w:val="22"/>
          <w:szCs w:val="22"/>
        </w:rPr>
      </w:pPr>
    </w:p>
    <w:p w:rsidR="002545D7" w:rsidRDefault="00AA33AB" w:rsidP="002545D7">
      <w:pPr>
        <w:rPr>
          <w:sz w:val="22"/>
          <w:szCs w:val="22"/>
        </w:rPr>
      </w:pPr>
      <w:r>
        <w:rPr>
          <w:sz w:val="22"/>
          <w:szCs w:val="22"/>
        </w:rPr>
        <w:t xml:space="preserve">Ein Unfall ist schnell passiert. Während Berufs- und Wegeunfälle durch die gesetzliche Unfallversicherung abgedeckt sind, ist für Freizeitunfälle private Vorsorge notwendig. Eine private Unfallversicherung schließt hier nicht nur die Versicherungslücke, sie ergänzt auch die Leistungen von Berufsgenossenschaft &amp; Co. </w:t>
      </w:r>
    </w:p>
    <w:p w:rsidR="002545D7" w:rsidRDefault="002545D7" w:rsidP="002545D7">
      <w:pPr>
        <w:rPr>
          <w:sz w:val="22"/>
          <w:szCs w:val="22"/>
        </w:rPr>
      </w:pPr>
    </w:p>
    <w:p w:rsidR="00AA33AB" w:rsidRDefault="00AA33AB" w:rsidP="002545D7">
      <w:pPr>
        <w:rPr>
          <w:sz w:val="22"/>
          <w:szCs w:val="22"/>
        </w:rPr>
      </w:pPr>
      <w:r>
        <w:rPr>
          <w:sz w:val="22"/>
          <w:szCs w:val="22"/>
        </w:rPr>
        <w:t xml:space="preserve">Was viele Arbeitnehmer nicht wissen: </w:t>
      </w:r>
      <w:r w:rsidR="002F5850">
        <w:rPr>
          <w:sz w:val="22"/>
          <w:szCs w:val="22"/>
        </w:rPr>
        <w:t>D</w:t>
      </w:r>
      <w:r>
        <w:rPr>
          <w:sz w:val="22"/>
          <w:szCs w:val="22"/>
        </w:rPr>
        <w:t xml:space="preserve">ie Beiträge zu einer privaten Unfallversicherung </w:t>
      </w:r>
      <w:r w:rsidR="00CF0A66">
        <w:rPr>
          <w:sz w:val="22"/>
          <w:szCs w:val="22"/>
        </w:rPr>
        <w:t>lassen sich</w:t>
      </w:r>
      <w:r w:rsidR="002F5850">
        <w:rPr>
          <w:sz w:val="22"/>
          <w:szCs w:val="22"/>
        </w:rPr>
        <w:t xml:space="preserve"> teilweise</w:t>
      </w:r>
      <w:r>
        <w:rPr>
          <w:sz w:val="22"/>
          <w:szCs w:val="22"/>
        </w:rPr>
        <w:t xml:space="preserve"> als Werbungskosten geltend machen. </w:t>
      </w:r>
      <w:r w:rsidR="002F5850">
        <w:rPr>
          <w:sz w:val="22"/>
          <w:szCs w:val="22"/>
        </w:rPr>
        <w:t xml:space="preserve">Der besondere Vorteil: Vorsorgeaufwendungen, unter die Versicherungsbeiträge </w:t>
      </w:r>
      <w:r w:rsidR="00CF0A66">
        <w:rPr>
          <w:sz w:val="22"/>
          <w:szCs w:val="22"/>
        </w:rPr>
        <w:t xml:space="preserve">in der Steuererklärung </w:t>
      </w:r>
      <w:r w:rsidR="002F5850">
        <w:rPr>
          <w:sz w:val="22"/>
          <w:szCs w:val="22"/>
        </w:rPr>
        <w:t>normalerweise fallen</w:t>
      </w:r>
      <w:r w:rsidR="00CF0A66">
        <w:rPr>
          <w:sz w:val="22"/>
          <w:szCs w:val="22"/>
        </w:rPr>
        <w:t>,</w:t>
      </w:r>
      <w:r w:rsidR="002F5850">
        <w:rPr>
          <w:sz w:val="22"/>
          <w:szCs w:val="22"/>
        </w:rPr>
        <w:t xml:space="preserve"> sind nur begrenzt abzug</w:t>
      </w:r>
      <w:r w:rsidR="00CF0A66">
        <w:rPr>
          <w:sz w:val="22"/>
          <w:szCs w:val="22"/>
        </w:rPr>
        <w:t>s</w:t>
      </w:r>
      <w:r w:rsidR="002F5850">
        <w:rPr>
          <w:sz w:val="22"/>
          <w:szCs w:val="22"/>
        </w:rPr>
        <w:t xml:space="preserve">fähig; </w:t>
      </w:r>
      <w:r>
        <w:rPr>
          <w:sz w:val="22"/>
          <w:szCs w:val="22"/>
        </w:rPr>
        <w:t>Werbungskosten</w:t>
      </w:r>
      <w:r w:rsidR="002F5850">
        <w:rPr>
          <w:sz w:val="22"/>
          <w:szCs w:val="22"/>
        </w:rPr>
        <w:t xml:space="preserve"> hingegen unbegrenzt. A</w:t>
      </w:r>
      <w:r w:rsidR="00AA7568">
        <w:rPr>
          <w:sz w:val="22"/>
          <w:szCs w:val="22"/>
        </w:rPr>
        <w:t xml:space="preserve">llerdings muss die Summe aller geltend gemachten </w:t>
      </w:r>
      <w:r w:rsidR="00685E5A">
        <w:rPr>
          <w:sz w:val="22"/>
          <w:szCs w:val="22"/>
        </w:rPr>
        <w:t>Aufwendung</w:t>
      </w:r>
      <w:r w:rsidR="00AA7568">
        <w:rPr>
          <w:sz w:val="22"/>
          <w:szCs w:val="22"/>
        </w:rPr>
        <w:t xml:space="preserve">en die </w:t>
      </w:r>
      <w:r w:rsidR="00685E5A">
        <w:rPr>
          <w:sz w:val="22"/>
          <w:szCs w:val="22"/>
        </w:rPr>
        <w:t>Werbungskostenp</w:t>
      </w:r>
      <w:r w:rsidR="00AA7568">
        <w:rPr>
          <w:sz w:val="22"/>
          <w:szCs w:val="22"/>
        </w:rPr>
        <w:t>auschale von derzeit 1.000 Euro überschreiten.</w:t>
      </w:r>
    </w:p>
    <w:p w:rsidR="008C65C8" w:rsidRDefault="008C65C8" w:rsidP="002545D7">
      <w:pPr>
        <w:rPr>
          <w:sz w:val="22"/>
          <w:szCs w:val="22"/>
        </w:rPr>
      </w:pPr>
    </w:p>
    <w:p w:rsidR="008C65C8" w:rsidRDefault="002F5850" w:rsidP="002545D7">
      <w:pPr>
        <w:rPr>
          <w:sz w:val="22"/>
          <w:szCs w:val="22"/>
        </w:rPr>
      </w:pPr>
      <w:r>
        <w:rPr>
          <w:sz w:val="22"/>
          <w:szCs w:val="22"/>
        </w:rPr>
        <w:t>Deckt</w:t>
      </w:r>
      <w:r w:rsidR="00A84CA1">
        <w:rPr>
          <w:sz w:val="22"/>
          <w:szCs w:val="22"/>
        </w:rPr>
        <w:t xml:space="preserve"> eine</w:t>
      </w:r>
      <w:r w:rsidR="008C65C8">
        <w:rPr>
          <w:sz w:val="22"/>
          <w:szCs w:val="22"/>
        </w:rPr>
        <w:t xml:space="preserve"> Risiko-Unfallversicherung </w:t>
      </w:r>
      <w:r>
        <w:rPr>
          <w:sz w:val="22"/>
          <w:szCs w:val="22"/>
        </w:rPr>
        <w:t>ausschließlich</w:t>
      </w:r>
      <w:r w:rsidR="00A84CA1">
        <w:rPr>
          <w:sz w:val="22"/>
          <w:szCs w:val="22"/>
        </w:rPr>
        <w:t xml:space="preserve"> das Unfallrisiko im beruflichen Bereich ab</w:t>
      </w:r>
      <w:r>
        <w:rPr>
          <w:sz w:val="22"/>
          <w:szCs w:val="22"/>
        </w:rPr>
        <w:t>, so fallen die Beiträge voll unter die Werbungskosten</w:t>
      </w:r>
      <w:r w:rsidR="00A84CA1">
        <w:rPr>
          <w:sz w:val="22"/>
          <w:szCs w:val="22"/>
        </w:rPr>
        <w:t>. Bei einer privaten Unfallversicherung, die auch für Freizeitunfälle</w:t>
      </w:r>
      <w:r w:rsidR="00CF0A66">
        <w:rPr>
          <w:sz w:val="22"/>
          <w:szCs w:val="22"/>
        </w:rPr>
        <w:t xml:space="preserve"> r</w:t>
      </w:r>
      <w:r>
        <w:rPr>
          <w:sz w:val="22"/>
          <w:szCs w:val="22"/>
        </w:rPr>
        <w:t>und</w:t>
      </w:r>
      <w:r w:rsidR="00CF0A66">
        <w:rPr>
          <w:sz w:val="22"/>
          <w:szCs w:val="22"/>
        </w:rPr>
        <w:t xml:space="preserve"> </w:t>
      </w:r>
      <w:r>
        <w:rPr>
          <w:sz w:val="22"/>
          <w:szCs w:val="22"/>
        </w:rPr>
        <w:t>um</w:t>
      </w:r>
      <w:r w:rsidR="00CF0A66">
        <w:rPr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 w:rsidR="00CF0A66">
        <w:rPr>
          <w:sz w:val="22"/>
          <w:szCs w:val="22"/>
        </w:rPr>
        <w:t xml:space="preserve"> </w:t>
      </w:r>
      <w:r>
        <w:rPr>
          <w:sz w:val="22"/>
          <w:szCs w:val="22"/>
        </w:rPr>
        <w:t>Uhr</w:t>
      </w:r>
      <w:r w:rsidR="00A84CA1">
        <w:rPr>
          <w:sz w:val="22"/>
          <w:szCs w:val="22"/>
        </w:rPr>
        <w:t xml:space="preserve"> leistet, </w:t>
      </w:r>
      <w:r w:rsidR="00937CA0">
        <w:rPr>
          <w:sz w:val="22"/>
          <w:szCs w:val="22"/>
        </w:rPr>
        <w:t xml:space="preserve">erkennt das Finanzamt ohne Nachweis jeweils 50 Prozent des Beitrags als </w:t>
      </w:r>
      <w:r>
        <w:rPr>
          <w:sz w:val="22"/>
          <w:szCs w:val="22"/>
        </w:rPr>
        <w:t xml:space="preserve">Vorsorgeaufwendungen </w:t>
      </w:r>
      <w:r w:rsidR="00685E5A">
        <w:rPr>
          <w:sz w:val="22"/>
          <w:szCs w:val="22"/>
        </w:rPr>
        <w:t>und Werbungskosten</w:t>
      </w:r>
      <w:r w:rsidR="00937CA0">
        <w:rPr>
          <w:sz w:val="22"/>
          <w:szCs w:val="22"/>
        </w:rPr>
        <w:t xml:space="preserve"> an.</w:t>
      </w:r>
      <w:r w:rsidR="00AA7568">
        <w:rPr>
          <w:sz w:val="22"/>
          <w:szCs w:val="22"/>
        </w:rPr>
        <w:t xml:space="preserve"> </w:t>
      </w:r>
      <w:r w:rsidR="00685E5A">
        <w:rPr>
          <w:sz w:val="22"/>
          <w:szCs w:val="22"/>
        </w:rPr>
        <w:t>Aus Unwissenheit verschenken Arbeitnehmer hier jedes Jahr Geld.</w:t>
      </w:r>
    </w:p>
    <w:p w:rsidR="00AA33AB" w:rsidRDefault="00AA33AB" w:rsidP="002545D7">
      <w:pPr>
        <w:rPr>
          <w:sz w:val="22"/>
          <w:szCs w:val="22"/>
        </w:rPr>
      </w:pPr>
    </w:p>
    <w:p w:rsidR="00AA7568" w:rsidRDefault="00AA7568" w:rsidP="002545D7">
      <w:pPr>
        <w:rPr>
          <w:sz w:val="22"/>
          <w:szCs w:val="22"/>
        </w:rPr>
      </w:pPr>
      <w:r>
        <w:rPr>
          <w:sz w:val="22"/>
          <w:szCs w:val="22"/>
        </w:rPr>
        <w:t>Doch unabhängig von den steuerlichen Aspekten gehört ein privater Unfallschutz ins private Versicherungsportfolio. So bietet das in Tarifwerk der SIGNAL IDUNA umfangreichen Versicherungsschutz</w:t>
      </w:r>
      <w:r w:rsidR="00685E5A">
        <w:rPr>
          <w:sz w:val="22"/>
          <w:szCs w:val="22"/>
        </w:rPr>
        <w:t>: v</w:t>
      </w:r>
      <w:r>
        <w:rPr>
          <w:sz w:val="22"/>
          <w:szCs w:val="22"/>
        </w:rPr>
        <w:t xml:space="preserve">om professionellen Reha-Management bis zu zusätzlichen, umfassenden </w:t>
      </w:r>
      <w:proofErr w:type="spellStart"/>
      <w:r>
        <w:rPr>
          <w:sz w:val="22"/>
          <w:szCs w:val="22"/>
        </w:rPr>
        <w:t>Assistanceleistungen</w:t>
      </w:r>
      <w:proofErr w:type="spellEnd"/>
      <w:r>
        <w:rPr>
          <w:sz w:val="22"/>
          <w:szCs w:val="22"/>
        </w:rPr>
        <w:t xml:space="preserve">. Drei Tarif-Varianten stehen zur Verfügung, so dass sich die Unfallversicherung auf den persönlichen Absicherungsbedarf abstimmen lässt. </w:t>
      </w:r>
    </w:p>
    <w:sectPr w:rsidR="00AA7568" w:rsidSect="00EA402F">
      <w:pgSz w:w="595.30pt" w:h="841.90pt" w:code="9"/>
      <w:pgMar w:top="70.90pt" w:right="70.9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FFFFFF7C"/>
    <w:multiLevelType w:val="singleLevel"/>
    <w:tmpl w:val="B7B04874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1">
    <w:nsid w:val="FFFFFF7D"/>
    <w:multiLevelType w:val="singleLevel"/>
    <w:tmpl w:val="FE802B90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2">
    <w:nsid w:val="FFFFFF7E"/>
    <w:multiLevelType w:val="singleLevel"/>
    <w:tmpl w:val="F1A4D332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3">
    <w:nsid w:val="FFFFFF7F"/>
    <w:multiLevelType w:val="singleLevel"/>
    <w:tmpl w:val="177E80F0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4">
    <w:nsid w:val="FFFFFF80"/>
    <w:multiLevelType w:val="singleLevel"/>
    <w:tmpl w:val="E160C752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023F34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D29D82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2A9C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4D8A4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>
    <w:nsid w:val="FFFFFF89"/>
    <w:multiLevelType w:val="singleLevel"/>
    <w:tmpl w:val="06DA383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NotDisplayPageBoundaries/>
  <w:proofState w:spelling="clean" w:grammar="clean"/>
  <w:stylePaneFormatFilter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E5"/>
    <w:rsid w:val="00010155"/>
    <w:rsid w:val="0004254F"/>
    <w:rsid w:val="0009695B"/>
    <w:rsid w:val="000B2587"/>
    <w:rsid w:val="00101CDB"/>
    <w:rsid w:val="0013130C"/>
    <w:rsid w:val="0016390E"/>
    <w:rsid w:val="0019571C"/>
    <w:rsid w:val="001B227B"/>
    <w:rsid w:val="001B6A55"/>
    <w:rsid w:val="00221D07"/>
    <w:rsid w:val="00236847"/>
    <w:rsid w:val="00241B41"/>
    <w:rsid w:val="002545D7"/>
    <w:rsid w:val="002F5850"/>
    <w:rsid w:val="003142BA"/>
    <w:rsid w:val="00334E15"/>
    <w:rsid w:val="00382610"/>
    <w:rsid w:val="003D3FF9"/>
    <w:rsid w:val="00426829"/>
    <w:rsid w:val="004425CF"/>
    <w:rsid w:val="00453665"/>
    <w:rsid w:val="0047657C"/>
    <w:rsid w:val="004E2F53"/>
    <w:rsid w:val="00553F1E"/>
    <w:rsid w:val="005E6647"/>
    <w:rsid w:val="00607911"/>
    <w:rsid w:val="0062680F"/>
    <w:rsid w:val="00642AC6"/>
    <w:rsid w:val="00654D38"/>
    <w:rsid w:val="00677B9F"/>
    <w:rsid w:val="00685E5A"/>
    <w:rsid w:val="006A0BA6"/>
    <w:rsid w:val="006A6C2D"/>
    <w:rsid w:val="006E6B96"/>
    <w:rsid w:val="006F39A5"/>
    <w:rsid w:val="00783389"/>
    <w:rsid w:val="0082767F"/>
    <w:rsid w:val="00895D40"/>
    <w:rsid w:val="008C43B9"/>
    <w:rsid w:val="008C65C8"/>
    <w:rsid w:val="008D3A12"/>
    <w:rsid w:val="008D4639"/>
    <w:rsid w:val="00906D09"/>
    <w:rsid w:val="009072C5"/>
    <w:rsid w:val="00915459"/>
    <w:rsid w:val="00937CA0"/>
    <w:rsid w:val="00976FD4"/>
    <w:rsid w:val="00984DBD"/>
    <w:rsid w:val="009A0C73"/>
    <w:rsid w:val="009B3374"/>
    <w:rsid w:val="009C2508"/>
    <w:rsid w:val="00A84CA1"/>
    <w:rsid w:val="00AA33AB"/>
    <w:rsid w:val="00AA7568"/>
    <w:rsid w:val="00AB6076"/>
    <w:rsid w:val="00AC7412"/>
    <w:rsid w:val="00AC79E5"/>
    <w:rsid w:val="00B12092"/>
    <w:rsid w:val="00B71399"/>
    <w:rsid w:val="00B72CBD"/>
    <w:rsid w:val="00B81CAC"/>
    <w:rsid w:val="00BE283E"/>
    <w:rsid w:val="00BE6E6E"/>
    <w:rsid w:val="00C10E1D"/>
    <w:rsid w:val="00C257A7"/>
    <w:rsid w:val="00C47AB4"/>
    <w:rsid w:val="00C639EA"/>
    <w:rsid w:val="00C70FF2"/>
    <w:rsid w:val="00C759A1"/>
    <w:rsid w:val="00CB64AB"/>
    <w:rsid w:val="00CD0BFA"/>
    <w:rsid w:val="00CF0A66"/>
    <w:rsid w:val="00D060BA"/>
    <w:rsid w:val="00D156A1"/>
    <w:rsid w:val="00D33557"/>
    <w:rsid w:val="00D62CF1"/>
    <w:rsid w:val="00D76931"/>
    <w:rsid w:val="00D85583"/>
    <w:rsid w:val="00E268EC"/>
    <w:rsid w:val="00E279F3"/>
    <w:rsid w:val="00E978D0"/>
    <w:rsid w:val="00EA3F93"/>
    <w:rsid w:val="00EA402F"/>
    <w:rsid w:val="00EF0D7E"/>
    <w:rsid w:val="00F42589"/>
    <w:rsid w:val="00FA75B6"/>
    <w:rsid w:val="00FC7AE9"/>
    <w:rsid w:val="00FD348A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8392E7B-3604-40F1-9458-6350A3A4F7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9E5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12pt" w:after="3pt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12pt" w:after="3p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12pt" w:after="3p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12pt" w:after="3p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12pt" w:after="3pt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12pt" w:after="3pt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12pt" w:after="3pt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12pt" w:after="3pt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12pt" w:after="3pt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</w:rPr>
  </w:style>
  <w:style w:type="character" w:styleId="HTMLTastatur">
    <w:name w:val="HTML Keyboard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basedOn w:val="Absatz-Standardschriftart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start="56.70pt" w:hanging="56.70pt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</w:rPr>
  </w:style>
  <w:style w:type="character" w:styleId="Seitenzahl">
    <w:name w:val="page number"/>
    <w:basedOn w:val="Absatz-Standardschriftart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216pt" w:h="108pt" w:hRule="exact" w:hSpace="7.05pt" w:wrap="auto" w:hAnchor="page" w:xAlign="center" w:yAlign="bottom"/>
      <w:ind w:start="0.05pt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start="20.15pt" w:hanging="20.15pt"/>
    </w:pPr>
  </w:style>
  <w:style w:type="paragraph" w:styleId="Beschriftung">
    <w:name w:val="caption"/>
    <w:basedOn w:val="Standard"/>
    <w:next w:val="Standard"/>
    <w:qFormat/>
    <w:rsid w:val="006A6C2D"/>
    <w:pPr>
      <w:spacing w:before="6pt" w:after="6pt"/>
    </w:pPr>
    <w:rPr>
      <w:b/>
      <w:bCs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</w:rPr>
  </w:style>
  <w:style w:type="paragraph" w:styleId="Endnotentext">
    <w:name w:val="endnote text"/>
    <w:basedOn w:val="Standard"/>
    <w:rsid w:val="00B81CAC"/>
  </w:style>
  <w:style w:type="character" w:styleId="Endnotenzeichen">
    <w:name w:val="endnote reference"/>
    <w:basedOn w:val="Absatz-Standardschriftart"/>
    <w:rsid w:val="00B81CAC"/>
    <w:rPr>
      <w:vertAlign w:val="superscript"/>
    </w:rPr>
  </w:style>
  <w:style w:type="paragraph" w:styleId="Funotentext">
    <w:name w:val="footnote text"/>
    <w:basedOn w:val="Standard"/>
    <w:rsid w:val="00B81CAC"/>
  </w:style>
  <w:style w:type="character" w:styleId="Funotenzeichen">
    <w:name w:val="footnote reference"/>
    <w:basedOn w:val="Absatz-Standardschriftart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start="10pt" w:hanging="10pt"/>
    </w:pPr>
  </w:style>
  <w:style w:type="paragraph" w:styleId="Index2">
    <w:name w:val="index 2"/>
    <w:basedOn w:val="Standard"/>
    <w:next w:val="Standard"/>
    <w:autoRedefine/>
    <w:rsid w:val="00B81CAC"/>
    <w:pPr>
      <w:ind w:start="20pt" w:hanging="10pt"/>
    </w:pPr>
  </w:style>
  <w:style w:type="paragraph" w:styleId="Index3">
    <w:name w:val="index 3"/>
    <w:basedOn w:val="Standard"/>
    <w:next w:val="Standard"/>
    <w:autoRedefine/>
    <w:rsid w:val="00B81CAC"/>
    <w:pPr>
      <w:ind w:start="30pt" w:hanging="10pt"/>
    </w:pPr>
  </w:style>
  <w:style w:type="paragraph" w:styleId="Index4">
    <w:name w:val="index 4"/>
    <w:basedOn w:val="Standard"/>
    <w:next w:val="Standard"/>
    <w:autoRedefine/>
    <w:rsid w:val="00B81CAC"/>
    <w:pPr>
      <w:ind w:start="40pt" w:hanging="10pt"/>
    </w:pPr>
  </w:style>
  <w:style w:type="paragraph" w:styleId="Index5">
    <w:name w:val="index 5"/>
    <w:basedOn w:val="Standard"/>
    <w:next w:val="Standard"/>
    <w:autoRedefine/>
    <w:rsid w:val="00B81CAC"/>
    <w:pPr>
      <w:ind w:start="50pt" w:hanging="10pt"/>
    </w:pPr>
  </w:style>
  <w:style w:type="paragraph" w:styleId="Index6">
    <w:name w:val="index 6"/>
    <w:basedOn w:val="Standard"/>
    <w:next w:val="Standard"/>
    <w:autoRedefine/>
    <w:rsid w:val="00B81CAC"/>
    <w:pPr>
      <w:ind w:start="60pt" w:hanging="10pt"/>
    </w:pPr>
  </w:style>
  <w:style w:type="paragraph" w:styleId="Index7">
    <w:name w:val="index 7"/>
    <w:basedOn w:val="Standard"/>
    <w:next w:val="Standard"/>
    <w:autoRedefine/>
    <w:rsid w:val="00B81CAC"/>
    <w:pPr>
      <w:ind w:start="70pt" w:hanging="10pt"/>
    </w:pPr>
  </w:style>
  <w:style w:type="paragraph" w:styleId="Index8">
    <w:name w:val="index 8"/>
    <w:basedOn w:val="Standard"/>
    <w:next w:val="Standard"/>
    <w:autoRedefine/>
    <w:rsid w:val="00B81CAC"/>
    <w:pPr>
      <w:ind w:start="80pt" w:hanging="10pt"/>
    </w:pPr>
  </w:style>
  <w:style w:type="paragraph" w:styleId="Index9">
    <w:name w:val="index 9"/>
    <w:basedOn w:val="Standard"/>
    <w:next w:val="Standard"/>
    <w:autoRedefine/>
    <w:rsid w:val="00B81CAC"/>
    <w:pPr>
      <w:ind w:start="90pt" w:hanging="10pt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basedOn w:val="Absatz-Standardschriftart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start" w:pos="24pt"/>
        <w:tab w:val="start" w:pos="48pt"/>
        <w:tab w:val="start" w:pos="72pt"/>
        <w:tab w:val="start" w:pos="96pt"/>
        <w:tab w:val="start" w:pos="120pt"/>
        <w:tab w:val="start" w:pos="144pt"/>
        <w:tab w:val="start" w:pos="168pt"/>
        <w:tab w:val="start" w:pos="192pt"/>
        <w:tab w:val="start" w:pos="216pt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start="10pt" w:hanging="10pt"/>
    </w:pPr>
  </w:style>
  <w:style w:type="paragraph" w:styleId="RGV-berschrift">
    <w:name w:val="toa heading"/>
    <w:basedOn w:val="Standard"/>
    <w:next w:val="Standard"/>
    <w:rsid w:val="00B81CAC"/>
    <w:pPr>
      <w:spacing w:before="6pt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start="10pt"/>
    </w:pPr>
  </w:style>
  <w:style w:type="paragraph" w:styleId="Verzeichnis3">
    <w:name w:val="toc 3"/>
    <w:basedOn w:val="Standard"/>
    <w:next w:val="Standard"/>
    <w:autoRedefine/>
    <w:rsid w:val="00B81CAC"/>
    <w:pPr>
      <w:ind w:start="20pt"/>
    </w:pPr>
  </w:style>
  <w:style w:type="paragraph" w:styleId="Verzeichnis4">
    <w:name w:val="toc 4"/>
    <w:basedOn w:val="Standard"/>
    <w:next w:val="Standard"/>
    <w:autoRedefine/>
    <w:rsid w:val="00B81CAC"/>
    <w:pPr>
      <w:ind w:start="30pt"/>
    </w:pPr>
  </w:style>
  <w:style w:type="paragraph" w:styleId="Verzeichnis5">
    <w:name w:val="toc 5"/>
    <w:basedOn w:val="Standard"/>
    <w:next w:val="Standard"/>
    <w:autoRedefine/>
    <w:rsid w:val="00B81CAC"/>
    <w:pPr>
      <w:ind w:start="40pt"/>
    </w:pPr>
  </w:style>
  <w:style w:type="paragraph" w:styleId="Verzeichnis6">
    <w:name w:val="toc 6"/>
    <w:basedOn w:val="Standard"/>
    <w:next w:val="Standard"/>
    <w:autoRedefine/>
    <w:rsid w:val="00B81CAC"/>
    <w:pPr>
      <w:ind w:start="50pt"/>
    </w:pPr>
  </w:style>
  <w:style w:type="paragraph" w:styleId="Verzeichnis7">
    <w:name w:val="toc 7"/>
    <w:basedOn w:val="Standard"/>
    <w:next w:val="Standard"/>
    <w:autoRedefine/>
    <w:rsid w:val="00B81CAC"/>
    <w:pPr>
      <w:ind w:start="60pt"/>
    </w:pPr>
  </w:style>
  <w:style w:type="paragraph" w:styleId="Verzeichnis8">
    <w:name w:val="toc 8"/>
    <w:basedOn w:val="Standard"/>
    <w:next w:val="Standard"/>
    <w:autoRedefine/>
    <w:rsid w:val="00B81CAC"/>
    <w:pPr>
      <w:ind w:start="70pt"/>
    </w:pPr>
  </w:style>
  <w:style w:type="paragraph" w:styleId="Verzeichnis9">
    <w:name w:val="toc 9"/>
    <w:basedOn w:val="Standard"/>
    <w:next w:val="Standard"/>
    <w:autoRedefine/>
    <w:rsid w:val="00B81CAC"/>
    <w:pPr>
      <w:ind w:start="80pt"/>
    </w:pPr>
  </w:style>
  <w:style w:type="paragraph" w:styleId="Untertitel">
    <w:name w:val="Subtitle"/>
    <w:basedOn w:val="Standard"/>
    <w:qFormat/>
    <w:rsid w:val="00B81CAC"/>
    <w:pPr>
      <w:spacing w:after="3pt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01681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tyles" Target="styles.xml"/><Relationship Id="rId7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webSettings" Target="webSettings.xml"/><Relationship Id="rId4" Type="http://purl.oclc.org/ooxml/officeDocument/relationships/settings" Target="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3BE470A-10E3-4FD7-AF60-ED72F9BA8E2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236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Unfall ist so schnell passiert, die Folgen oft gravierend</vt:lpstr>
    </vt:vector>
  </TitlesOfParts>
  <Company>SIGNAL IDUNA Gruppe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Unfall ist so schnell passiert, die Folgen oft gravierend</dc:title>
  <dc:subject/>
  <dc:creator>Claus Rehse</dc:creator>
  <cp:keywords/>
  <dc:description/>
  <cp:lastModifiedBy>u008944</cp:lastModifiedBy>
  <cp:revision>2</cp:revision>
  <cp:lastPrinted>2016-02-03T11:44:00Z</cp:lastPrinted>
  <dcterms:created xsi:type="dcterms:W3CDTF">2016-02-15T14:19:00Z</dcterms:created>
  <dcterms:modified xsi:type="dcterms:W3CDTF">2016-02-15T14:19:00Z</dcterms:modified>
</cp:coreProperties>
</file>