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6F0" w:rsidRPr="003000A0" w:rsidRDefault="00EA46F0" w:rsidP="00EA46F0">
      <w:pPr>
        <w:pBdr>
          <w:top w:val="single" w:sz="4" w:space="1" w:color="auto"/>
        </w:pBdr>
        <w:rPr>
          <w:rFonts w:cs="Arial"/>
          <w:b/>
          <w:color w:val="FF0000"/>
          <w:szCs w:val="22"/>
        </w:rPr>
      </w:pPr>
    </w:p>
    <w:p w:rsidR="000A52E0" w:rsidRDefault="00AB4AF1" w:rsidP="000A52E0">
      <w:pPr>
        <w:pStyle w:val="berschrift4"/>
        <w:rPr>
          <w:rFonts w:ascii="Verdana" w:hAnsi="Verdana"/>
        </w:rPr>
      </w:pPr>
      <w:r>
        <w:rPr>
          <w:rFonts w:ascii="Verdana" w:hAnsi="Verdana"/>
        </w:rPr>
        <w:t xml:space="preserve">hkk-Studie: </w:t>
      </w:r>
      <w:r w:rsidR="00253444">
        <w:rPr>
          <w:rFonts w:ascii="Verdana" w:hAnsi="Verdana"/>
        </w:rPr>
        <w:t xml:space="preserve">Polypharmazie </w:t>
      </w:r>
      <w:r w:rsidR="003249B2">
        <w:rPr>
          <w:rFonts w:ascii="Verdana" w:hAnsi="Verdana"/>
        </w:rPr>
        <w:t>und Übermed</w:t>
      </w:r>
      <w:r w:rsidR="003249B2">
        <w:rPr>
          <w:rFonts w:ascii="Verdana" w:hAnsi="Verdana"/>
        </w:rPr>
        <w:t>i</w:t>
      </w:r>
      <w:r w:rsidR="003249B2">
        <w:rPr>
          <w:rFonts w:ascii="Verdana" w:hAnsi="Verdana"/>
        </w:rPr>
        <w:t xml:space="preserve">kation sind </w:t>
      </w:r>
      <w:r w:rsidR="00253444">
        <w:rPr>
          <w:rFonts w:ascii="Verdana" w:hAnsi="Verdana"/>
        </w:rPr>
        <w:t>Seniorenproblem</w:t>
      </w:r>
      <w:r w:rsidR="003249B2">
        <w:rPr>
          <w:rFonts w:ascii="Verdana" w:hAnsi="Verdana"/>
        </w:rPr>
        <w:t>e</w:t>
      </w:r>
    </w:p>
    <w:p w:rsidR="000A52E0" w:rsidRDefault="000A52E0" w:rsidP="000A52E0">
      <w:pPr>
        <w:rPr>
          <w:rFonts w:eastAsiaTheme="minorHAnsi"/>
        </w:rPr>
      </w:pPr>
    </w:p>
    <w:p w:rsidR="000A52E0" w:rsidRDefault="00253444" w:rsidP="00253444">
      <w:pPr>
        <w:pStyle w:val="Listenabsatz"/>
        <w:numPr>
          <w:ilvl w:val="0"/>
          <w:numId w:val="1"/>
        </w:numPr>
        <w:ind w:right="432"/>
        <w:rPr>
          <w:b/>
          <w:bCs/>
          <w:sz w:val="24"/>
          <w:szCs w:val="24"/>
        </w:rPr>
      </w:pPr>
      <w:r>
        <w:rPr>
          <w:b/>
          <w:bCs/>
          <w:sz w:val="24"/>
          <w:szCs w:val="24"/>
        </w:rPr>
        <w:t>Fast zwei Drittel der Betroffenen sind 65 Jahre plus</w:t>
      </w:r>
    </w:p>
    <w:p w:rsidR="00253444" w:rsidRDefault="00253444" w:rsidP="00253444">
      <w:pPr>
        <w:pStyle w:val="Listenabsatz"/>
        <w:numPr>
          <w:ilvl w:val="0"/>
          <w:numId w:val="1"/>
        </w:numPr>
        <w:ind w:right="432"/>
        <w:rPr>
          <w:b/>
          <w:bCs/>
          <w:sz w:val="24"/>
          <w:szCs w:val="24"/>
        </w:rPr>
      </w:pPr>
      <w:r>
        <w:rPr>
          <w:b/>
          <w:bCs/>
          <w:sz w:val="24"/>
          <w:szCs w:val="24"/>
        </w:rPr>
        <w:t>Patienten und Ärzten fehlt Risikobewusstsein</w:t>
      </w:r>
    </w:p>
    <w:p w:rsidR="00253444" w:rsidRPr="00253444" w:rsidRDefault="00AB4AF1" w:rsidP="00253444">
      <w:pPr>
        <w:pStyle w:val="Listenabsatz"/>
        <w:numPr>
          <w:ilvl w:val="0"/>
          <w:numId w:val="1"/>
        </w:numPr>
        <w:ind w:right="432"/>
        <w:rPr>
          <w:b/>
          <w:bCs/>
          <w:sz w:val="24"/>
          <w:szCs w:val="24"/>
        </w:rPr>
      </w:pPr>
      <w:r>
        <w:rPr>
          <w:b/>
          <w:bCs/>
          <w:sz w:val="24"/>
          <w:szCs w:val="24"/>
        </w:rPr>
        <w:t>Medikationsplan kann Situation der Betroffenen verbessern</w:t>
      </w:r>
    </w:p>
    <w:p w:rsidR="00F40C6E" w:rsidRPr="00505FBC" w:rsidRDefault="00F40C6E" w:rsidP="00F40C6E">
      <w:pPr>
        <w:pBdr>
          <w:bottom w:val="single" w:sz="4" w:space="1" w:color="auto"/>
        </w:pBdr>
        <w:rPr>
          <w:rFonts w:cs="Arial"/>
          <w:szCs w:val="22"/>
        </w:rPr>
      </w:pPr>
    </w:p>
    <w:p w:rsidR="00F40C6E" w:rsidRPr="00505FBC" w:rsidRDefault="00F40C6E" w:rsidP="00F40C6E">
      <w:pPr>
        <w:rPr>
          <w:rFonts w:cs="Arial"/>
          <w:szCs w:val="22"/>
        </w:rPr>
      </w:pPr>
    </w:p>
    <w:p w:rsidR="00501B66" w:rsidRDefault="000A52E0" w:rsidP="00F40C6E">
      <w:pPr>
        <w:pStyle w:val="Pressetext"/>
      </w:pPr>
      <w:r>
        <w:t xml:space="preserve">Bremen, </w:t>
      </w:r>
      <w:r w:rsidR="005C254D">
        <w:t>6</w:t>
      </w:r>
      <w:r>
        <w:t xml:space="preserve">. </w:t>
      </w:r>
      <w:r w:rsidR="00253444">
        <w:t xml:space="preserve">Mai </w:t>
      </w:r>
      <w:r>
        <w:t xml:space="preserve">2017: </w:t>
      </w:r>
      <w:r w:rsidR="001E666D">
        <w:t>Zwischen 12.000 und 58.</w:t>
      </w:r>
      <w:r w:rsidR="001E666D" w:rsidRPr="001E666D">
        <w:t xml:space="preserve">000 Patienten werden Hochrechnungen zufolge jährlich in Deutschland durch </w:t>
      </w:r>
      <w:r w:rsidR="001E666D">
        <w:t>unerwünschte Arzneimittelwirkungen</w:t>
      </w:r>
      <w:r w:rsidR="001E666D" w:rsidRPr="001E666D">
        <w:t xml:space="preserve"> </w:t>
      </w:r>
      <w:r w:rsidR="001E666D">
        <w:t xml:space="preserve">(UAW) </w:t>
      </w:r>
      <w:r w:rsidR="001E666D" w:rsidRPr="001E666D">
        <w:t>da</w:t>
      </w:r>
      <w:r w:rsidR="001E666D">
        <w:t>uerhaft geschädigt oder sterben. Zudem sollen in Deutschland etwa 1,5 Prozent aller Klinikeinweisungen im Z</w:t>
      </w:r>
      <w:r w:rsidR="001E666D">
        <w:t>u</w:t>
      </w:r>
      <w:r w:rsidR="001E666D">
        <w:t>sammenhang mit UAW</w:t>
      </w:r>
      <w:r w:rsidR="00501B66">
        <w:t xml:space="preserve"> stehen</w:t>
      </w:r>
      <w:r w:rsidR="002614C3">
        <w:t>, von denen insbesondere Menschen betroffen sind, die pol</w:t>
      </w:r>
      <w:r w:rsidR="002614C3">
        <w:t>y</w:t>
      </w:r>
      <w:r w:rsidR="002614C3">
        <w:t>pharmazeutisch behandelt werden</w:t>
      </w:r>
      <w:r w:rsidR="001E666D">
        <w:t xml:space="preserve">. </w:t>
      </w:r>
    </w:p>
    <w:p w:rsidR="00501B66" w:rsidRDefault="00501B66" w:rsidP="00F40C6E">
      <w:pPr>
        <w:pStyle w:val="Pressetext"/>
      </w:pPr>
    </w:p>
    <w:p w:rsidR="000A52E0" w:rsidRDefault="00AB4AF1" w:rsidP="00F40C6E">
      <w:pPr>
        <w:pStyle w:val="Pressetext"/>
      </w:pPr>
      <w:r>
        <w:t>Fast drei Viertel (73,3 Prozent) aller Menschen</w:t>
      </w:r>
      <w:r w:rsidR="00D769C7">
        <w:t>,</w:t>
      </w:r>
      <w:r>
        <w:t xml:space="preserve"> die an mehreren Krankheiten leiden, beko</w:t>
      </w:r>
      <w:r>
        <w:t>m</w:t>
      </w:r>
      <w:r>
        <w:t>men fünf und mehr Medikamente verordnet, die sie parallel einnehmen sollen. Das ist das E</w:t>
      </w:r>
      <w:r>
        <w:t>r</w:t>
      </w:r>
      <w:r>
        <w:t>gebnis der aktuellen hkk-Studie zum Thema Polypharmazie</w:t>
      </w:r>
      <w:r w:rsidR="00253444">
        <w:t xml:space="preserve"> (Multimedikation). </w:t>
      </w:r>
      <w:r>
        <w:t>Besonders b</w:t>
      </w:r>
      <w:r>
        <w:t>e</w:t>
      </w:r>
      <w:r>
        <w:t xml:space="preserve">troffen sind demnach </w:t>
      </w:r>
      <w:r w:rsidR="00253444">
        <w:t xml:space="preserve">Patienten ab 65 Jahre. </w:t>
      </w:r>
      <w:r w:rsidR="00337B3E">
        <w:t>Deshalb</w:t>
      </w:r>
      <w:r w:rsidR="00253444">
        <w:t xml:space="preserve"> hatte </w:t>
      </w:r>
      <w:r w:rsidR="00337B3E">
        <w:t xml:space="preserve">bereits </w:t>
      </w:r>
      <w:r w:rsidR="00253444">
        <w:t xml:space="preserve">der hkk-Gesundheitsreport 2011 das Thema zum Schwerpunkt. </w:t>
      </w:r>
      <w:r w:rsidR="00337B3E">
        <w:t xml:space="preserve">Mit Polypharmazie </w:t>
      </w:r>
      <w:r w:rsidR="00987951">
        <w:t xml:space="preserve">und Übermedikation </w:t>
      </w:r>
      <w:r w:rsidR="00337B3E">
        <w:t>stehen schwerwi</w:t>
      </w:r>
      <w:r w:rsidR="00337B3E">
        <w:t>e</w:t>
      </w:r>
      <w:r w:rsidR="00337B3E">
        <w:t>gende Gesundheitsrisiken in Verbindung. Die Tatsache, dass die Zahl der Anzeigen une</w:t>
      </w:r>
      <w:r w:rsidR="00337B3E">
        <w:t>r</w:t>
      </w:r>
      <w:r w:rsidR="00337B3E">
        <w:t xml:space="preserve">wünschter Medikamentenwirkungen bei der </w:t>
      </w:r>
      <w:r w:rsidR="00337B3E" w:rsidRPr="00337B3E">
        <w:t>Arzneimittelkommission der deutschen Ärzteschaft</w:t>
      </w:r>
      <w:r w:rsidR="00337B3E">
        <w:t xml:space="preserve"> deutlich zunimmt zeigt, dass </w:t>
      </w:r>
      <w:r w:rsidR="00B643A9">
        <w:t xml:space="preserve">sich das Problem zunehmend verschärft. So stieg die Zahl der Meldungen im Zeitraum von 2004 bis 2016 von 2.200 auf 4.000. </w:t>
      </w:r>
    </w:p>
    <w:p w:rsidR="00337B3E" w:rsidRDefault="00337B3E" w:rsidP="00F40C6E">
      <w:pPr>
        <w:pStyle w:val="Pressetext"/>
        <w:rPr>
          <w:rFonts w:cs="Arial"/>
          <w:szCs w:val="22"/>
        </w:rPr>
      </w:pPr>
    </w:p>
    <w:p w:rsidR="00CD30EC" w:rsidRPr="00785761" w:rsidRDefault="00B643A9" w:rsidP="00CD30EC">
      <w:pPr>
        <w:spacing w:line="360" w:lineRule="exact"/>
      </w:pPr>
      <w:r>
        <w:rPr>
          <w:rFonts w:cs="Arial"/>
          <w:szCs w:val="22"/>
        </w:rPr>
        <w:t xml:space="preserve">Die hkk Krankenkasse hat vor diesem Hintergrund Dr. Bernard Braun vom Bremer Institut für </w:t>
      </w:r>
      <w:r w:rsidRPr="00785761">
        <w:t>Arbeitsschutz und Gesundheitsförderung (BIAG)</w:t>
      </w:r>
      <w:r w:rsidR="00AB4AF1">
        <w:t xml:space="preserve"> </w:t>
      </w:r>
      <w:r w:rsidR="00CD30EC">
        <w:t xml:space="preserve">mit </w:t>
      </w:r>
      <w:r w:rsidR="00AB4AF1">
        <w:t>eine</w:t>
      </w:r>
      <w:r w:rsidR="00CD30EC">
        <w:t>r</w:t>
      </w:r>
      <w:r w:rsidR="00AB4AF1">
        <w:t xml:space="preserve"> erneute</w:t>
      </w:r>
      <w:r w:rsidR="00CD30EC">
        <w:t>n</w:t>
      </w:r>
      <w:r w:rsidR="00AB4AF1">
        <w:t xml:space="preserve"> Untersuchung </w:t>
      </w:r>
      <w:r w:rsidR="00CD30EC">
        <w:t>beauftragt</w:t>
      </w:r>
      <w:r w:rsidR="00AB4AF1">
        <w:t xml:space="preserve">. Dabei standen </w:t>
      </w:r>
      <w:r w:rsidR="006D1228">
        <w:t>folgende</w:t>
      </w:r>
      <w:r w:rsidR="00AB4AF1">
        <w:t xml:space="preserve"> Fragen im Vordergrund: </w:t>
      </w:r>
      <w:r w:rsidR="00CD30EC" w:rsidRPr="00785761">
        <w:t>Wie</w:t>
      </w:r>
      <w:r w:rsidR="00CD30EC">
        <w:t xml:space="preserve"> viele der hkk-Versicherten</w:t>
      </w:r>
      <w:r w:rsidR="00CD30EC" w:rsidRPr="00785761">
        <w:t xml:space="preserve"> </w:t>
      </w:r>
      <w:r w:rsidR="00CD30EC">
        <w:t>werden p</w:t>
      </w:r>
      <w:r w:rsidR="00CD30EC" w:rsidRPr="00785761">
        <w:t>ol</w:t>
      </w:r>
      <w:r w:rsidR="00CD30EC" w:rsidRPr="00785761">
        <w:t>y</w:t>
      </w:r>
      <w:r w:rsidR="00CD30EC">
        <w:t>pharmazeutisch behandelt</w:t>
      </w:r>
      <w:r w:rsidR="00CD30EC" w:rsidRPr="00785761">
        <w:t xml:space="preserve">? Welche Patienten sind überwiegend betroffen? </w:t>
      </w:r>
      <w:r w:rsidR="00CD30EC">
        <w:t>W</w:t>
      </w:r>
      <w:r w:rsidR="00CD30EC" w:rsidRPr="00785761">
        <w:t xml:space="preserve">elchen Risiken </w:t>
      </w:r>
      <w:r w:rsidR="00CD30EC">
        <w:t xml:space="preserve">sind </w:t>
      </w:r>
      <w:r w:rsidR="00CD30EC" w:rsidRPr="00785761">
        <w:t>die Betroffenen</w:t>
      </w:r>
      <w:r w:rsidR="00CD30EC">
        <w:t xml:space="preserve"> ausgesetzt</w:t>
      </w:r>
      <w:r w:rsidR="002833DB">
        <w:t xml:space="preserve"> und w</w:t>
      </w:r>
      <w:r w:rsidR="00CD30EC" w:rsidRPr="00785761">
        <w:t xml:space="preserve">as </w:t>
      </w:r>
      <w:r w:rsidR="00CD30EC">
        <w:t>kann</w:t>
      </w:r>
      <w:r w:rsidR="00CD30EC" w:rsidRPr="00785761">
        <w:t xml:space="preserve"> getan werden, um diese zu verringern und unn</w:t>
      </w:r>
      <w:r w:rsidR="00CD30EC" w:rsidRPr="00785761">
        <w:t>ö</w:t>
      </w:r>
      <w:r w:rsidR="00CD30EC" w:rsidRPr="00785761">
        <w:t xml:space="preserve">tige Medikamenteneinnahmen zu vermeiden? </w:t>
      </w:r>
    </w:p>
    <w:p w:rsidR="00B643A9" w:rsidRDefault="00B643A9" w:rsidP="00F40C6E">
      <w:pPr>
        <w:pStyle w:val="Pressetext"/>
        <w:rPr>
          <w:rFonts w:cs="Arial"/>
          <w:szCs w:val="22"/>
        </w:rPr>
      </w:pPr>
    </w:p>
    <w:p w:rsidR="00CD30EC" w:rsidRPr="00785761" w:rsidRDefault="00CD30EC" w:rsidP="00CD30EC">
      <w:pPr>
        <w:spacing w:line="360" w:lineRule="exact"/>
      </w:pPr>
      <w:r w:rsidRPr="00785761">
        <w:rPr>
          <w:b/>
        </w:rPr>
        <w:t>Ältere besonders stark betroffen</w:t>
      </w:r>
    </w:p>
    <w:p w:rsidR="00CD30EC" w:rsidRPr="00785761" w:rsidRDefault="00CD30EC" w:rsidP="00CD30EC">
      <w:pPr>
        <w:spacing w:line="360" w:lineRule="exact"/>
      </w:pPr>
      <w:r w:rsidRPr="00785761">
        <w:t xml:space="preserve">Polypharmazie </w:t>
      </w:r>
      <w:r>
        <w:t>ist</w:t>
      </w:r>
      <w:r w:rsidRPr="00785761">
        <w:t xml:space="preserve"> altersabhängig: </w:t>
      </w:r>
      <w:r>
        <w:t>Insgesamt waren</w:t>
      </w:r>
      <w:r w:rsidRPr="00785761">
        <w:t xml:space="preserve"> 35 Prozent aller hkk-Versicherten, denen 2015 Arzneimittel verschrieben wurde</w:t>
      </w:r>
      <w:r w:rsidR="00451C6D">
        <w:t>n</w:t>
      </w:r>
      <w:r w:rsidRPr="00785761">
        <w:t>, betroffen</w:t>
      </w:r>
      <w:r>
        <w:t>.</w:t>
      </w:r>
      <w:r w:rsidRPr="00785761">
        <w:t xml:space="preserve"> </w:t>
      </w:r>
      <w:r w:rsidR="00D018C3">
        <w:t xml:space="preserve">In der Altersgruppe der 65 Jahre und Älteren war der Anteil deutlich höher </w:t>
      </w:r>
      <w:r>
        <w:t>(61,5 Prozent)</w:t>
      </w:r>
      <w:r w:rsidRPr="00785761">
        <w:t>. Da die Verordnungsdaten der gesetzlichen Kra</w:t>
      </w:r>
      <w:r w:rsidRPr="00785761">
        <w:t>n</w:t>
      </w:r>
      <w:r w:rsidRPr="00785761">
        <w:lastRenderedPageBreak/>
        <w:t>kenkassen keine frei verkäuflichen Arzneimittel be</w:t>
      </w:r>
      <w:r w:rsidR="00451C6D">
        <w:t>inhalten</w:t>
      </w:r>
      <w:r w:rsidRPr="00785761">
        <w:t xml:space="preserve">, ist </w:t>
      </w:r>
      <w:r>
        <w:t xml:space="preserve">davon auszugehen, dass der Anteil noch höher </w:t>
      </w:r>
      <w:r w:rsidR="00451C6D">
        <w:t>wäre, wenn</w:t>
      </w:r>
      <w:r w:rsidR="00DF1926">
        <w:t xml:space="preserve"> </w:t>
      </w:r>
      <w:r w:rsidR="00451C6D">
        <w:t>diese berücksichtigt würden</w:t>
      </w:r>
      <w:r w:rsidRPr="00785761">
        <w:t>.</w:t>
      </w:r>
    </w:p>
    <w:p w:rsidR="00CD30EC" w:rsidRPr="00785761" w:rsidRDefault="00CD30EC" w:rsidP="00CD30EC">
      <w:pPr>
        <w:spacing w:line="360" w:lineRule="exact"/>
      </w:pPr>
    </w:p>
    <w:p w:rsidR="00CD30EC" w:rsidRPr="00785761" w:rsidRDefault="00CD30EC" w:rsidP="00CD30EC">
      <w:pPr>
        <w:spacing w:line="360" w:lineRule="exact"/>
        <w:rPr>
          <w:b/>
        </w:rPr>
      </w:pPr>
      <w:r w:rsidRPr="00785761">
        <w:rPr>
          <w:b/>
        </w:rPr>
        <w:t>Alter und poten</w:t>
      </w:r>
      <w:r>
        <w:rPr>
          <w:b/>
        </w:rPr>
        <w:t>z</w:t>
      </w:r>
      <w:r w:rsidRPr="00785761">
        <w:rPr>
          <w:b/>
        </w:rPr>
        <w:t>iell inadäquate Medikation (PIM)</w:t>
      </w:r>
    </w:p>
    <w:p w:rsidR="00CD30EC" w:rsidRPr="00785761" w:rsidRDefault="00CD30EC" w:rsidP="00CD30EC">
      <w:pPr>
        <w:spacing w:line="360" w:lineRule="exact"/>
        <w:rPr>
          <w:i/>
        </w:rPr>
      </w:pPr>
      <w:r w:rsidRPr="00785761">
        <w:t xml:space="preserve">Die sogenannte </w:t>
      </w:r>
      <w:hyperlink r:id="rId9" w:history="1">
        <w:r w:rsidRPr="004433BE">
          <w:rPr>
            <w:rStyle w:val="Hyperlink"/>
          </w:rPr>
          <w:t>PRISCUS-Liste</w:t>
        </w:r>
      </w:hyperlink>
      <w:r w:rsidRPr="00785761">
        <w:t xml:space="preserve"> soll die Arzneimitteltherapie von älteren Patienten sicherer m</w:t>
      </w:r>
      <w:r w:rsidRPr="00785761">
        <w:t>a</w:t>
      </w:r>
      <w:r w:rsidRPr="00785761">
        <w:t xml:space="preserve">chen, indem sie hilft, möglicherweise ungeeignete Medikamente, </w:t>
      </w:r>
      <w:r w:rsidR="004433BE">
        <w:t>Wechsel-</w:t>
      </w:r>
      <w:r w:rsidRPr="00785761">
        <w:t xml:space="preserve"> und Nebenwirku</w:t>
      </w:r>
      <w:r w:rsidRPr="00785761">
        <w:t>n</w:t>
      </w:r>
      <w:r w:rsidRPr="00785761">
        <w:t xml:space="preserve">gen zu vermeiden. Dennoch erhielten 18,6  Prozent der hkk-Versicherten </w:t>
      </w:r>
      <w:r w:rsidR="00173F05">
        <w:t xml:space="preserve">ab 65 Jahre </w:t>
      </w:r>
      <w:r w:rsidRPr="00785761">
        <w:t>Medik</w:t>
      </w:r>
      <w:r w:rsidRPr="00785761">
        <w:t>a</w:t>
      </w:r>
      <w:r w:rsidRPr="00785761">
        <w:t xml:space="preserve">mente, </w:t>
      </w:r>
      <w:r>
        <w:t>die</w:t>
      </w:r>
      <w:r w:rsidRPr="00785761">
        <w:t xml:space="preserve"> </w:t>
      </w:r>
      <w:r>
        <w:t>demnach</w:t>
      </w:r>
      <w:r w:rsidRPr="00785761">
        <w:t xml:space="preserve"> poten</w:t>
      </w:r>
      <w:r>
        <w:t>z</w:t>
      </w:r>
      <w:r w:rsidRPr="00785761">
        <w:t>iell inadäquat sind. „Bei der PRISCUS-Liste handel</w:t>
      </w:r>
      <w:r>
        <w:t>t</w:t>
      </w:r>
      <w:r w:rsidRPr="00785761">
        <w:t xml:space="preserve"> es sich zwar nicht um eine </w:t>
      </w:r>
      <w:r>
        <w:t>‚</w:t>
      </w:r>
      <w:r w:rsidRPr="00785761">
        <w:t>Verbotsliste</w:t>
      </w:r>
      <w:r>
        <w:t>‘</w:t>
      </w:r>
      <w:r w:rsidRPr="00785761">
        <w:t xml:space="preserve"> im engeren Sinne, sie </w:t>
      </w:r>
      <w:r>
        <w:t xml:space="preserve">umfasst </w:t>
      </w:r>
      <w:r w:rsidRPr="00785761">
        <w:t xml:space="preserve">aber relevante Informationen zum Risiko einzelner Wirkstoffe gerade für ältere Menschen“, </w:t>
      </w:r>
      <w:r>
        <w:t xml:space="preserve"> sagt </w:t>
      </w:r>
      <w:r w:rsidRPr="00785761">
        <w:t xml:space="preserve">Studienleiter Dr. Braun. Bei den am häufigsten </w:t>
      </w:r>
      <w:r w:rsidR="004433BE">
        <w:t>verordneten Medikamenten handele</w:t>
      </w:r>
      <w:r w:rsidRPr="00785761">
        <w:t xml:space="preserve"> es sich um hoch wirksame</w:t>
      </w:r>
      <w:r>
        <w:t>,</w:t>
      </w:r>
      <w:r w:rsidRPr="00785761">
        <w:t xml:space="preserve"> beruhigende</w:t>
      </w:r>
      <w:r>
        <w:t xml:space="preserve"> sowie</w:t>
      </w:r>
      <w:r w:rsidRPr="00785761">
        <w:t xml:space="preserve"> schlaffördernde oder stimmungsaufhellende Mittel. Bei Dauereinnahme einiger dieser Arzneimittel droh</w:t>
      </w:r>
      <w:r w:rsidR="004433BE">
        <w:t>t</w:t>
      </w:r>
      <w:r w:rsidRPr="00785761">
        <w:t xml:space="preserve">en Beeinträchtigungen der Lebensqualität und Abhängigkeit. Vielen Patienten könnte </w:t>
      </w:r>
      <w:r w:rsidR="004433BE">
        <w:t xml:space="preserve">beispielsweise </w:t>
      </w:r>
      <w:r w:rsidRPr="00785761">
        <w:t xml:space="preserve">mit </w:t>
      </w:r>
      <w:r>
        <w:t xml:space="preserve">natürlichen </w:t>
      </w:r>
      <w:r w:rsidRPr="00785761">
        <w:t>Mittel</w:t>
      </w:r>
      <w:r w:rsidR="004433BE">
        <w:t>n wirksam und nebenwirkungsärme</w:t>
      </w:r>
      <w:r w:rsidRPr="00785761">
        <w:t>r geholfen we</w:t>
      </w:r>
      <w:r w:rsidRPr="00785761">
        <w:t>r</w:t>
      </w:r>
      <w:r w:rsidRPr="00785761">
        <w:t>den.</w:t>
      </w:r>
    </w:p>
    <w:p w:rsidR="00CD30EC" w:rsidRPr="00785761" w:rsidRDefault="00CD30EC" w:rsidP="00CD30EC">
      <w:pPr>
        <w:spacing w:line="360" w:lineRule="exact"/>
      </w:pPr>
    </w:p>
    <w:p w:rsidR="00CD30EC" w:rsidRPr="00785761" w:rsidRDefault="00CD30EC" w:rsidP="00CD30EC">
      <w:pPr>
        <w:spacing w:line="360" w:lineRule="exact"/>
        <w:rPr>
          <w:b/>
        </w:rPr>
      </w:pPr>
      <w:r w:rsidRPr="00785761">
        <w:rPr>
          <w:b/>
        </w:rPr>
        <w:t>Mehr Krankheiten, mehr Medikamente</w:t>
      </w:r>
    </w:p>
    <w:p w:rsidR="004433BE" w:rsidRDefault="00CD30EC" w:rsidP="00CD30EC">
      <w:pPr>
        <w:spacing w:line="360" w:lineRule="exact"/>
      </w:pPr>
      <w:r w:rsidRPr="00785761">
        <w:t>Patienten</w:t>
      </w:r>
      <w:r>
        <w:t xml:space="preserve"> mit</w:t>
      </w:r>
      <w:r w:rsidRPr="00785761">
        <w:t xml:space="preserve"> mehrere</w:t>
      </w:r>
      <w:r>
        <w:t>n</w:t>
      </w:r>
      <w:r w:rsidRPr="00785761">
        <w:t xml:space="preserve"> Krankheiten (Multimorbidität) </w:t>
      </w:r>
      <w:r w:rsidR="004433BE">
        <w:t xml:space="preserve">werden </w:t>
      </w:r>
      <w:r w:rsidRPr="00785761">
        <w:t>erwartungsgemäß besonders häufig</w:t>
      </w:r>
      <w:r w:rsidR="004433BE">
        <w:t xml:space="preserve"> polypharmazeutisch behandelt</w:t>
      </w:r>
      <w:r w:rsidRPr="00785761">
        <w:t xml:space="preserve">. </w:t>
      </w:r>
      <w:r w:rsidR="004433BE">
        <w:t xml:space="preserve">Im Jahr 2015 wurden bei </w:t>
      </w:r>
      <w:r w:rsidRPr="00785761">
        <w:t>17,6 Prozent aller hkk-Versicherten</w:t>
      </w:r>
      <w:r w:rsidR="004433BE">
        <w:t xml:space="preserve"> </w:t>
      </w:r>
      <w:r w:rsidRPr="00785761">
        <w:t xml:space="preserve">20 </w:t>
      </w:r>
      <w:r w:rsidR="004433BE">
        <w:t xml:space="preserve">und mehr </w:t>
      </w:r>
      <w:r w:rsidR="00A270C0">
        <w:t xml:space="preserve">unterschiedliche </w:t>
      </w:r>
      <w:r w:rsidRPr="00785761">
        <w:t>Krankheit</w:t>
      </w:r>
      <w:r w:rsidR="00A270C0">
        <w:t>sdiagnosen</w:t>
      </w:r>
      <w:r w:rsidR="004433BE">
        <w:t xml:space="preserve"> festgestellt</w:t>
      </w:r>
      <w:r w:rsidRPr="00785761">
        <w:t xml:space="preserve">. </w:t>
      </w:r>
      <w:r w:rsidR="00A270C0">
        <w:t xml:space="preserve">Dabei handelt es sich nicht immer um unterschiedliche Erkrankungen, sondern häufig um unterschiedliche Schweregrade und Komplikationen, die im Zeitverlauf einer Erkrankung auftreten. </w:t>
      </w:r>
      <w:r w:rsidRPr="00785761">
        <w:t xml:space="preserve">Fast drei Viertel (73,3 Prozent) </w:t>
      </w:r>
      <w:r w:rsidR="004433BE">
        <w:t>davon</w:t>
      </w:r>
      <w:r w:rsidRPr="00785761">
        <w:t xml:space="preserve"> bekamen fünf und mehr Arzneimittel verordnet.</w:t>
      </w:r>
      <w:r w:rsidR="004433BE">
        <w:t xml:space="preserve"> </w:t>
      </w:r>
      <w:r w:rsidR="00E4244E">
        <w:t xml:space="preserve">Dies ist, so </w:t>
      </w:r>
      <w:r w:rsidR="00E4244E" w:rsidRPr="00785761">
        <w:t xml:space="preserve">Dr. </w:t>
      </w:r>
      <w:r w:rsidR="00E4244E">
        <w:t xml:space="preserve">Christoph </w:t>
      </w:r>
      <w:r w:rsidR="00E4244E" w:rsidRPr="00785761">
        <w:t>Vauth</w:t>
      </w:r>
      <w:r w:rsidR="00E4244E">
        <w:t xml:space="preserve"> (Leiter des hkk-</w:t>
      </w:r>
      <w:r w:rsidR="00E4244E" w:rsidRPr="003D4658">
        <w:t>Versorgungsmanagement</w:t>
      </w:r>
      <w:r w:rsidR="00B957A3">
        <w:t>s</w:t>
      </w:r>
      <w:r w:rsidR="00E4244E">
        <w:t>) problematisch: „</w:t>
      </w:r>
      <w:r w:rsidRPr="00785761">
        <w:t xml:space="preserve">Die </w:t>
      </w:r>
      <w:r>
        <w:t xml:space="preserve">Sicherheit der </w:t>
      </w:r>
      <w:r w:rsidRPr="00785761">
        <w:t>Arzneimitteltherapie</w:t>
      </w:r>
      <w:r w:rsidR="004433BE">
        <w:t xml:space="preserve"> </w:t>
      </w:r>
      <w:r w:rsidRPr="00785761">
        <w:t>spielt insbesondere bei der Behandlung von multimorbiden Patientinnen und Patienten</w:t>
      </w:r>
      <w:r w:rsidR="000459C1">
        <w:t>, deren Erkrankungen weiter fortschreiten,</w:t>
      </w:r>
      <w:r w:rsidRPr="00785761">
        <w:t xml:space="preserve"> noch immer eine untergeordnete Ro</w:t>
      </w:r>
      <w:r w:rsidRPr="00785761">
        <w:t>l</w:t>
      </w:r>
      <w:r w:rsidRPr="00785761">
        <w:t>le.</w:t>
      </w:r>
      <w:r w:rsidR="00E4244E">
        <w:t>“</w:t>
      </w:r>
      <w:r w:rsidRPr="00785761">
        <w:t xml:space="preserve"> </w:t>
      </w:r>
      <w:r w:rsidR="00E4244E">
        <w:t xml:space="preserve">Dies müsse sich </w:t>
      </w:r>
      <w:r w:rsidRPr="00785761">
        <w:t xml:space="preserve">dringend ändern, </w:t>
      </w:r>
      <w:r w:rsidR="00E4244E">
        <w:t xml:space="preserve">so </w:t>
      </w:r>
      <w:r w:rsidRPr="00785761">
        <w:t>Vauth</w:t>
      </w:r>
      <w:r w:rsidR="00E4244E">
        <w:t>:</w:t>
      </w:r>
      <w:r w:rsidRPr="00785761">
        <w:t xml:space="preserve"> „</w:t>
      </w:r>
      <w:r w:rsidR="00E4244E">
        <w:t>E</w:t>
      </w:r>
      <w:r w:rsidRPr="00785761">
        <w:t xml:space="preserve">s </w:t>
      </w:r>
      <w:r w:rsidR="00A24C8C">
        <w:t xml:space="preserve">geht </w:t>
      </w:r>
      <w:r w:rsidRPr="00785761">
        <w:t>nicht nur um die Anzahl der Medik</w:t>
      </w:r>
      <w:r w:rsidRPr="00785761">
        <w:t>a</w:t>
      </w:r>
      <w:r w:rsidRPr="00785761">
        <w:t>mente</w:t>
      </w:r>
      <w:r w:rsidR="00E4244E">
        <w:t>.</w:t>
      </w:r>
      <w:r w:rsidRPr="00785761">
        <w:t xml:space="preserve"> </w:t>
      </w:r>
      <w:r w:rsidR="00E4244E">
        <w:t>V</w:t>
      </w:r>
      <w:r w:rsidRPr="00785761">
        <w:t>ielmehr muss für Arzt und Patient Transparenz über die Vielzahl der unterschiedlichen Medikamente geschaffen werden, damit unerwünschte Wechselwirkungen vermieden werden können</w:t>
      </w:r>
      <w:r>
        <w:t>.</w:t>
      </w:r>
      <w:r w:rsidR="004923D4">
        <w:t xml:space="preserve"> Der neue Medikationsplan, den Patienten von ihren Ärzten erhalten können, ist aber nur ein erster wichtiger Meilenstein.</w:t>
      </w:r>
      <w:r w:rsidRPr="00785761">
        <w:t xml:space="preserve">“ </w:t>
      </w:r>
    </w:p>
    <w:p w:rsidR="004433BE" w:rsidRDefault="004433BE" w:rsidP="00CD30EC">
      <w:pPr>
        <w:spacing w:line="360" w:lineRule="exact"/>
      </w:pPr>
    </w:p>
    <w:p w:rsidR="00CD30EC" w:rsidRPr="00785761" w:rsidRDefault="00CD30EC" w:rsidP="00CD30EC">
      <w:pPr>
        <w:spacing w:line="360" w:lineRule="exact"/>
        <w:rPr>
          <w:rFonts w:cs="Arial"/>
          <w:b/>
          <w:szCs w:val="22"/>
        </w:rPr>
      </w:pPr>
      <w:r w:rsidRPr="00785761">
        <w:rPr>
          <w:rFonts w:cs="Arial"/>
          <w:b/>
          <w:szCs w:val="22"/>
        </w:rPr>
        <w:t xml:space="preserve">Fehlendes Problembewusstsein bei </w:t>
      </w:r>
      <w:r w:rsidR="004923D4">
        <w:rPr>
          <w:rFonts w:cs="Arial"/>
          <w:b/>
          <w:szCs w:val="22"/>
        </w:rPr>
        <w:t>Patienten</w:t>
      </w:r>
      <w:r w:rsidR="004923D4" w:rsidRPr="00785761">
        <w:rPr>
          <w:rFonts w:cs="Arial"/>
          <w:b/>
          <w:szCs w:val="22"/>
        </w:rPr>
        <w:t xml:space="preserve"> </w:t>
      </w:r>
    </w:p>
    <w:p w:rsidR="00CD30EC" w:rsidRDefault="00CD30EC" w:rsidP="00CD30EC">
      <w:pPr>
        <w:spacing w:line="360" w:lineRule="exact"/>
        <w:rPr>
          <w:rFonts w:cs="Arial"/>
          <w:szCs w:val="22"/>
        </w:rPr>
      </w:pPr>
      <w:r>
        <w:rPr>
          <w:rFonts w:cs="Arial"/>
          <w:szCs w:val="22"/>
        </w:rPr>
        <w:t>Laut</w:t>
      </w:r>
      <w:r w:rsidRPr="00785761">
        <w:rPr>
          <w:rFonts w:cs="Arial"/>
          <w:szCs w:val="22"/>
        </w:rPr>
        <w:t xml:space="preserve"> </w:t>
      </w:r>
      <w:r w:rsidR="00E4244E">
        <w:rPr>
          <w:rFonts w:cs="Arial"/>
          <w:szCs w:val="22"/>
        </w:rPr>
        <w:t>dem</w:t>
      </w:r>
      <w:r w:rsidRPr="00785761">
        <w:rPr>
          <w:rFonts w:cs="Arial"/>
          <w:szCs w:val="22"/>
        </w:rPr>
        <w:t xml:space="preserve"> Gesundheitsmonitor der Bertelsmann-Stiftung </w:t>
      </w:r>
      <w:r w:rsidR="00E4244E">
        <w:rPr>
          <w:rFonts w:cs="Arial"/>
          <w:szCs w:val="22"/>
        </w:rPr>
        <w:t xml:space="preserve">von 2011 sind </w:t>
      </w:r>
      <w:r w:rsidRPr="00785761">
        <w:rPr>
          <w:rFonts w:cs="Arial"/>
          <w:szCs w:val="22"/>
        </w:rPr>
        <w:t xml:space="preserve">den meisten </w:t>
      </w:r>
      <w:r w:rsidR="00E4244E" w:rsidRPr="00785761">
        <w:rPr>
          <w:rFonts w:cs="Arial"/>
          <w:szCs w:val="22"/>
        </w:rPr>
        <w:t>Pol</w:t>
      </w:r>
      <w:r w:rsidR="00E4244E" w:rsidRPr="00785761">
        <w:rPr>
          <w:rFonts w:cs="Arial"/>
          <w:szCs w:val="22"/>
        </w:rPr>
        <w:t>y</w:t>
      </w:r>
      <w:r w:rsidR="00E4244E" w:rsidRPr="00785761">
        <w:rPr>
          <w:rFonts w:cs="Arial"/>
          <w:szCs w:val="22"/>
        </w:rPr>
        <w:t xml:space="preserve">pharmazie-Patienten </w:t>
      </w:r>
      <w:r w:rsidR="00E4244E">
        <w:rPr>
          <w:rFonts w:cs="Arial"/>
          <w:szCs w:val="22"/>
        </w:rPr>
        <w:t>die Gefahren und Risiken einer Multimedikation nicht bewusst</w:t>
      </w:r>
      <w:r>
        <w:rPr>
          <w:rFonts w:cs="Arial"/>
          <w:szCs w:val="22"/>
        </w:rPr>
        <w:t xml:space="preserve">. Demnach </w:t>
      </w:r>
      <w:r w:rsidR="00E4244E">
        <w:rPr>
          <w:rFonts w:cs="Arial"/>
          <w:szCs w:val="22"/>
        </w:rPr>
        <w:t xml:space="preserve">sind </w:t>
      </w:r>
      <w:r>
        <w:rPr>
          <w:rFonts w:cs="Arial"/>
          <w:szCs w:val="22"/>
        </w:rPr>
        <w:t>n</w:t>
      </w:r>
      <w:r w:rsidRPr="00785761">
        <w:rPr>
          <w:rFonts w:cs="Arial"/>
          <w:szCs w:val="22"/>
        </w:rPr>
        <w:t xml:space="preserve">ur 21 Prozent der </w:t>
      </w:r>
      <w:r w:rsidR="00E4244E">
        <w:rPr>
          <w:rFonts w:cs="Arial"/>
          <w:szCs w:val="22"/>
        </w:rPr>
        <w:t xml:space="preserve">Meinung, dass </w:t>
      </w:r>
      <w:r w:rsidRPr="00785761">
        <w:rPr>
          <w:rFonts w:cs="Arial"/>
          <w:szCs w:val="22"/>
        </w:rPr>
        <w:t>Ärzte zu oft Arzneimittel verordnen – bei älteren B</w:t>
      </w:r>
      <w:r w:rsidRPr="00785761">
        <w:rPr>
          <w:rFonts w:cs="Arial"/>
          <w:szCs w:val="22"/>
        </w:rPr>
        <w:t>e</w:t>
      </w:r>
      <w:r w:rsidRPr="00785761">
        <w:rPr>
          <w:rFonts w:cs="Arial"/>
          <w:szCs w:val="22"/>
        </w:rPr>
        <w:lastRenderedPageBreak/>
        <w:t xml:space="preserve">troffenen waren es noch weniger. 59 Prozent </w:t>
      </w:r>
      <w:r w:rsidR="00E4244E">
        <w:rPr>
          <w:rFonts w:cs="Arial"/>
          <w:szCs w:val="22"/>
        </w:rPr>
        <w:t xml:space="preserve">hielten </w:t>
      </w:r>
      <w:r w:rsidRPr="00785761">
        <w:rPr>
          <w:rFonts w:cs="Arial"/>
          <w:szCs w:val="22"/>
        </w:rPr>
        <w:t xml:space="preserve">es </w:t>
      </w:r>
      <w:r w:rsidR="00E4244E">
        <w:rPr>
          <w:rFonts w:cs="Arial"/>
          <w:szCs w:val="22"/>
        </w:rPr>
        <w:t xml:space="preserve">sogar </w:t>
      </w:r>
      <w:r w:rsidRPr="00785761">
        <w:rPr>
          <w:rFonts w:cs="Arial"/>
          <w:szCs w:val="22"/>
        </w:rPr>
        <w:t xml:space="preserve">für überflüssig, wenn der Arzt </w:t>
      </w:r>
      <w:r w:rsidR="00E4244E">
        <w:rPr>
          <w:rFonts w:cs="Arial"/>
          <w:szCs w:val="22"/>
        </w:rPr>
        <w:t xml:space="preserve">sich bemüht, </w:t>
      </w:r>
      <w:r w:rsidRPr="00785761">
        <w:rPr>
          <w:rFonts w:cs="Arial"/>
          <w:szCs w:val="22"/>
        </w:rPr>
        <w:t>Arzneimittel zu vermeiden. 72 Prozent der Patienten glauben</w:t>
      </w:r>
      <w:r w:rsidR="00E4244E">
        <w:rPr>
          <w:rFonts w:cs="Arial"/>
          <w:szCs w:val="22"/>
        </w:rPr>
        <w:t xml:space="preserve"> zudem</w:t>
      </w:r>
      <w:r w:rsidRPr="00785761">
        <w:rPr>
          <w:rFonts w:cs="Arial"/>
          <w:szCs w:val="22"/>
        </w:rPr>
        <w:t xml:space="preserve">, dass alle ihre Ärzte einen genauen Überblick darüber haben, welche </w:t>
      </w:r>
      <w:r w:rsidR="00E4244E">
        <w:rPr>
          <w:rFonts w:cs="Arial"/>
          <w:szCs w:val="22"/>
        </w:rPr>
        <w:t>Medikamente</w:t>
      </w:r>
      <w:r w:rsidRPr="00785761">
        <w:rPr>
          <w:rFonts w:cs="Arial"/>
          <w:szCs w:val="22"/>
        </w:rPr>
        <w:t xml:space="preserve"> die anderen Ärzte verschrieben haben. Dies ist jedoch normalerweise nicht der Fall. </w:t>
      </w:r>
    </w:p>
    <w:p w:rsidR="00C27067" w:rsidRDefault="00C27067" w:rsidP="00CD30EC">
      <w:pPr>
        <w:spacing w:line="360" w:lineRule="exact"/>
        <w:rPr>
          <w:rFonts w:cs="Arial"/>
          <w:szCs w:val="22"/>
        </w:rPr>
      </w:pPr>
    </w:p>
    <w:p w:rsidR="00CD30EC" w:rsidRPr="00785761" w:rsidRDefault="00CD30EC" w:rsidP="00CD30EC">
      <w:pPr>
        <w:spacing w:line="360" w:lineRule="exact"/>
        <w:rPr>
          <w:rFonts w:cs="Arial"/>
          <w:b/>
          <w:szCs w:val="22"/>
        </w:rPr>
      </w:pPr>
      <w:r w:rsidRPr="00785761">
        <w:rPr>
          <w:rFonts w:cs="Arial"/>
          <w:b/>
          <w:szCs w:val="22"/>
        </w:rPr>
        <w:t>Verbesserungen nur durch mehrere Maßnahmen möglich</w:t>
      </w:r>
    </w:p>
    <w:p w:rsidR="00CD30EC" w:rsidRPr="00785761" w:rsidRDefault="00CD30EC" w:rsidP="00CD30EC">
      <w:pPr>
        <w:spacing w:line="360" w:lineRule="exact"/>
        <w:rPr>
          <w:rFonts w:cs="Arial"/>
          <w:szCs w:val="22"/>
        </w:rPr>
      </w:pPr>
      <w:r w:rsidRPr="00785761">
        <w:rPr>
          <w:rFonts w:cs="Arial"/>
          <w:szCs w:val="22"/>
        </w:rPr>
        <w:t xml:space="preserve">Patienten, die mindestens drei verordnete Medikamente </w:t>
      </w:r>
      <w:r w:rsidR="00CC3364" w:rsidRPr="00785761">
        <w:rPr>
          <w:rFonts w:cs="Arial"/>
          <w:szCs w:val="22"/>
        </w:rPr>
        <w:t xml:space="preserve">über einen Zeitraum von mindestens 28 Tagen </w:t>
      </w:r>
      <w:r w:rsidRPr="00785761">
        <w:rPr>
          <w:rFonts w:cs="Arial"/>
          <w:szCs w:val="22"/>
        </w:rPr>
        <w:t>gleichzeitig nehmen, haben seit 1. Oktober 2016 Anspruch auf einen sogenannten bund</w:t>
      </w:r>
      <w:r w:rsidR="00CC3364">
        <w:rPr>
          <w:rFonts w:cs="Arial"/>
          <w:szCs w:val="22"/>
        </w:rPr>
        <w:t>eseinheitlichen Medikationsplan</w:t>
      </w:r>
      <w:r w:rsidR="00451C6D">
        <w:rPr>
          <w:rFonts w:cs="Arial"/>
          <w:szCs w:val="22"/>
        </w:rPr>
        <w:t>, den sie bei ihrem Hausarzt erhalten</w:t>
      </w:r>
      <w:r w:rsidRPr="00785761">
        <w:rPr>
          <w:rFonts w:cs="Arial"/>
          <w:szCs w:val="22"/>
        </w:rPr>
        <w:t xml:space="preserve">. </w:t>
      </w:r>
      <w:r w:rsidR="00CC3364">
        <w:rPr>
          <w:rFonts w:cs="Arial"/>
          <w:szCs w:val="22"/>
        </w:rPr>
        <w:t>Der Plan</w:t>
      </w:r>
      <w:r w:rsidR="00451C6D">
        <w:rPr>
          <w:rFonts w:cs="Arial"/>
          <w:szCs w:val="22"/>
        </w:rPr>
        <w:t>, der seit kurzem in der Praxissoftware des Arztes</w:t>
      </w:r>
      <w:r w:rsidRPr="00785761">
        <w:rPr>
          <w:rFonts w:cs="Arial"/>
          <w:szCs w:val="22"/>
        </w:rPr>
        <w:t xml:space="preserve"> </w:t>
      </w:r>
      <w:r w:rsidR="00451C6D">
        <w:rPr>
          <w:rFonts w:cs="Arial"/>
          <w:szCs w:val="22"/>
        </w:rPr>
        <w:t xml:space="preserve">abgebildet ist, </w:t>
      </w:r>
      <w:r w:rsidRPr="00785761">
        <w:rPr>
          <w:rFonts w:cs="Arial"/>
          <w:szCs w:val="22"/>
        </w:rPr>
        <w:t xml:space="preserve">soll </w:t>
      </w:r>
      <w:r w:rsidR="00CC3364">
        <w:rPr>
          <w:rFonts w:cs="Arial"/>
          <w:szCs w:val="22"/>
        </w:rPr>
        <w:t xml:space="preserve">sowohl </w:t>
      </w:r>
      <w:r w:rsidRPr="00785761">
        <w:rPr>
          <w:rFonts w:cs="Arial"/>
          <w:szCs w:val="22"/>
        </w:rPr>
        <w:t>sämtliche verschreibung</w:t>
      </w:r>
      <w:r w:rsidRPr="00785761">
        <w:rPr>
          <w:rFonts w:cs="Arial"/>
          <w:szCs w:val="22"/>
        </w:rPr>
        <w:t>s</w:t>
      </w:r>
      <w:r w:rsidRPr="00785761">
        <w:rPr>
          <w:rFonts w:cs="Arial"/>
          <w:szCs w:val="22"/>
        </w:rPr>
        <w:t xml:space="preserve">pflichtige Arzneimittel </w:t>
      </w:r>
      <w:r w:rsidR="00CC3364">
        <w:rPr>
          <w:rFonts w:cs="Arial"/>
          <w:szCs w:val="22"/>
        </w:rPr>
        <w:t xml:space="preserve">als auch </w:t>
      </w:r>
      <w:r w:rsidRPr="00785761">
        <w:rPr>
          <w:rFonts w:cs="Arial"/>
          <w:szCs w:val="22"/>
        </w:rPr>
        <w:t>Selbstmedikation</w:t>
      </w:r>
      <w:r w:rsidR="00CC3364">
        <w:rPr>
          <w:rFonts w:cs="Arial"/>
          <w:szCs w:val="22"/>
        </w:rPr>
        <w:t xml:space="preserve"> dokumentieren</w:t>
      </w:r>
      <w:r w:rsidRPr="00785761">
        <w:rPr>
          <w:rFonts w:cs="Arial"/>
          <w:szCs w:val="22"/>
        </w:rPr>
        <w:t xml:space="preserve">. Dazu werden </w:t>
      </w:r>
      <w:r w:rsidR="008C7858">
        <w:rPr>
          <w:rFonts w:cs="Arial"/>
          <w:szCs w:val="22"/>
        </w:rPr>
        <w:t xml:space="preserve">vom Arzt </w:t>
      </w:r>
      <w:r w:rsidRPr="00785761">
        <w:rPr>
          <w:rFonts w:cs="Arial"/>
          <w:szCs w:val="22"/>
        </w:rPr>
        <w:t>unter anderem der Wirkstoff, die Dosierung, der Einnahmegrund sowie sonstige Hinweise zur Ei</w:t>
      </w:r>
      <w:r w:rsidRPr="00785761">
        <w:rPr>
          <w:rFonts w:cs="Arial"/>
          <w:szCs w:val="22"/>
        </w:rPr>
        <w:t>n</w:t>
      </w:r>
      <w:r w:rsidRPr="00785761">
        <w:rPr>
          <w:rFonts w:cs="Arial"/>
          <w:szCs w:val="22"/>
        </w:rPr>
        <w:t xml:space="preserve">nahme </w:t>
      </w:r>
      <w:r w:rsidR="00CC3364">
        <w:rPr>
          <w:rFonts w:cs="Arial"/>
          <w:szCs w:val="22"/>
        </w:rPr>
        <w:t>protokolliert</w:t>
      </w:r>
      <w:r w:rsidRPr="00785761">
        <w:rPr>
          <w:rFonts w:cs="Arial"/>
          <w:szCs w:val="22"/>
        </w:rPr>
        <w:t>. „Diese Maßnahme ist ein sinnvoller Schritt zu mehr Transparenz bei der Medikamentenverordnung. Polypharmazie entsteht vielfach aus der verbreiteten Vorstellung, dass jede Krankheit gleichwertig und gleichzeitig mit allen zur Verfügung stehenden Mitteln b</w:t>
      </w:r>
      <w:r w:rsidRPr="00785761">
        <w:rPr>
          <w:rFonts w:cs="Arial"/>
          <w:szCs w:val="22"/>
        </w:rPr>
        <w:t>e</w:t>
      </w:r>
      <w:r w:rsidRPr="00785761">
        <w:rPr>
          <w:rFonts w:cs="Arial"/>
          <w:szCs w:val="22"/>
        </w:rPr>
        <w:t xml:space="preserve">handelt werden muss“,  </w:t>
      </w:r>
      <w:r w:rsidR="00CC3364">
        <w:rPr>
          <w:rFonts w:cs="Arial"/>
          <w:szCs w:val="22"/>
        </w:rPr>
        <w:t>sagt</w:t>
      </w:r>
      <w:r w:rsidRPr="00785761">
        <w:rPr>
          <w:rFonts w:cs="Arial"/>
          <w:szCs w:val="22"/>
        </w:rPr>
        <w:t xml:space="preserve"> Braun. Anstatt dass jeder Arztkontakt – auch durch die Erwa</w:t>
      </w:r>
      <w:r w:rsidRPr="00785761">
        <w:rPr>
          <w:rFonts w:cs="Arial"/>
          <w:szCs w:val="22"/>
        </w:rPr>
        <w:t>r</w:t>
      </w:r>
      <w:r w:rsidRPr="00785761">
        <w:rPr>
          <w:rFonts w:cs="Arial"/>
          <w:szCs w:val="22"/>
        </w:rPr>
        <w:t>tungshaltung des Patienten</w:t>
      </w:r>
      <w:r>
        <w:rPr>
          <w:rFonts w:cs="Arial"/>
          <w:szCs w:val="22"/>
        </w:rPr>
        <w:t xml:space="preserve"> –</w:t>
      </w:r>
      <w:r w:rsidRPr="00785761">
        <w:rPr>
          <w:rFonts w:cs="Arial"/>
          <w:szCs w:val="22"/>
        </w:rPr>
        <w:t xml:space="preserve"> mit einer weiteren </w:t>
      </w:r>
      <w:r w:rsidR="00451C6D">
        <w:rPr>
          <w:rFonts w:cs="Arial"/>
          <w:szCs w:val="22"/>
        </w:rPr>
        <w:t>Medikamentenverschreibung</w:t>
      </w:r>
      <w:r w:rsidR="00451C6D" w:rsidRPr="00785761">
        <w:rPr>
          <w:rFonts w:cs="Arial"/>
          <w:szCs w:val="22"/>
        </w:rPr>
        <w:t xml:space="preserve"> </w:t>
      </w:r>
      <w:r w:rsidRPr="00785761">
        <w:rPr>
          <w:rFonts w:cs="Arial"/>
          <w:szCs w:val="22"/>
        </w:rPr>
        <w:t>abgeschlossen wird, sollte</w:t>
      </w:r>
      <w:r>
        <w:rPr>
          <w:rFonts w:cs="Arial"/>
          <w:szCs w:val="22"/>
        </w:rPr>
        <w:t>n</w:t>
      </w:r>
      <w:r w:rsidRPr="00785761">
        <w:rPr>
          <w:rFonts w:cs="Arial"/>
          <w:szCs w:val="22"/>
        </w:rPr>
        <w:t xml:space="preserve"> alle Vor- </w:t>
      </w:r>
      <w:r>
        <w:rPr>
          <w:rFonts w:cs="Arial"/>
          <w:szCs w:val="22"/>
        </w:rPr>
        <w:t xml:space="preserve">und </w:t>
      </w:r>
      <w:r w:rsidRPr="00785761">
        <w:rPr>
          <w:rFonts w:cs="Arial"/>
          <w:szCs w:val="22"/>
        </w:rPr>
        <w:t xml:space="preserve">Nachteile </w:t>
      </w:r>
      <w:r>
        <w:rPr>
          <w:rFonts w:cs="Arial"/>
          <w:szCs w:val="22"/>
        </w:rPr>
        <w:t>einer</w:t>
      </w:r>
      <w:r w:rsidRPr="00785761">
        <w:rPr>
          <w:rFonts w:cs="Arial"/>
          <w:szCs w:val="22"/>
        </w:rPr>
        <w:t xml:space="preserve"> Verordnung abgewogen und </w:t>
      </w:r>
      <w:r>
        <w:rPr>
          <w:rFonts w:cs="Arial"/>
          <w:szCs w:val="22"/>
        </w:rPr>
        <w:t xml:space="preserve">die Entscheidung über die Verschreibung anhand </w:t>
      </w:r>
      <w:r w:rsidRPr="00785761">
        <w:rPr>
          <w:rFonts w:cs="Arial"/>
          <w:szCs w:val="22"/>
        </w:rPr>
        <w:t xml:space="preserve">einer </w:t>
      </w:r>
      <w:r>
        <w:rPr>
          <w:rFonts w:cs="Arial"/>
          <w:szCs w:val="22"/>
        </w:rPr>
        <w:t>angemessenen</w:t>
      </w:r>
      <w:r w:rsidRPr="00785761">
        <w:rPr>
          <w:rFonts w:cs="Arial"/>
          <w:szCs w:val="22"/>
        </w:rPr>
        <w:t xml:space="preserve"> Risikokommunikation mit dem Patienten g</w:t>
      </w:r>
      <w:r w:rsidRPr="00785761">
        <w:rPr>
          <w:rFonts w:cs="Arial"/>
          <w:szCs w:val="22"/>
        </w:rPr>
        <w:t>e</w:t>
      </w:r>
      <w:r w:rsidRPr="00785761">
        <w:rPr>
          <w:rFonts w:cs="Arial"/>
          <w:szCs w:val="22"/>
        </w:rPr>
        <w:t>troffen werden.</w:t>
      </w:r>
    </w:p>
    <w:p w:rsidR="00CC3364" w:rsidRDefault="00CC3364" w:rsidP="00CD30EC">
      <w:pPr>
        <w:spacing w:line="360" w:lineRule="exact"/>
        <w:rPr>
          <w:rFonts w:cs="Arial"/>
          <w:szCs w:val="22"/>
        </w:rPr>
      </w:pPr>
    </w:p>
    <w:p w:rsidR="00CD30EC" w:rsidRPr="00785761" w:rsidRDefault="00CD30EC" w:rsidP="00CD30EC">
      <w:pPr>
        <w:spacing w:line="360" w:lineRule="exact"/>
        <w:rPr>
          <w:rFonts w:cs="Arial"/>
          <w:szCs w:val="22"/>
        </w:rPr>
      </w:pPr>
      <w:r w:rsidRPr="00785761">
        <w:rPr>
          <w:rFonts w:cs="Arial"/>
          <w:szCs w:val="22"/>
        </w:rPr>
        <w:t xml:space="preserve">Der Nachweis </w:t>
      </w:r>
      <w:r>
        <w:rPr>
          <w:rFonts w:cs="Arial"/>
          <w:szCs w:val="22"/>
        </w:rPr>
        <w:t>über den Nutzen</w:t>
      </w:r>
      <w:r w:rsidRPr="00785761">
        <w:rPr>
          <w:rFonts w:cs="Arial"/>
          <w:szCs w:val="22"/>
        </w:rPr>
        <w:t xml:space="preserve"> des Medikationsplans, seiner Vollständigkeit </w:t>
      </w:r>
      <w:r>
        <w:rPr>
          <w:rFonts w:cs="Arial"/>
          <w:szCs w:val="22"/>
        </w:rPr>
        <w:t>sowie</w:t>
      </w:r>
      <w:r w:rsidRPr="00785761">
        <w:rPr>
          <w:rFonts w:cs="Arial"/>
          <w:szCs w:val="22"/>
        </w:rPr>
        <w:t xml:space="preserve"> Korrektheit und damit des erhofften Nutzens im Arzneimittelalltag steht aber noch aus. Eine weitere Studie der hkk soll dazu im Laufe des Jahres 2017 erste </w:t>
      </w:r>
      <w:r>
        <w:rPr>
          <w:rFonts w:cs="Arial"/>
          <w:szCs w:val="22"/>
        </w:rPr>
        <w:t>Erkenntnisse liefern</w:t>
      </w:r>
      <w:r w:rsidRPr="00785761">
        <w:rPr>
          <w:rFonts w:cs="Arial"/>
          <w:szCs w:val="22"/>
        </w:rPr>
        <w:t xml:space="preserve">. </w:t>
      </w:r>
      <w:r w:rsidR="00CC3364">
        <w:rPr>
          <w:rFonts w:cs="Arial"/>
          <w:szCs w:val="22"/>
        </w:rPr>
        <w:t>Vauth: „</w:t>
      </w:r>
      <w:r w:rsidR="00E6705F">
        <w:rPr>
          <w:rFonts w:cs="Arial"/>
          <w:szCs w:val="22"/>
        </w:rPr>
        <w:t>S</w:t>
      </w:r>
      <w:r w:rsidRPr="00785761">
        <w:rPr>
          <w:rFonts w:cs="Arial"/>
          <w:szCs w:val="22"/>
        </w:rPr>
        <w:t xml:space="preserve">elbst wenn der Medikationsplan erfolgreich </w:t>
      </w:r>
      <w:r>
        <w:rPr>
          <w:rFonts w:cs="Arial"/>
          <w:szCs w:val="22"/>
        </w:rPr>
        <w:t xml:space="preserve">sein </w:t>
      </w:r>
      <w:r w:rsidR="00E6705F">
        <w:rPr>
          <w:rFonts w:cs="Arial"/>
          <w:szCs w:val="22"/>
        </w:rPr>
        <w:t>wird</w:t>
      </w:r>
      <w:r w:rsidRPr="00785761">
        <w:rPr>
          <w:rFonts w:cs="Arial"/>
          <w:szCs w:val="22"/>
        </w:rPr>
        <w:t xml:space="preserve">, muss </w:t>
      </w:r>
      <w:r w:rsidR="00CC3364">
        <w:rPr>
          <w:rFonts w:cs="Arial"/>
          <w:szCs w:val="22"/>
        </w:rPr>
        <w:t>er um</w:t>
      </w:r>
      <w:r>
        <w:rPr>
          <w:rFonts w:cs="Arial"/>
          <w:szCs w:val="22"/>
        </w:rPr>
        <w:t xml:space="preserve"> </w:t>
      </w:r>
      <w:r w:rsidRPr="00785761">
        <w:rPr>
          <w:rFonts w:cs="Arial"/>
          <w:szCs w:val="22"/>
        </w:rPr>
        <w:t xml:space="preserve">weitere Maßnahmen </w:t>
      </w:r>
      <w:r>
        <w:rPr>
          <w:rFonts w:cs="Arial"/>
          <w:szCs w:val="22"/>
        </w:rPr>
        <w:t xml:space="preserve">ergänzt </w:t>
      </w:r>
      <w:r w:rsidRPr="00785761">
        <w:rPr>
          <w:rFonts w:cs="Arial"/>
          <w:szCs w:val="22"/>
        </w:rPr>
        <w:t>werden.</w:t>
      </w:r>
      <w:r w:rsidR="00CC3364">
        <w:rPr>
          <w:rFonts w:cs="Arial"/>
          <w:szCs w:val="22"/>
        </w:rPr>
        <w:t>“</w:t>
      </w:r>
    </w:p>
    <w:p w:rsidR="00CD30EC" w:rsidRPr="00785761" w:rsidRDefault="00CD30EC" w:rsidP="00CD30EC">
      <w:pPr>
        <w:spacing w:line="360" w:lineRule="exact"/>
        <w:rPr>
          <w:rFonts w:cs="Arial"/>
          <w:szCs w:val="22"/>
        </w:rPr>
      </w:pPr>
    </w:p>
    <w:p w:rsidR="00CD30EC" w:rsidRPr="00785761" w:rsidRDefault="00E6705F" w:rsidP="00CD30EC">
      <w:pPr>
        <w:spacing w:line="360" w:lineRule="exact"/>
        <w:rPr>
          <w:rFonts w:cs="Arial"/>
          <w:szCs w:val="22"/>
        </w:rPr>
      </w:pPr>
      <w:r>
        <w:rPr>
          <w:rFonts w:cs="Arial"/>
          <w:szCs w:val="22"/>
        </w:rPr>
        <w:t>Weiterhin können folgende Maßnahmen zu mehr Arzneimitteltherapiesicherheit beitragen</w:t>
      </w:r>
      <w:r w:rsidR="003D563F">
        <w:rPr>
          <w:rFonts w:cs="Arial"/>
          <w:szCs w:val="22"/>
        </w:rPr>
        <w:t>:</w:t>
      </w:r>
    </w:p>
    <w:p w:rsidR="00CD30EC" w:rsidRPr="00785761" w:rsidRDefault="00CD30EC" w:rsidP="00CD30EC">
      <w:pPr>
        <w:numPr>
          <w:ilvl w:val="0"/>
          <w:numId w:val="3"/>
        </w:numPr>
        <w:spacing w:line="360" w:lineRule="exact"/>
        <w:rPr>
          <w:rFonts w:cs="Arial"/>
          <w:szCs w:val="22"/>
        </w:rPr>
      </w:pPr>
      <w:r w:rsidRPr="00785761">
        <w:rPr>
          <w:rFonts w:cs="Arial"/>
          <w:szCs w:val="22"/>
        </w:rPr>
        <w:t>Medizinische Leitlinien zur Behandlung multimorbider Patienten. Hinzukommen sollten außerdem Leitlinien über die Nichtverordnung bestimmter Arzneimittel bei Polypharm</w:t>
      </w:r>
      <w:r w:rsidRPr="00785761">
        <w:rPr>
          <w:rFonts w:cs="Arial"/>
          <w:szCs w:val="22"/>
        </w:rPr>
        <w:t>a</w:t>
      </w:r>
      <w:r w:rsidRPr="00785761">
        <w:rPr>
          <w:rFonts w:cs="Arial"/>
          <w:szCs w:val="22"/>
        </w:rPr>
        <w:t xml:space="preserve">zie, wie sie z.B. in der PRISCUS-Liste festgehalten sind. </w:t>
      </w:r>
    </w:p>
    <w:p w:rsidR="00CD30EC" w:rsidRPr="00785761" w:rsidRDefault="00CD30EC" w:rsidP="00CD30EC">
      <w:pPr>
        <w:numPr>
          <w:ilvl w:val="0"/>
          <w:numId w:val="2"/>
        </w:numPr>
        <w:spacing w:line="360" w:lineRule="exact"/>
        <w:rPr>
          <w:rFonts w:cs="Arial"/>
          <w:szCs w:val="22"/>
        </w:rPr>
      </w:pPr>
      <w:r w:rsidRPr="00785761">
        <w:rPr>
          <w:rFonts w:cs="Arial"/>
          <w:szCs w:val="22"/>
        </w:rPr>
        <w:t xml:space="preserve">Diese Leitlinien sollten den Ärzten </w:t>
      </w:r>
      <w:r w:rsidR="003D563F">
        <w:rPr>
          <w:rFonts w:cs="Arial"/>
          <w:szCs w:val="22"/>
        </w:rPr>
        <w:t>zur Verfügung</w:t>
      </w:r>
      <w:r w:rsidRPr="00785761">
        <w:rPr>
          <w:rFonts w:cs="Arial"/>
          <w:szCs w:val="22"/>
        </w:rPr>
        <w:t xml:space="preserve"> </w:t>
      </w:r>
      <w:r w:rsidR="003D563F">
        <w:rPr>
          <w:rFonts w:cs="Arial"/>
          <w:szCs w:val="22"/>
        </w:rPr>
        <w:t xml:space="preserve">gestellt werden </w:t>
      </w:r>
      <w:r w:rsidRPr="00785761">
        <w:rPr>
          <w:rFonts w:cs="Arial"/>
          <w:szCs w:val="22"/>
        </w:rPr>
        <w:t xml:space="preserve">und </w:t>
      </w:r>
      <w:r w:rsidR="003D563F">
        <w:rPr>
          <w:rFonts w:cs="Arial"/>
          <w:szCs w:val="22"/>
        </w:rPr>
        <w:t>fester</w:t>
      </w:r>
      <w:r w:rsidRPr="00785761">
        <w:rPr>
          <w:rFonts w:cs="Arial"/>
          <w:szCs w:val="22"/>
        </w:rPr>
        <w:t xml:space="preserve"> Bestandteil von Fortbildungen werden, damit sie </w:t>
      </w:r>
      <w:r w:rsidR="003D563F">
        <w:rPr>
          <w:rFonts w:cs="Arial"/>
          <w:szCs w:val="22"/>
        </w:rPr>
        <w:t xml:space="preserve">verlässlich </w:t>
      </w:r>
      <w:r w:rsidRPr="00785761">
        <w:rPr>
          <w:rFonts w:cs="Arial"/>
          <w:szCs w:val="22"/>
        </w:rPr>
        <w:t>im Versorgungsalltag ankommen.</w:t>
      </w:r>
    </w:p>
    <w:p w:rsidR="00CD30EC" w:rsidRPr="00785761" w:rsidRDefault="00CD30EC" w:rsidP="00CD30EC">
      <w:pPr>
        <w:numPr>
          <w:ilvl w:val="0"/>
          <w:numId w:val="2"/>
        </w:numPr>
        <w:spacing w:line="360" w:lineRule="exact"/>
        <w:rPr>
          <w:rFonts w:cs="Arial"/>
          <w:szCs w:val="22"/>
        </w:rPr>
      </w:pPr>
      <w:r w:rsidRPr="00785761">
        <w:rPr>
          <w:rFonts w:cs="Arial"/>
          <w:szCs w:val="22"/>
        </w:rPr>
        <w:t>Ärzte sollten Verordnungen ohne Leitlinienabsicherung regelmäßig prüfen und das Ve</w:t>
      </w:r>
      <w:r w:rsidRPr="00785761">
        <w:rPr>
          <w:rFonts w:cs="Arial"/>
          <w:szCs w:val="22"/>
        </w:rPr>
        <w:t>r</w:t>
      </w:r>
      <w:r w:rsidRPr="00785761">
        <w:rPr>
          <w:rFonts w:cs="Arial"/>
          <w:szCs w:val="22"/>
        </w:rPr>
        <w:t>ordnungsgeschehen mit dem von Fachkollegen vergleichen (z.B. in speziellen ärztlichen Qualitätszirkeln zum Thema Polypharmazie).</w:t>
      </w:r>
    </w:p>
    <w:p w:rsidR="00CD30EC" w:rsidRPr="00785761" w:rsidRDefault="00CD30EC" w:rsidP="00CD30EC">
      <w:pPr>
        <w:numPr>
          <w:ilvl w:val="0"/>
          <w:numId w:val="2"/>
        </w:numPr>
        <w:spacing w:line="360" w:lineRule="exact"/>
        <w:rPr>
          <w:rFonts w:cs="Arial"/>
          <w:szCs w:val="22"/>
        </w:rPr>
      </w:pPr>
      <w:r w:rsidRPr="00785761">
        <w:rPr>
          <w:rFonts w:cs="Arial"/>
          <w:szCs w:val="22"/>
        </w:rPr>
        <w:lastRenderedPageBreak/>
        <w:t>Ärzte sollten entweder ihre eigenen Dokumentationssysteme über Verordnungen nu</w:t>
      </w:r>
      <w:r w:rsidRPr="00785761">
        <w:rPr>
          <w:rFonts w:cs="Arial"/>
          <w:szCs w:val="22"/>
        </w:rPr>
        <w:t>t</w:t>
      </w:r>
      <w:r w:rsidRPr="00785761">
        <w:rPr>
          <w:rFonts w:cs="Arial"/>
          <w:szCs w:val="22"/>
        </w:rPr>
        <w:t>zen, um Transparenz über ihr Polypharmaziegeschehen zu gewinnen oder Krankenka</w:t>
      </w:r>
      <w:r w:rsidRPr="00785761">
        <w:rPr>
          <w:rFonts w:cs="Arial"/>
          <w:szCs w:val="22"/>
        </w:rPr>
        <w:t>s</w:t>
      </w:r>
      <w:r w:rsidRPr="00785761">
        <w:rPr>
          <w:rFonts w:cs="Arial"/>
          <w:szCs w:val="22"/>
        </w:rPr>
        <w:t>sen sollten ihnen entsprechende Übersichten im Vergleich zu allen regionalen Ärzten zur Verfügung stellen.</w:t>
      </w:r>
    </w:p>
    <w:p w:rsidR="00CD30EC" w:rsidRDefault="00CD30EC" w:rsidP="00CD30EC">
      <w:pPr>
        <w:numPr>
          <w:ilvl w:val="0"/>
          <w:numId w:val="2"/>
        </w:numPr>
        <w:spacing w:line="360" w:lineRule="exact"/>
        <w:rPr>
          <w:rFonts w:cs="Arial"/>
          <w:szCs w:val="22"/>
        </w:rPr>
      </w:pPr>
      <w:r w:rsidRPr="00785761">
        <w:rPr>
          <w:rFonts w:cs="Arial"/>
          <w:szCs w:val="22"/>
        </w:rPr>
        <w:t xml:space="preserve">Hausärzte sollten </w:t>
      </w:r>
      <w:r w:rsidR="00ED6106">
        <w:rPr>
          <w:rFonts w:cs="Arial"/>
          <w:szCs w:val="22"/>
        </w:rPr>
        <w:t>für</w:t>
      </w:r>
      <w:r w:rsidR="003D563F">
        <w:rPr>
          <w:rFonts w:cs="Arial"/>
          <w:szCs w:val="22"/>
        </w:rPr>
        <w:t xml:space="preserve"> Polypharmazie-</w:t>
      </w:r>
      <w:r w:rsidRPr="00785761">
        <w:rPr>
          <w:rFonts w:cs="Arial"/>
          <w:szCs w:val="22"/>
        </w:rPr>
        <w:t xml:space="preserve">Patienten </w:t>
      </w:r>
      <w:r w:rsidR="00ED6106">
        <w:rPr>
          <w:rFonts w:cs="Arial"/>
          <w:szCs w:val="22"/>
        </w:rPr>
        <w:t>ausreichend Zeit aufbringen</w:t>
      </w:r>
      <w:r w:rsidRPr="00785761">
        <w:rPr>
          <w:rFonts w:cs="Arial"/>
          <w:szCs w:val="22"/>
        </w:rPr>
        <w:t xml:space="preserve">, um </w:t>
      </w:r>
      <w:r w:rsidR="00ED6106">
        <w:rPr>
          <w:rFonts w:cs="Arial"/>
          <w:szCs w:val="22"/>
        </w:rPr>
        <w:t xml:space="preserve">so </w:t>
      </w:r>
      <w:r w:rsidRPr="00785761">
        <w:rPr>
          <w:rFonts w:cs="Arial"/>
          <w:szCs w:val="22"/>
        </w:rPr>
        <w:t>A</w:t>
      </w:r>
      <w:r w:rsidRPr="00785761">
        <w:rPr>
          <w:rFonts w:cs="Arial"/>
          <w:szCs w:val="22"/>
        </w:rPr>
        <w:t>n</w:t>
      </w:r>
      <w:r w:rsidRPr="00785761">
        <w:rPr>
          <w:rFonts w:cs="Arial"/>
          <w:szCs w:val="22"/>
        </w:rPr>
        <w:t>zahl und Art von Arzneimit</w:t>
      </w:r>
      <w:r w:rsidR="00ED6106">
        <w:rPr>
          <w:rFonts w:cs="Arial"/>
          <w:szCs w:val="22"/>
        </w:rPr>
        <w:t>teln auf das notwendige Maß</w:t>
      </w:r>
      <w:r w:rsidRPr="00785761">
        <w:rPr>
          <w:rFonts w:cs="Arial"/>
          <w:szCs w:val="22"/>
        </w:rPr>
        <w:t xml:space="preserve"> zu reduzieren und </w:t>
      </w:r>
      <w:r w:rsidR="003D563F">
        <w:rPr>
          <w:rFonts w:cs="Arial"/>
          <w:szCs w:val="22"/>
        </w:rPr>
        <w:t>Wechselwi</w:t>
      </w:r>
      <w:r w:rsidR="003D563F">
        <w:rPr>
          <w:rFonts w:cs="Arial"/>
          <w:szCs w:val="22"/>
        </w:rPr>
        <w:t>r</w:t>
      </w:r>
      <w:r w:rsidR="003D563F">
        <w:rPr>
          <w:rFonts w:cs="Arial"/>
          <w:szCs w:val="22"/>
        </w:rPr>
        <w:t xml:space="preserve">kungen </w:t>
      </w:r>
      <w:r w:rsidRPr="00785761">
        <w:rPr>
          <w:rFonts w:cs="Arial"/>
          <w:szCs w:val="22"/>
        </w:rPr>
        <w:t>zu vermeiden.</w:t>
      </w:r>
    </w:p>
    <w:p w:rsidR="00CF6474" w:rsidRPr="00785761" w:rsidRDefault="00CF6474" w:rsidP="00CD30EC">
      <w:pPr>
        <w:numPr>
          <w:ilvl w:val="0"/>
          <w:numId w:val="2"/>
        </w:numPr>
        <w:spacing w:line="360" w:lineRule="exact"/>
        <w:rPr>
          <w:rFonts w:cs="Arial"/>
          <w:szCs w:val="22"/>
        </w:rPr>
      </w:pPr>
      <w:r>
        <w:rPr>
          <w:rFonts w:cs="Arial"/>
          <w:szCs w:val="22"/>
        </w:rPr>
        <w:t>Pharmazeutische Beratung durch die Krankenkassen auf Basis der Patientenquittung über alle verschriebenen Medikamente</w:t>
      </w:r>
      <w:r w:rsidR="009D5305">
        <w:rPr>
          <w:rFonts w:cs="Arial"/>
          <w:szCs w:val="22"/>
        </w:rPr>
        <w:t>.</w:t>
      </w:r>
    </w:p>
    <w:p w:rsidR="00B643A9" w:rsidRDefault="00B643A9" w:rsidP="00F40C6E">
      <w:pPr>
        <w:pStyle w:val="Pressetext"/>
        <w:rPr>
          <w:rFonts w:cs="Arial"/>
          <w:szCs w:val="22"/>
        </w:rPr>
      </w:pPr>
      <w:bookmarkStart w:id="0" w:name="_GoBack"/>
      <w:bookmarkEnd w:id="0"/>
    </w:p>
    <w:p w:rsidR="00EB4E6B" w:rsidRDefault="00EB4E6B" w:rsidP="00EB4E6B">
      <w:pPr>
        <w:pStyle w:val="Pressetext"/>
        <w:rPr>
          <w:rFonts w:cs="Arial"/>
          <w:b/>
          <w:bCs/>
          <w:szCs w:val="22"/>
        </w:rPr>
      </w:pPr>
      <w:r w:rsidRPr="00185575">
        <w:rPr>
          <w:rFonts w:cs="Arial"/>
          <w:b/>
          <w:bCs/>
          <w:szCs w:val="22"/>
        </w:rPr>
        <w:t xml:space="preserve">Ansprechpartner für die Presse: </w:t>
      </w:r>
    </w:p>
    <w:p w:rsidR="00DC2E1D" w:rsidRDefault="00AB2670" w:rsidP="00EB4E6B">
      <w:pPr>
        <w:pStyle w:val="Pressetext"/>
        <w:rPr>
          <w:rFonts w:cs="Arial"/>
          <w:bCs/>
          <w:szCs w:val="22"/>
        </w:rPr>
      </w:pPr>
      <w:r w:rsidRPr="00DC2E1D">
        <w:rPr>
          <w:rFonts w:cs="Arial"/>
          <w:bCs/>
          <w:szCs w:val="22"/>
        </w:rPr>
        <w:t xml:space="preserve">Dr. Bernard Braun, Bremer Institut für Arbeitsschutz und Gesundheitsförderung (BIAG), </w:t>
      </w:r>
      <w:proofErr w:type="spellStart"/>
      <w:r w:rsidRPr="00DC2E1D">
        <w:rPr>
          <w:rFonts w:cs="Arial"/>
          <w:bCs/>
          <w:szCs w:val="22"/>
        </w:rPr>
        <w:t>Wie</w:t>
      </w:r>
      <w:r w:rsidRPr="00DC2E1D">
        <w:rPr>
          <w:rFonts w:cs="Arial"/>
          <w:bCs/>
          <w:szCs w:val="22"/>
        </w:rPr>
        <w:t>s</w:t>
      </w:r>
      <w:r w:rsidRPr="00DC2E1D">
        <w:rPr>
          <w:rFonts w:cs="Arial"/>
          <w:bCs/>
          <w:szCs w:val="22"/>
        </w:rPr>
        <w:t>badenerstraße</w:t>
      </w:r>
      <w:proofErr w:type="spellEnd"/>
      <w:r w:rsidRPr="00DC2E1D">
        <w:rPr>
          <w:rFonts w:cs="Arial"/>
          <w:bCs/>
          <w:szCs w:val="22"/>
        </w:rPr>
        <w:t xml:space="preserve"> 15, 28199 Bremen, Mobil: 01520-2098343, Mail: </w:t>
      </w:r>
      <w:hyperlink r:id="rId10" w:history="1">
        <w:r w:rsidR="00DC2E1D" w:rsidRPr="006C24C8">
          <w:rPr>
            <w:rStyle w:val="Hyperlink"/>
            <w:rFonts w:cs="Arial"/>
            <w:bCs/>
            <w:szCs w:val="22"/>
          </w:rPr>
          <w:t>biagforschung@gmail.com</w:t>
        </w:r>
      </w:hyperlink>
    </w:p>
    <w:p w:rsidR="00DC2E1D" w:rsidRPr="00DC2E1D" w:rsidRDefault="00DC2E1D" w:rsidP="00EB4E6B">
      <w:pPr>
        <w:pStyle w:val="Pressetext"/>
        <w:rPr>
          <w:rFonts w:cs="Arial"/>
          <w:bCs/>
          <w:szCs w:val="22"/>
        </w:rPr>
      </w:pPr>
    </w:p>
    <w:p w:rsidR="00EB4E6B" w:rsidRPr="00EA46F0" w:rsidRDefault="00EB4E6B" w:rsidP="00EB4E6B">
      <w:pPr>
        <w:pStyle w:val="Pressetext"/>
        <w:rPr>
          <w:rFonts w:cs="Arial"/>
          <w:szCs w:val="22"/>
          <w:lang w:val="en-GB"/>
        </w:rPr>
      </w:pPr>
      <w:r>
        <w:rPr>
          <w:rFonts w:cs="Arial"/>
          <w:szCs w:val="22"/>
        </w:rPr>
        <w:t xml:space="preserve">hkk Krankenkasse (Handelskrankenkasse), Martinistr. </w:t>
      </w:r>
      <w:r w:rsidRPr="00EA46F0">
        <w:rPr>
          <w:rFonts w:cs="Arial"/>
          <w:szCs w:val="22"/>
          <w:lang w:val="en-GB"/>
        </w:rPr>
        <w:t xml:space="preserve">26, 28195 Bremen </w:t>
      </w:r>
    </w:p>
    <w:p w:rsidR="00EB4E6B" w:rsidRPr="00EA46F0" w:rsidRDefault="00F20FDF" w:rsidP="00EB4E6B">
      <w:pPr>
        <w:pStyle w:val="Pressetext"/>
        <w:rPr>
          <w:rFonts w:cs="Arial"/>
          <w:szCs w:val="22"/>
          <w:lang w:val="en-GB"/>
        </w:rPr>
      </w:pPr>
      <w:r>
        <w:rPr>
          <w:rFonts w:cs="Arial"/>
          <w:szCs w:val="22"/>
          <w:lang w:val="en-GB"/>
        </w:rPr>
        <w:t xml:space="preserve">Holm Ay, Tel 0421.3655 </w:t>
      </w:r>
      <w:r w:rsidR="00EB4E6B" w:rsidRPr="00EA46F0">
        <w:rPr>
          <w:rFonts w:cs="Arial"/>
          <w:szCs w:val="22"/>
          <w:lang w:val="en-GB"/>
        </w:rPr>
        <w:t>1000</w:t>
      </w:r>
      <w:r w:rsidR="00EB4E6B">
        <w:rPr>
          <w:rFonts w:cs="Arial"/>
          <w:szCs w:val="22"/>
          <w:lang w:val="en-GB"/>
        </w:rPr>
        <w:t xml:space="preserve"> | Ilja Mertens</w:t>
      </w:r>
      <w:r>
        <w:rPr>
          <w:rFonts w:cs="Arial"/>
          <w:szCs w:val="22"/>
          <w:lang w:val="en-GB"/>
        </w:rPr>
        <w:t xml:space="preserve">, Tel 0421.3655 </w:t>
      </w:r>
      <w:r w:rsidR="00EB4E6B" w:rsidRPr="00EA46F0">
        <w:rPr>
          <w:rFonts w:cs="Arial"/>
          <w:szCs w:val="22"/>
          <w:lang w:val="en-GB"/>
        </w:rPr>
        <w:t xml:space="preserve">3177 </w:t>
      </w:r>
    </w:p>
    <w:p w:rsidR="00EB4E6B" w:rsidRDefault="00EB4E6B" w:rsidP="00EB4E6B">
      <w:pPr>
        <w:pStyle w:val="Pressetext"/>
        <w:rPr>
          <w:rFonts w:cs="Arial"/>
          <w:szCs w:val="22"/>
        </w:rPr>
      </w:pPr>
      <w:r w:rsidRPr="00FC4C6B">
        <w:rPr>
          <w:rFonts w:cs="Arial"/>
          <w:szCs w:val="22"/>
          <w:lang w:val="en-GB"/>
        </w:rPr>
        <w:t xml:space="preserve">Email: </w:t>
      </w:r>
      <w:hyperlink r:id="rId11" w:history="1">
        <w:r w:rsidRPr="00FC4C6B">
          <w:rPr>
            <w:rStyle w:val="Hyperlink"/>
            <w:rFonts w:cs="Arial"/>
            <w:szCs w:val="22"/>
            <w:lang w:val="en-GB"/>
          </w:rPr>
          <w:t>presse@hkk.de</w:t>
        </w:r>
      </w:hyperlink>
      <w:r w:rsidRPr="00EA46F0">
        <w:rPr>
          <w:rFonts w:cs="Arial"/>
          <w:szCs w:val="22"/>
          <w:lang w:val="en-GB"/>
        </w:rPr>
        <w:t xml:space="preserve"> Internet: </w:t>
      </w:r>
      <w:hyperlink r:id="rId12" w:history="1">
        <w:r w:rsidRPr="00EA46F0">
          <w:rPr>
            <w:rStyle w:val="Hyperlink"/>
            <w:rFonts w:cs="Arial"/>
            <w:szCs w:val="22"/>
            <w:lang w:val="en-GB"/>
          </w:rPr>
          <w:t>www.hkk.de</w:t>
        </w:r>
      </w:hyperlink>
    </w:p>
    <w:p w:rsidR="001E5D68" w:rsidRPr="00EA46F0" w:rsidRDefault="001E5D68" w:rsidP="00EB4E6B">
      <w:pPr>
        <w:pStyle w:val="Pressetext"/>
        <w:rPr>
          <w:rFonts w:cs="Arial"/>
          <w:szCs w:val="22"/>
          <w:lang w:val="en-GB"/>
        </w:rPr>
      </w:pPr>
    </w:p>
    <w:p w:rsidR="00EB4E6B" w:rsidRPr="0061395D" w:rsidRDefault="00EB4E6B" w:rsidP="00EB4E6B">
      <w:pPr>
        <w:rPr>
          <w:lang w:val="en-GB"/>
        </w:rPr>
      </w:pPr>
    </w:p>
    <w:p w:rsidR="00D97166" w:rsidRPr="00D97166" w:rsidRDefault="00F20FDF" w:rsidP="002643CC">
      <w:pPr>
        <w:pStyle w:val="Pressetext"/>
        <w:pBdr>
          <w:top w:val="single" w:sz="4" w:space="1" w:color="auto"/>
          <w:left w:val="single" w:sz="4" w:space="4" w:color="auto"/>
          <w:bottom w:val="single" w:sz="4" w:space="1" w:color="auto"/>
          <w:right w:val="single" w:sz="4" w:space="4" w:color="auto"/>
        </w:pBdr>
        <w:rPr>
          <w:rFonts w:cs="Arial"/>
          <w:bCs/>
          <w:sz w:val="20"/>
        </w:rPr>
      </w:pPr>
      <w:r w:rsidRPr="0061395D">
        <w:rPr>
          <w:rFonts w:cs="Arial"/>
          <w:b/>
          <w:bCs/>
          <w:sz w:val="20"/>
        </w:rPr>
        <w:t xml:space="preserve">Über die hkk </w:t>
      </w:r>
      <w:r>
        <w:rPr>
          <w:rFonts w:cs="Arial"/>
          <w:b/>
          <w:bCs/>
          <w:sz w:val="20"/>
        </w:rPr>
        <w:t xml:space="preserve">Krankenkasse </w:t>
      </w:r>
      <w:r w:rsidRPr="0061395D">
        <w:rPr>
          <w:rFonts w:cs="Arial"/>
          <w:b/>
          <w:bCs/>
          <w:sz w:val="20"/>
        </w:rPr>
        <w:t xml:space="preserve">(Handelskrankenkasse): </w:t>
      </w:r>
      <w:r w:rsidR="002643CC" w:rsidRPr="002643CC">
        <w:rPr>
          <w:rFonts w:cs="Arial"/>
          <w:bCs/>
          <w:sz w:val="20"/>
        </w:rPr>
        <w:t>Die hkk zählt mit mehr als 540.000 Versicherten (davon mehr als 410.000 beitragszahlende Mitglieder), 27 Geschäftsstellen und 2.000 Servicepunkten zu den großen gesetzlichen Krankenkassen. 2016 betrug ihr Wachstum mehr als 100.000 Kunden. Ihr stab</w:t>
      </w:r>
      <w:r w:rsidR="002643CC" w:rsidRPr="002643CC">
        <w:rPr>
          <w:rFonts w:cs="Arial"/>
          <w:bCs/>
          <w:sz w:val="20"/>
        </w:rPr>
        <w:t>i</w:t>
      </w:r>
      <w:r w:rsidR="002643CC" w:rsidRPr="002643CC">
        <w:rPr>
          <w:rFonts w:cs="Arial"/>
          <w:bCs/>
          <w:sz w:val="20"/>
        </w:rPr>
        <w:t>ler Zusatzbeitrag von 0,59 Prozent (Gesamtbeitrag 15,19 Prozent) macht sie seit Jahren zur günstigsten deutschlandweit wählbaren Krankenkasse. hkk-Kunden können im Vergleich zum Kassendurchschnitt – abhängig von ihrem Einkommen – bis zu 266 Euro jährlich sparen; gegenüber einer Kasse mit 1,7 Pr</w:t>
      </w:r>
      <w:r w:rsidR="002643CC" w:rsidRPr="002643CC">
        <w:rPr>
          <w:rFonts w:cs="Arial"/>
          <w:bCs/>
          <w:sz w:val="20"/>
        </w:rPr>
        <w:t>o</w:t>
      </w:r>
      <w:r w:rsidR="002643CC" w:rsidRPr="002643CC">
        <w:rPr>
          <w:rFonts w:cs="Arial"/>
          <w:bCs/>
          <w:sz w:val="20"/>
        </w:rPr>
        <w:t>zent Zusatz</w:t>
      </w:r>
      <w:r w:rsidR="002643CC">
        <w:rPr>
          <w:rFonts w:cs="Arial"/>
          <w:bCs/>
          <w:sz w:val="20"/>
        </w:rPr>
        <w:t xml:space="preserve">beitrag sogar bis zu 579 Euro. </w:t>
      </w:r>
      <w:r w:rsidR="002643CC" w:rsidRPr="002643CC">
        <w:rPr>
          <w:rFonts w:cs="Arial"/>
          <w:bCs/>
          <w:sz w:val="20"/>
        </w:rPr>
        <w:t>Auch die Extraleistungen übertreffen den Branchendurc</w:t>
      </w:r>
      <w:r w:rsidR="002643CC" w:rsidRPr="002643CC">
        <w:rPr>
          <w:rFonts w:cs="Arial"/>
          <w:bCs/>
          <w:sz w:val="20"/>
        </w:rPr>
        <w:t>h</w:t>
      </w:r>
      <w:r w:rsidR="002643CC" w:rsidRPr="002643CC">
        <w:rPr>
          <w:rFonts w:cs="Arial"/>
          <w:bCs/>
          <w:sz w:val="20"/>
        </w:rPr>
        <w:t>schnitt: Unter anderem erstattet die hkk zusätzliche Leistungen im Wert von über 1.000 Euro je Vers</w:t>
      </w:r>
      <w:r w:rsidR="002643CC" w:rsidRPr="002643CC">
        <w:rPr>
          <w:rFonts w:cs="Arial"/>
          <w:bCs/>
          <w:sz w:val="20"/>
        </w:rPr>
        <w:t>i</w:t>
      </w:r>
      <w:r w:rsidR="002643CC" w:rsidRPr="002643CC">
        <w:rPr>
          <w:rFonts w:cs="Arial"/>
          <w:bCs/>
          <w:sz w:val="20"/>
        </w:rPr>
        <w:t>cherten und Jahr in den Bereichen Naturmedizin, Vorsorge und bei Schwangerschaft. Ergänzend fördert das hkk-Bonusprogramm Gesundheitsaktivitäten mit bis zu 250 Euro jährlich. Für einen weiterführenden Gesundheitsschutz erhalten hkk-Kunden private Zusatzangebote der LVM-Versicherung zu Sonderkond</w:t>
      </w:r>
      <w:r w:rsidR="002643CC" w:rsidRPr="002643CC">
        <w:rPr>
          <w:rFonts w:cs="Arial"/>
          <w:bCs/>
          <w:sz w:val="20"/>
        </w:rPr>
        <w:t>i</w:t>
      </w:r>
      <w:r w:rsidR="002643CC" w:rsidRPr="002643CC">
        <w:rPr>
          <w:rFonts w:cs="Arial"/>
          <w:bCs/>
          <w:sz w:val="20"/>
        </w:rPr>
        <w:t xml:space="preserve">tionen. Die Verwaltungskosten der hkk liegen etwa 20 Prozent unter dem Branchendurchschnitt. Rund 900 </w:t>
      </w:r>
      <w:proofErr w:type="spellStart"/>
      <w:r w:rsidR="002643CC" w:rsidRPr="002643CC">
        <w:rPr>
          <w:rFonts w:cs="Arial"/>
          <w:bCs/>
          <w:sz w:val="20"/>
        </w:rPr>
        <w:t>MitarbeiterInnen</w:t>
      </w:r>
      <w:proofErr w:type="spellEnd"/>
      <w:r w:rsidR="002643CC" w:rsidRPr="002643CC">
        <w:rPr>
          <w:rFonts w:cs="Arial"/>
          <w:bCs/>
          <w:sz w:val="20"/>
        </w:rPr>
        <w:t xml:space="preserve"> betreuen ein Ausgabenvolumen von mehr als 1,3 Mrd. Euro.</w:t>
      </w:r>
    </w:p>
    <w:sectPr w:rsidR="00D97166" w:rsidRPr="00D97166" w:rsidSect="00EE649C">
      <w:headerReference w:type="default" r:id="rId13"/>
      <w:footerReference w:type="default" r:id="rId14"/>
      <w:pgSz w:w="11907" w:h="16840" w:code="9"/>
      <w:pgMar w:top="1418" w:right="1134"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670" w:rsidRDefault="00AB2670">
      <w:r>
        <w:separator/>
      </w:r>
    </w:p>
  </w:endnote>
  <w:endnote w:type="continuationSeparator" w:id="0">
    <w:p w:rsidR="00AB2670" w:rsidRDefault="00AB2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670" w:rsidRDefault="00AB2670">
    <w:pPr>
      <w:pStyle w:val="Fuzeile"/>
      <w:rPr>
        <w:rFonts w:ascii="Times New Roman" w:hAnsi="Times New Roman"/>
        <w:snapToGrid w:val="0"/>
        <w:sz w:val="26"/>
      </w:rPr>
    </w:pPr>
  </w:p>
  <w:p w:rsidR="00AB2670" w:rsidRPr="002E0181" w:rsidRDefault="00AB2670">
    <w:pPr>
      <w:pStyle w:val="Fuzeile"/>
      <w:pBdr>
        <w:top w:val="single" w:sz="4" w:space="1" w:color="auto"/>
      </w:pBdr>
      <w:jc w:val="right"/>
      <w:rPr>
        <w:rFonts w:cs="Arial"/>
        <w:sz w:val="24"/>
        <w:szCs w:val="24"/>
      </w:rPr>
    </w:pPr>
    <w:r w:rsidRPr="002E0181">
      <w:rPr>
        <w:rFonts w:cs="Arial"/>
        <w:snapToGrid w:val="0"/>
        <w:sz w:val="24"/>
        <w:szCs w:val="24"/>
      </w:rPr>
      <w:t xml:space="preserve">Seite </w:t>
    </w:r>
    <w:r w:rsidRPr="002E0181">
      <w:rPr>
        <w:rFonts w:cs="Arial"/>
        <w:snapToGrid w:val="0"/>
        <w:sz w:val="24"/>
        <w:szCs w:val="24"/>
      </w:rPr>
      <w:fldChar w:fldCharType="begin"/>
    </w:r>
    <w:r w:rsidRPr="002E0181">
      <w:rPr>
        <w:rFonts w:cs="Arial"/>
        <w:snapToGrid w:val="0"/>
        <w:sz w:val="24"/>
        <w:szCs w:val="24"/>
      </w:rPr>
      <w:instrText xml:space="preserve"> PAGE </w:instrText>
    </w:r>
    <w:r w:rsidRPr="002E0181">
      <w:rPr>
        <w:rFonts w:cs="Arial"/>
        <w:snapToGrid w:val="0"/>
        <w:sz w:val="24"/>
        <w:szCs w:val="24"/>
      </w:rPr>
      <w:fldChar w:fldCharType="separate"/>
    </w:r>
    <w:r w:rsidR="00DC2E1D">
      <w:rPr>
        <w:rFonts w:cs="Arial"/>
        <w:noProof/>
        <w:snapToGrid w:val="0"/>
        <w:sz w:val="24"/>
        <w:szCs w:val="24"/>
      </w:rPr>
      <w:t>4</w:t>
    </w:r>
    <w:r w:rsidRPr="002E0181">
      <w:rPr>
        <w:rFonts w:cs="Arial"/>
        <w:snapToGrid w:val="0"/>
        <w:sz w:val="24"/>
        <w:szCs w:val="24"/>
      </w:rPr>
      <w:fldChar w:fldCharType="end"/>
    </w:r>
    <w:r w:rsidRPr="002E0181">
      <w:rPr>
        <w:rFonts w:cs="Arial"/>
        <w:snapToGrid w:val="0"/>
        <w:sz w:val="24"/>
        <w:szCs w:val="24"/>
      </w:rPr>
      <w:t xml:space="preserve"> von </w:t>
    </w:r>
    <w:r w:rsidRPr="002E0181">
      <w:rPr>
        <w:rFonts w:cs="Arial"/>
        <w:snapToGrid w:val="0"/>
        <w:sz w:val="24"/>
        <w:szCs w:val="24"/>
      </w:rPr>
      <w:fldChar w:fldCharType="begin"/>
    </w:r>
    <w:r w:rsidRPr="002E0181">
      <w:rPr>
        <w:rFonts w:cs="Arial"/>
        <w:snapToGrid w:val="0"/>
        <w:sz w:val="24"/>
        <w:szCs w:val="24"/>
      </w:rPr>
      <w:instrText xml:space="preserve"> NUMPAGES </w:instrText>
    </w:r>
    <w:r w:rsidRPr="002E0181">
      <w:rPr>
        <w:rFonts w:cs="Arial"/>
        <w:snapToGrid w:val="0"/>
        <w:sz w:val="24"/>
        <w:szCs w:val="24"/>
      </w:rPr>
      <w:fldChar w:fldCharType="separate"/>
    </w:r>
    <w:r w:rsidR="00DC2E1D">
      <w:rPr>
        <w:rFonts w:cs="Arial"/>
        <w:noProof/>
        <w:snapToGrid w:val="0"/>
        <w:sz w:val="24"/>
        <w:szCs w:val="24"/>
      </w:rPr>
      <w:t>4</w:t>
    </w:r>
    <w:r w:rsidRPr="002E0181">
      <w:rPr>
        <w:rFonts w:cs="Arial"/>
        <w:snapToGrid w:val="0"/>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670" w:rsidRDefault="00AB2670">
      <w:r>
        <w:separator/>
      </w:r>
    </w:p>
  </w:footnote>
  <w:footnote w:type="continuationSeparator" w:id="0">
    <w:p w:rsidR="00AB2670" w:rsidRDefault="00AB2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670" w:rsidRDefault="00AB2670" w:rsidP="00F23D1B">
    <w:pPr>
      <w:pStyle w:val="Kopfzeile"/>
      <w:tabs>
        <w:tab w:val="clear" w:pos="4819"/>
        <w:tab w:val="right" w:pos="7088"/>
      </w:tabs>
    </w:pPr>
    <w:r>
      <w:rPr>
        <w:noProof/>
      </w:rPr>
      <w:drawing>
        <wp:anchor distT="0" distB="0" distL="114300" distR="114300" simplePos="0" relativeHeight="251658240" behindDoc="1" locked="0" layoutInCell="1" allowOverlap="1">
          <wp:simplePos x="0" y="0"/>
          <wp:positionH relativeFrom="column">
            <wp:posOffset>4737100</wp:posOffset>
          </wp:positionH>
          <wp:positionV relativeFrom="paragraph">
            <wp:posOffset>44450</wp:posOffset>
          </wp:positionV>
          <wp:extent cx="1215390" cy="760095"/>
          <wp:effectExtent l="0" t="0" r="3810" b="1905"/>
          <wp:wrapNone/>
          <wp:docPr id="17" name="Bild 17" descr="hkk-Krankenkasse_NEU_ab_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kk-Krankenkasse_NEU_ab_11-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390" cy="7600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simplePos x="0" y="0"/>
              <wp:positionH relativeFrom="column">
                <wp:posOffset>-25400</wp:posOffset>
              </wp:positionH>
              <wp:positionV relativeFrom="paragraph">
                <wp:posOffset>-22860</wp:posOffset>
              </wp:positionV>
              <wp:extent cx="2383155" cy="31115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3155"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670" w:rsidRDefault="00AB2670">
                          <w:pPr>
                            <w:pStyle w:val="berschrift1"/>
                            <w:rPr>
                              <w:sz w:val="40"/>
                            </w:rPr>
                          </w:pPr>
                          <w:smartTag w:uri="urn:schemas-microsoft-com:office:smarttags" w:element="PersonName">
                            <w:r>
                              <w:rPr>
                                <w:sz w:val="40"/>
                              </w:rPr>
                              <w:t>Presse</w:t>
                            </w:r>
                          </w:smartTag>
                          <w:r>
                            <w:rPr>
                              <w:sz w:val="40"/>
                            </w:rP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pt;margin-top:-1.8pt;width:187.65pt;height: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" filled="f" stroked="f">
              <v:textbox inset="0,0,0,0">
                <w:txbxContent>
                  <w:p w:rsidR="006D1228" w:rsidRDefault="006D1228">
                    <w:pPr>
                      <w:pStyle w:val="berschrift1"/>
                      <w:rPr>
                        <w:sz w:val="40"/>
                      </w:rPr>
                    </w:pPr>
                    <w:smartTag w:uri="urn:schemas-microsoft-com:office:smarttags" w:element="PersonName">
                      <w:r>
                        <w:rPr>
                          <w:sz w:val="40"/>
                        </w:rPr>
                        <w:t>Presse</w:t>
                      </w:r>
                    </w:smartTag>
                    <w:r>
                      <w:rPr>
                        <w:sz w:val="40"/>
                      </w:rPr>
                      <w:t>information</w:t>
                    </w:r>
                  </w:p>
                </w:txbxContent>
              </v:textbox>
            </v:shape>
          </w:pict>
        </mc:Fallback>
      </mc:AlternateContent>
    </w:r>
    <w:r>
      <w:tab/>
    </w:r>
  </w:p>
  <w:p w:rsidR="00AB2670" w:rsidRDefault="00AB2670" w:rsidP="007C3C76">
    <w:pPr>
      <w:pStyle w:val="Kopfzeile"/>
      <w:tabs>
        <w:tab w:val="clear" w:pos="4819"/>
        <w:tab w:val="right" w:pos="7088"/>
      </w:tabs>
    </w:pPr>
    <w:r>
      <w:tab/>
    </w:r>
  </w:p>
  <w:p w:rsidR="00AB2670" w:rsidRDefault="00AB2670" w:rsidP="007C3C76">
    <w:pPr>
      <w:pStyle w:val="Kopfzeile"/>
      <w:tabs>
        <w:tab w:val="clear" w:pos="4819"/>
        <w:tab w:val="right" w:pos="7088"/>
      </w:tabs>
    </w:pPr>
  </w:p>
  <w:p w:rsidR="00AB2670" w:rsidRDefault="00AB2670" w:rsidP="007C3C76">
    <w:pPr>
      <w:pStyle w:val="Kopfzeile"/>
      <w:tabs>
        <w:tab w:val="clear" w:pos="4819"/>
        <w:tab w:val="right" w:pos="7088"/>
      </w:tabs>
    </w:pPr>
  </w:p>
  <w:p w:rsidR="00AB2670" w:rsidRDefault="00AB2670" w:rsidP="007C3C76">
    <w:pPr>
      <w:pStyle w:val="Kopfzeile"/>
      <w:tabs>
        <w:tab w:val="clear" w:pos="4819"/>
        <w:tab w:val="right" w:pos="7088"/>
      </w:tabs>
      <w:rPr>
        <w:lang w:val="fr-FR"/>
      </w:rPr>
    </w:pPr>
  </w:p>
  <w:p w:rsidR="00AB2670" w:rsidRDefault="00AB2670">
    <w:pPr>
      <w:pStyle w:val="Kopfzeile"/>
      <w:tabs>
        <w:tab w:val="clear" w:pos="4819"/>
        <w:tab w:val="right" w:pos="7371"/>
      </w:tabs>
      <w:rPr>
        <w:lang w:val="fr-FR"/>
      </w:rPr>
    </w:pPr>
  </w:p>
  <w:p w:rsidR="00AB2670" w:rsidRDefault="00AB2670">
    <w:pPr>
      <w:pStyle w:val="Kopfzeile"/>
      <w:tabs>
        <w:tab w:val="clear" w:pos="4819"/>
        <w:tab w:val="right" w:pos="7371"/>
      </w:tabs>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132EC"/>
    <w:multiLevelType w:val="hybridMultilevel"/>
    <w:tmpl w:val="6D7802E4"/>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6C6B1459"/>
    <w:multiLevelType w:val="hybridMultilevel"/>
    <w:tmpl w:val="EBFE23A4"/>
    <w:lvl w:ilvl="0" w:tplc="F3F0F09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A13D99"/>
    <w:multiLevelType w:val="hybridMultilevel"/>
    <w:tmpl w:val="B3485A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printFractionalCharacterWidth/>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2EF"/>
    <w:rsid w:val="00010D33"/>
    <w:rsid w:val="000139D3"/>
    <w:rsid w:val="000222E2"/>
    <w:rsid w:val="00027849"/>
    <w:rsid w:val="00030C21"/>
    <w:rsid w:val="00031375"/>
    <w:rsid w:val="00040073"/>
    <w:rsid w:val="000421C1"/>
    <w:rsid w:val="000459C1"/>
    <w:rsid w:val="000660B2"/>
    <w:rsid w:val="00086245"/>
    <w:rsid w:val="00087C3F"/>
    <w:rsid w:val="0009031A"/>
    <w:rsid w:val="00090D20"/>
    <w:rsid w:val="00095E80"/>
    <w:rsid w:val="000A40FB"/>
    <w:rsid w:val="000A52E0"/>
    <w:rsid w:val="000B280F"/>
    <w:rsid w:val="000C62BB"/>
    <w:rsid w:val="000C6C3C"/>
    <w:rsid w:val="000D0E60"/>
    <w:rsid w:val="000D2035"/>
    <w:rsid w:val="000D2654"/>
    <w:rsid w:val="000D4E3D"/>
    <w:rsid w:val="000D7DBF"/>
    <w:rsid w:val="000E560A"/>
    <w:rsid w:val="000E6F4F"/>
    <w:rsid w:val="000F20FC"/>
    <w:rsid w:val="000F7466"/>
    <w:rsid w:val="001026C5"/>
    <w:rsid w:val="00106AFF"/>
    <w:rsid w:val="00125A5E"/>
    <w:rsid w:val="0013632E"/>
    <w:rsid w:val="00136B0F"/>
    <w:rsid w:val="00142C95"/>
    <w:rsid w:val="00145DF0"/>
    <w:rsid w:val="00154223"/>
    <w:rsid w:val="0015468E"/>
    <w:rsid w:val="00157CC9"/>
    <w:rsid w:val="0016749B"/>
    <w:rsid w:val="00173F05"/>
    <w:rsid w:val="00173F42"/>
    <w:rsid w:val="0017414C"/>
    <w:rsid w:val="00185575"/>
    <w:rsid w:val="00191F86"/>
    <w:rsid w:val="00196CAD"/>
    <w:rsid w:val="001A0BF7"/>
    <w:rsid w:val="001B05D1"/>
    <w:rsid w:val="001B0FCC"/>
    <w:rsid w:val="001C3580"/>
    <w:rsid w:val="001D588D"/>
    <w:rsid w:val="001D69B8"/>
    <w:rsid w:val="001E5D68"/>
    <w:rsid w:val="001E666D"/>
    <w:rsid w:val="001E7E41"/>
    <w:rsid w:val="001F14F7"/>
    <w:rsid w:val="001F30C1"/>
    <w:rsid w:val="001F4448"/>
    <w:rsid w:val="001F6FB0"/>
    <w:rsid w:val="00200D76"/>
    <w:rsid w:val="00210F3B"/>
    <w:rsid w:val="002116A9"/>
    <w:rsid w:val="00212743"/>
    <w:rsid w:val="002205EC"/>
    <w:rsid w:val="00223B1F"/>
    <w:rsid w:val="0022411F"/>
    <w:rsid w:val="002317CA"/>
    <w:rsid w:val="00234014"/>
    <w:rsid w:val="00234655"/>
    <w:rsid w:val="00234C63"/>
    <w:rsid w:val="00236039"/>
    <w:rsid w:val="002365E5"/>
    <w:rsid w:val="0024783F"/>
    <w:rsid w:val="00253444"/>
    <w:rsid w:val="002614C3"/>
    <w:rsid w:val="002643CC"/>
    <w:rsid w:val="00267D36"/>
    <w:rsid w:val="00271473"/>
    <w:rsid w:val="00272261"/>
    <w:rsid w:val="002732B6"/>
    <w:rsid w:val="002833DB"/>
    <w:rsid w:val="00293B6D"/>
    <w:rsid w:val="00294C97"/>
    <w:rsid w:val="00297CC1"/>
    <w:rsid w:val="002A0D27"/>
    <w:rsid w:val="002A1549"/>
    <w:rsid w:val="002A747B"/>
    <w:rsid w:val="002B1150"/>
    <w:rsid w:val="002B4AC8"/>
    <w:rsid w:val="002C1FFE"/>
    <w:rsid w:val="002C52FE"/>
    <w:rsid w:val="002D16A6"/>
    <w:rsid w:val="002D62AA"/>
    <w:rsid w:val="002E0181"/>
    <w:rsid w:val="002F3FD0"/>
    <w:rsid w:val="002F5636"/>
    <w:rsid w:val="003000A0"/>
    <w:rsid w:val="003070B7"/>
    <w:rsid w:val="0031081A"/>
    <w:rsid w:val="003222B6"/>
    <w:rsid w:val="003249B2"/>
    <w:rsid w:val="003356E9"/>
    <w:rsid w:val="00336F7C"/>
    <w:rsid w:val="00337B3E"/>
    <w:rsid w:val="00346011"/>
    <w:rsid w:val="00350AD4"/>
    <w:rsid w:val="00351C13"/>
    <w:rsid w:val="00362966"/>
    <w:rsid w:val="00363619"/>
    <w:rsid w:val="003640FD"/>
    <w:rsid w:val="003663C5"/>
    <w:rsid w:val="0037038E"/>
    <w:rsid w:val="003770DC"/>
    <w:rsid w:val="003825AD"/>
    <w:rsid w:val="00391D0B"/>
    <w:rsid w:val="00391E5B"/>
    <w:rsid w:val="003A7B18"/>
    <w:rsid w:val="003B1C39"/>
    <w:rsid w:val="003B3C38"/>
    <w:rsid w:val="003B54E6"/>
    <w:rsid w:val="003B617C"/>
    <w:rsid w:val="003B7CA3"/>
    <w:rsid w:val="003C5C47"/>
    <w:rsid w:val="003C7424"/>
    <w:rsid w:val="003C7BC2"/>
    <w:rsid w:val="003D563F"/>
    <w:rsid w:val="003F62EF"/>
    <w:rsid w:val="00416E63"/>
    <w:rsid w:val="0043185D"/>
    <w:rsid w:val="00431B9A"/>
    <w:rsid w:val="00432320"/>
    <w:rsid w:val="004433BE"/>
    <w:rsid w:val="00444DC3"/>
    <w:rsid w:val="00451C6D"/>
    <w:rsid w:val="004535AC"/>
    <w:rsid w:val="00476D80"/>
    <w:rsid w:val="004923D4"/>
    <w:rsid w:val="00495978"/>
    <w:rsid w:val="004A4DDE"/>
    <w:rsid w:val="004A5C39"/>
    <w:rsid w:val="004C0527"/>
    <w:rsid w:val="004E1DCB"/>
    <w:rsid w:val="004F755B"/>
    <w:rsid w:val="00500461"/>
    <w:rsid w:val="0050161A"/>
    <w:rsid w:val="00501B66"/>
    <w:rsid w:val="00505FBC"/>
    <w:rsid w:val="00507FB0"/>
    <w:rsid w:val="005138D1"/>
    <w:rsid w:val="00515A94"/>
    <w:rsid w:val="00523A58"/>
    <w:rsid w:val="005267A3"/>
    <w:rsid w:val="005365D3"/>
    <w:rsid w:val="00563404"/>
    <w:rsid w:val="005659AC"/>
    <w:rsid w:val="00566F76"/>
    <w:rsid w:val="00574A8A"/>
    <w:rsid w:val="005773FC"/>
    <w:rsid w:val="005920A0"/>
    <w:rsid w:val="005951A2"/>
    <w:rsid w:val="00597ACA"/>
    <w:rsid w:val="005A2A9C"/>
    <w:rsid w:val="005A34D1"/>
    <w:rsid w:val="005A3580"/>
    <w:rsid w:val="005A67AC"/>
    <w:rsid w:val="005B2818"/>
    <w:rsid w:val="005C254D"/>
    <w:rsid w:val="005C4BF2"/>
    <w:rsid w:val="005E217F"/>
    <w:rsid w:val="005E73E6"/>
    <w:rsid w:val="005F5CE4"/>
    <w:rsid w:val="0060621E"/>
    <w:rsid w:val="0061395D"/>
    <w:rsid w:val="0061471C"/>
    <w:rsid w:val="0062341D"/>
    <w:rsid w:val="0064373C"/>
    <w:rsid w:val="00646018"/>
    <w:rsid w:val="00663B0C"/>
    <w:rsid w:val="00680822"/>
    <w:rsid w:val="0068104F"/>
    <w:rsid w:val="006A3C33"/>
    <w:rsid w:val="006B5EA2"/>
    <w:rsid w:val="006C206B"/>
    <w:rsid w:val="006D1228"/>
    <w:rsid w:val="006D6209"/>
    <w:rsid w:val="006E0369"/>
    <w:rsid w:val="006E3B8B"/>
    <w:rsid w:val="006E6ACF"/>
    <w:rsid w:val="006E7245"/>
    <w:rsid w:val="006F17A4"/>
    <w:rsid w:val="00703CE6"/>
    <w:rsid w:val="00707B03"/>
    <w:rsid w:val="0071534C"/>
    <w:rsid w:val="00720174"/>
    <w:rsid w:val="00723AFE"/>
    <w:rsid w:val="00744000"/>
    <w:rsid w:val="00755E7B"/>
    <w:rsid w:val="00764FF1"/>
    <w:rsid w:val="00785396"/>
    <w:rsid w:val="00790336"/>
    <w:rsid w:val="00791ADD"/>
    <w:rsid w:val="00796D10"/>
    <w:rsid w:val="007A6C68"/>
    <w:rsid w:val="007B31E2"/>
    <w:rsid w:val="007C3C76"/>
    <w:rsid w:val="007D3E14"/>
    <w:rsid w:val="007E5F92"/>
    <w:rsid w:val="008037E0"/>
    <w:rsid w:val="008041C7"/>
    <w:rsid w:val="00804A24"/>
    <w:rsid w:val="00812829"/>
    <w:rsid w:val="008129A8"/>
    <w:rsid w:val="0082558A"/>
    <w:rsid w:val="00837C75"/>
    <w:rsid w:val="00850E6B"/>
    <w:rsid w:val="00854756"/>
    <w:rsid w:val="00861F67"/>
    <w:rsid w:val="00863146"/>
    <w:rsid w:val="00874484"/>
    <w:rsid w:val="008949A9"/>
    <w:rsid w:val="008A1F5A"/>
    <w:rsid w:val="008A5CB1"/>
    <w:rsid w:val="008C6356"/>
    <w:rsid w:val="008C7858"/>
    <w:rsid w:val="008D4D45"/>
    <w:rsid w:val="008D54EC"/>
    <w:rsid w:val="008D5588"/>
    <w:rsid w:val="008E46E6"/>
    <w:rsid w:val="008E50A1"/>
    <w:rsid w:val="008F3046"/>
    <w:rsid w:val="008F519E"/>
    <w:rsid w:val="008F62C2"/>
    <w:rsid w:val="009169DB"/>
    <w:rsid w:val="00917685"/>
    <w:rsid w:val="00926905"/>
    <w:rsid w:val="009330F6"/>
    <w:rsid w:val="009361D1"/>
    <w:rsid w:val="00944CB8"/>
    <w:rsid w:val="00954C49"/>
    <w:rsid w:val="009610B4"/>
    <w:rsid w:val="00961C77"/>
    <w:rsid w:val="00961CB2"/>
    <w:rsid w:val="009744CD"/>
    <w:rsid w:val="00980230"/>
    <w:rsid w:val="009847F5"/>
    <w:rsid w:val="00987951"/>
    <w:rsid w:val="00991EBF"/>
    <w:rsid w:val="0099696D"/>
    <w:rsid w:val="0099728E"/>
    <w:rsid w:val="009A02C4"/>
    <w:rsid w:val="009A58D7"/>
    <w:rsid w:val="009A5B9C"/>
    <w:rsid w:val="009B53FB"/>
    <w:rsid w:val="009C169E"/>
    <w:rsid w:val="009D2F9F"/>
    <w:rsid w:val="009D5305"/>
    <w:rsid w:val="009D5F43"/>
    <w:rsid w:val="009D77BE"/>
    <w:rsid w:val="009E3CF9"/>
    <w:rsid w:val="009E5728"/>
    <w:rsid w:val="009F1EC7"/>
    <w:rsid w:val="009F24C2"/>
    <w:rsid w:val="009F75AB"/>
    <w:rsid w:val="00A04750"/>
    <w:rsid w:val="00A12076"/>
    <w:rsid w:val="00A1615E"/>
    <w:rsid w:val="00A17FC3"/>
    <w:rsid w:val="00A24C8C"/>
    <w:rsid w:val="00A270C0"/>
    <w:rsid w:val="00A27420"/>
    <w:rsid w:val="00A45BAF"/>
    <w:rsid w:val="00A46A4B"/>
    <w:rsid w:val="00A57A4D"/>
    <w:rsid w:val="00A626F1"/>
    <w:rsid w:val="00A76172"/>
    <w:rsid w:val="00A82B02"/>
    <w:rsid w:val="00A84433"/>
    <w:rsid w:val="00A865B6"/>
    <w:rsid w:val="00AA08DD"/>
    <w:rsid w:val="00AA1D01"/>
    <w:rsid w:val="00AA2152"/>
    <w:rsid w:val="00AA724D"/>
    <w:rsid w:val="00AB2670"/>
    <w:rsid w:val="00AB4AF1"/>
    <w:rsid w:val="00AC0569"/>
    <w:rsid w:val="00AC3320"/>
    <w:rsid w:val="00AD5E3C"/>
    <w:rsid w:val="00AD786F"/>
    <w:rsid w:val="00AE7ADB"/>
    <w:rsid w:val="00AF1E87"/>
    <w:rsid w:val="00AF4BCC"/>
    <w:rsid w:val="00B0134B"/>
    <w:rsid w:val="00B01E0D"/>
    <w:rsid w:val="00B072A8"/>
    <w:rsid w:val="00B14E85"/>
    <w:rsid w:val="00B1564A"/>
    <w:rsid w:val="00B168ED"/>
    <w:rsid w:val="00B26828"/>
    <w:rsid w:val="00B30D2B"/>
    <w:rsid w:val="00B31515"/>
    <w:rsid w:val="00B643A9"/>
    <w:rsid w:val="00B643E9"/>
    <w:rsid w:val="00B72512"/>
    <w:rsid w:val="00B8544E"/>
    <w:rsid w:val="00B87418"/>
    <w:rsid w:val="00B91BEA"/>
    <w:rsid w:val="00B957A3"/>
    <w:rsid w:val="00B95D52"/>
    <w:rsid w:val="00B96F83"/>
    <w:rsid w:val="00BA447A"/>
    <w:rsid w:val="00BB0A84"/>
    <w:rsid w:val="00BB71DA"/>
    <w:rsid w:val="00BC419D"/>
    <w:rsid w:val="00BD6CBA"/>
    <w:rsid w:val="00C035FC"/>
    <w:rsid w:val="00C03B4A"/>
    <w:rsid w:val="00C0410D"/>
    <w:rsid w:val="00C061DD"/>
    <w:rsid w:val="00C27067"/>
    <w:rsid w:val="00C336F4"/>
    <w:rsid w:val="00C477A3"/>
    <w:rsid w:val="00C51056"/>
    <w:rsid w:val="00C52C7D"/>
    <w:rsid w:val="00C55198"/>
    <w:rsid w:val="00C62D77"/>
    <w:rsid w:val="00C64CEC"/>
    <w:rsid w:val="00C65D84"/>
    <w:rsid w:val="00C702A5"/>
    <w:rsid w:val="00C740DD"/>
    <w:rsid w:val="00C90996"/>
    <w:rsid w:val="00CA20BA"/>
    <w:rsid w:val="00CB080F"/>
    <w:rsid w:val="00CB3238"/>
    <w:rsid w:val="00CB3386"/>
    <w:rsid w:val="00CC3364"/>
    <w:rsid w:val="00CC56C2"/>
    <w:rsid w:val="00CD2BB3"/>
    <w:rsid w:val="00CD30EC"/>
    <w:rsid w:val="00CE3A6A"/>
    <w:rsid w:val="00CE69CC"/>
    <w:rsid w:val="00CF28AA"/>
    <w:rsid w:val="00CF6474"/>
    <w:rsid w:val="00CF759C"/>
    <w:rsid w:val="00D01111"/>
    <w:rsid w:val="00D018C3"/>
    <w:rsid w:val="00D0281F"/>
    <w:rsid w:val="00D13919"/>
    <w:rsid w:val="00D17F44"/>
    <w:rsid w:val="00D33694"/>
    <w:rsid w:val="00D342FA"/>
    <w:rsid w:val="00D464D6"/>
    <w:rsid w:val="00D769C7"/>
    <w:rsid w:val="00D92C6B"/>
    <w:rsid w:val="00D9417D"/>
    <w:rsid w:val="00D97166"/>
    <w:rsid w:val="00DA7614"/>
    <w:rsid w:val="00DB5AD2"/>
    <w:rsid w:val="00DC1FFF"/>
    <w:rsid w:val="00DC2E1D"/>
    <w:rsid w:val="00DC4D11"/>
    <w:rsid w:val="00DD05AA"/>
    <w:rsid w:val="00DD0AD6"/>
    <w:rsid w:val="00DD3AEF"/>
    <w:rsid w:val="00DD44AB"/>
    <w:rsid w:val="00DE165C"/>
    <w:rsid w:val="00DE29F7"/>
    <w:rsid w:val="00DF0563"/>
    <w:rsid w:val="00DF18E6"/>
    <w:rsid w:val="00DF1926"/>
    <w:rsid w:val="00DF5272"/>
    <w:rsid w:val="00DF6C4B"/>
    <w:rsid w:val="00E06161"/>
    <w:rsid w:val="00E2005C"/>
    <w:rsid w:val="00E21164"/>
    <w:rsid w:val="00E25561"/>
    <w:rsid w:val="00E312AE"/>
    <w:rsid w:val="00E31DDE"/>
    <w:rsid w:val="00E32D8B"/>
    <w:rsid w:val="00E4244E"/>
    <w:rsid w:val="00E43174"/>
    <w:rsid w:val="00E5643E"/>
    <w:rsid w:val="00E6705F"/>
    <w:rsid w:val="00E75244"/>
    <w:rsid w:val="00E77E0D"/>
    <w:rsid w:val="00E918E6"/>
    <w:rsid w:val="00E92030"/>
    <w:rsid w:val="00E921F4"/>
    <w:rsid w:val="00EA1511"/>
    <w:rsid w:val="00EA46F0"/>
    <w:rsid w:val="00EA7549"/>
    <w:rsid w:val="00EB11DF"/>
    <w:rsid w:val="00EB4E6B"/>
    <w:rsid w:val="00ED6106"/>
    <w:rsid w:val="00EE0973"/>
    <w:rsid w:val="00EE649C"/>
    <w:rsid w:val="00EF5DFB"/>
    <w:rsid w:val="00F00813"/>
    <w:rsid w:val="00F0550B"/>
    <w:rsid w:val="00F10B0A"/>
    <w:rsid w:val="00F20FDF"/>
    <w:rsid w:val="00F23C12"/>
    <w:rsid w:val="00F23D1B"/>
    <w:rsid w:val="00F26B81"/>
    <w:rsid w:val="00F26C1E"/>
    <w:rsid w:val="00F40C6E"/>
    <w:rsid w:val="00F52A9D"/>
    <w:rsid w:val="00F53B68"/>
    <w:rsid w:val="00F60CEE"/>
    <w:rsid w:val="00F87EC9"/>
    <w:rsid w:val="00F90ECF"/>
    <w:rsid w:val="00F934C4"/>
    <w:rsid w:val="00F976D4"/>
    <w:rsid w:val="00FA29F8"/>
    <w:rsid w:val="00FA3229"/>
    <w:rsid w:val="00FB25ED"/>
    <w:rsid w:val="00FB60A7"/>
    <w:rsid w:val="00FC4C6B"/>
    <w:rsid w:val="00FD4213"/>
    <w:rsid w:val="00FF68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b/>
      <w:bCs/>
      <w:sz w:val="42"/>
    </w:rPr>
  </w:style>
  <w:style w:type="paragraph" w:styleId="berschrift3">
    <w:name w:val="heading 3"/>
    <w:basedOn w:val="Standard"/>
    <w:next w:val="Standard"/>
    <w:link w:val="berschrift3Zchn"/>
    <w:semiHidden/>
    <w:unhideWhenUsed/>
    <w:qFormat/>
    <w:rsid w:val="00337B3E"/>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qFormat/>
    <w:pPr>
      <w:keepNext/>
      <w:ind w:right="432"/>
      <w:outlineLvl w:val="3"/>
    </w:pPr>
    <w:rPr>
      <w:rFonts w:ascii="Times New Roman" w:hAnsi="Times New Roman"/>
      <w:b/>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819"/>
        <w:tab w:val="right" w:pos="9071"/>
      </w:tabs>
    </w:pPr>
    <w:rPr>
      <w:sz w:val="20"/>
    </w:rPr>
  </w:style>
  <w:style w:type="paragraph" w:styleId="Kopfzeile">
    <w:name w:val="header"/>
    <w:basedOn w:val="Standard"/>
    <w:pPr>
      <w:tabs>
        <w:tab w:val="center" w:pos="4819"/>
        <w:tab w:val="right" w:pos="9071"/>
      </w:tabs>
    </w:pPr>
    <w:rPr>
      <w:sz w:val="20"/>
    </w:rPr>
  </w:style>
  <w:style w:type="paragraph" w:customStyle="1" w:styleId="berschrift">
    <w:name w:val="Überschrift"/>
    <w:basedOn w:val="Standard"/>
    <w:pPr>
      <w:spacing w:after="240"/>
      <w:jc w:val="center"/>
    </w:pPr>
    <w:rPr>
      <w:b/>
      <w:sz w:val="28"/>
      <w:u w:val="single"/>
    </w:rPr>
  </w:style>
  <w:style w:type="character" w:styleId="Kommentarzeichen">
    <w:name w:val="annotation reference"/>
    <w:semiHidden/>
    <w:rPr>
      <w:rFonts w:ascii="Arial" w:hAnsi="Arial"/>
      <w:sz w:val="16"/>
    </w:rPr>
  </w:style>
  <w:style w:type="paragraph" w:styleId="Abbildungsverzeichnis">
    <w:name w:val="table of figures"/>
    <w:basedOn w:val="Standard"/>
    <w:next w:val="Standard"/>
    <w:semiHidden/>
    <w:pPr>
      <w:ind w:left="480" w:hanging="480"/>
    </w:pPr>
  </w:style>
  <w:style w:type="paragraph" w:styleId="Kommentartext">
    <w:name w:val="annotation text"/>
    <w:basedOn w:val="Standard"/>
    <w:link w:val="KommentartextZchn"/>
    <w:semiHidden/>
  </w:style>
  <w:style w:type="paragraph" w:customStyle="1" w:styleId="Pressetext">
    <w:name w:val="Pressetext"/>
    <w:basedOn w:val="Standard"/>
    <w:rsid w:val="00505FBC"/>
    <w:pPr>
      <w:spacing w:line="360" w:lineRule="exact"/>
    </w:pPr>
  </w:style>
  <w:style w:type="character" w:styleId="Hyperlink">
    <w:name w:val="Hyperlink"/>
    <w:rPr>
      <w:color w:val="0000FF"/>
      <w:u w:val="single"/>
    </w:rPr>
  </w:style>
  <w:style w:type="paragraph" w:customStyle="1" w:styleId="Box">
    <w:name w:val="Box"/>
    <w:basedOn w:val="Pressetext"/>
    <w:rsid w:val="00505FBC"/>
    <w:rPr>
      <w:sz w:val="20"/>
    </w:rPr>
  </w:style>
  <w:style w:type="paragraph" w:styleId="StandardWeb">
    <w:name w:val="Normal (Web)"/>
    <w:basedOn w:val="Standard"/>
    <w:rsid w:val="00C65D84"/>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253444"/>
    <w:pPr>
      <w:ind w:left="720"/>
      <w:contextualSpacing/>
    </w:pPr>
  </w:style>
  <w:style w:type="character" w:customStyle="1" w:styleId="berschrift3Zchn">
    <w:name w:val="Überschrift 3 Zchn"/>
    <w:basedOn w:val="Absatz-Standardschriftart"/>
    <w:link w:val="berschrift3"/>
    <w:semiHidden/>
    <w:rsid w:val="00337B3E"/>
    <w:rPr>
      <w:rFonts w:asciiTheme="majorHAnsi" w:eastAsiaTheme="majorEastAsia" w:hAnsiTheme="majorHAnsi" w:cstheme="majorBidi"/>
      <w:b/>
      <w:bCs/>
      <w:color w:val="4F81BD" w:themeColor="accent1"/>
      <w:sz w:val="22"/>
    </w:rPr>
  </w:style>
  <w:style w:type="character" w:customStyle="1" w:styleId="KommentartextZchn">
    <w:name w:val="Kommentartext Zchn"/>
    <w:basedOn w:val="Absatz-Standardschriftart"/>
    <w:link w:val="Kommentartext"/>
    <w:semiHidden/>
    <w:rsid w:val="00CD30EC"/>
    <w:rPr>
      <w:rFonts w:ascii="Arial" w:hAnsi="Arial"/>
      <w:sz w:val="22"/>
    </w:rPr>
  </w:style>
  <w:style w:type="paragraph" w:styleId="Sprechblasentext">
    <w:name w:val="Balloon Text"/>
    <w:basedOn w:val="Standard"/>
    <w:link w:val="SprechblasentextZchn"/>
    <w:rsid w:val="00CD30EC"/>
    <w:rPr>
      <w:rFonts w:ascii="Tahoma" w:hAnsi="Tahoma" w:cs="Tahoma"/>
      <w:sz w:val="16"/>
      <w:szCs w:val="16"/>
    </w:rPr>
  </w:style>
  <w:style w:type="character" w:customStyle="1" w:styleId="SprechblasentextZchn">
    <w:name w:val="Sprechblasentext Zchn"/>
    <w:basedOn w:val="Absatz-Standardschriftart"/>
    <w:link w:val="Sprechblasentext"/>
    <w:rsid w:val="00CD30EC"/>
    <w:rPr>
      <w:rFonts w:ascii="Tahoma" w:hAnsi="Tahoma" w:cs="Tahoma"/>
      <w:sz w:val="16"/>
      <w:szCs w:val="16"/>
    </w:rPr>
  </w:style>
  <w:style w:type="character" w:styleId="BesuchterHyperlink">
    <w:name w:val="FollowedHyperlink"/>
    <w:basedOn w:val="Absatz-Standardschriftart"/>
    <w:rsid w:val="00451C6D"/>
    <w:rPr>
      <w:color w:val="800080" w:themeColor="followedHyperlink"/>
      <w:u w:val="single"/>
    </w:rPr>
  </w:style>
  <w:style w:type="paragraph" w:styleId="Kommentarthema">
    <w:name w:val="annotation subject"/>
    <w:basedOn w:val="Kommentartext"/>
    <w:next w:val="Kommentartext"/>
    <w:link w:val="KommentarthemaZchn"/>
    <w:rsid w:val="00451C6D"/>
    <w:rPr>
      <w:b/>
      <w:bCs/>
      <w:sz w:val="20"/>
    </w:rPr>
  </w:style>
  <w:style w:type="character" w:customStyle="1" w:styleId="KommentarthemaZchn">
    <w:name w:val="Kommentarthema Zchn"/>
    <w:basedOn w:val="KommentartextZchn"/>
    <w:link w:val="Kommentarthema"/>
    <w:rsid w:val="00451C6D"/>
    <w:rPr>
      <w:rFonts w:ascii="Arial" w:hAnsi="Arial"/>
      <w:b/>
      <w:bC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b/>
      <w:bCs/>
      <w:sz w:val="42"/>
    </w:rPr>
  </w:style>
  <w:style w:type="paragraph" w:styleId="berschrift3">
    <w:name w:val="heading 3"/>
    <w:basedOn w:val="Standard"/>
    <w:next w:val="Standard"/>
    <w:link w:val="berschrift3Zchn"/>
    <w:semiHidden/>
    <w:unhideWhenUsed/>
    <w:qFormat/>
    <w:rsid w:val="00337B3E"/>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qFormat/>
    <w:pPr>
      <w:keepNext/>
      <w:ind w:right="432"/>
      <w:outlineLvl w:val="3"/>
    </w:pPr>
    <w:rPr>
      <w:rFonts w:ascii="Times New Roman" w:hAnsi="Times New Roman"/>
      <w:b/>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819"/>
        <w:tab w:val="right" w:pos="9071"/>
      </w:tabs>
    </w:pPr>
    <w:rPr>
      <w:sz w:val="20"/>
    </w:rPr>
  </w:style>
  <w:style w:type="paragraph" w:styleId="Kopfzeile">
    <w:name w:val="header"/>
    <w:basedOn w:val="Standard"/>
    <w:pPr>
      <w:tabs>
        <w:tab w:val="center" w:pos="4819"/>
        <w:tab w:val="right" w:pos="9071"/>
      </w:tabs>
    </w:pPr>
    <w:rPr>
      <w:sz w:val="20"/>
    </w:rPr>
  </w:style>
  <w:style w:type="paragraph" w:customStyle="1" w:styleId="berschrift">
    <w:name w:val="Überschrift"/>
    <w:basedOn w:val="Standard"/>
    <w:pPr>
      <w:spacing w:after="240"/>
      <w:jc w:val="center"/>
    </w:pPr>
    <w:rPr>
      <w:b/>
      <w:sz w:val="28"/>
      <w:u w:val="single"/>
    </w:rPr>
  </w:style>
  <w:style w:type="character" w:styleId="Kommentarzeichen">
    <w:name w:val="annotation reference"/>
    <w:semiHidden/>
    <w:rPr>
      <w:rFonts w:ascii="Arial" w:hAnsi="Arial"/>
      <w:sz w:val="16"/>
    </w:rPr>
  </w:style>
  <w:style w:type="paragraph" w:styleId="Abbildungsverzeichnis">
    <w:name w:val="table of figures"/>
    <w:basedOn w:val="Standard"/>
    <w:next w:val="Standard"/>
    <w:semiHidden/>
    <w:pPr>
      <w:ind w:left="480" w:hanging="480"/>
    </w:pPr>
  </w:style>
  <w:style w:type="paragraph" w:styleId="Kommentartext">
    <w:name w:val="annotation text"/>
    <w:basedOn w:val="Standard"/>
    <w:link w:val="KommentartextZchn"/>
    <w:semiHidden/>
  </w:style>
  <w:style w:type="paragraph" w:customStyle="1" w:styleId="Pressetext">
    <w:name w:val="Pressetext"/>
    <w:basedOn w:val="Standard"/>
    <w:rsid w:val="00505FBC"/>
    <w:pPr>
      <w:spacing w:line="360" w:lineRule="exact"/>
    </w:pPr>
  </w:style>
  <w:style w:type="character" w:styleId="Hyperlink">
    <w:name w:val="Hyperlink"/>
    <w:rPr>
      <w:color w:val="0000FF"/>
      <w:u w:val="single"/>
    </w:rPr>
  </w:style>
  <w:style w:type="paragraph" w:customStyle="1" w:styleId="Box">
    <w:name w:val="Box"/>
    <w:basedOn w:val="Pressetext"/>
    <w:rsid w:val="00505FBC"/>
    <w:rPr>
      <w:sz w:val="20"/>
    </w:rPr>
  </w:style>
  <w:style w:type="paragraph" w:styleId="StandardWeb">
    <w:name w:val="Normal (Web)"/>
    <w:basedOn w:val="Standard"/>
    <w:rsid w:val="00C65D84"/>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253444"/>
    <w:pPr>
      <w:ind w:left="720"/>
      <w:contextualSpacing/>
    </w:pPr>
  </w:style>
  <w:style w:type="character" w:customStyle="1" w:styleId="berschrift3Zchn">
    <w:name w:val="Überschrift 3 Zchn"/>
    <w:basedOn w:val="Absatz-Standardschriftart"/>
    <w:link w:val="berschrift3"/>
    <w:semiHidden/>
    <w:rsid w:val="00337B3E"/>
    <w:rPr>
      <w:rFonts w:asciiTheme="majorHAnsi" w:eastAsiaTheme="majorEastAsia" w:hAnsiTheme="majorHAnsi" w:cstheme="majorBidi"/>
      <w:b/>
      <w:bCs/>
      <w:color w:val="4F81BD" w:themeColor="accent1"/>
      <w:sz w:val="22"/>
    </w:rPr>
  </w:style>
  <w:style w:type="character" w:customStyle="1" w:styleId="KommentartextZchn">
    <w:name w:val="Kommentartext Zchn"/>
    <w:basedOn w:val="Absatz-Standardschriftart"/>
    <w:link w:val="Kommentartext"/>
    <w:semiHidden/>
    <w:rsid w:val="00CD30EC"/>
    <w:rPr>
      <w:rFonts w:ascii="Arial" w:hAnsi="Arial"/>
      <w:sz w:val="22"/>
    </w:rPr>
  </w:style>
  <w:style w:type="paragraph" w:styleId="Sprechblasentext">
    <w:name w:val="Balloon Text"/>
    <w:basedOn w:val="Standard"/>
    <w:link w:val="SprechblasentextZchn"/>
    <w:rsid w:val="00CD30EC"/>
    <w:rPr>
      <w:rFonts w:ascii="Tahoma" w:hAnsi="Tahoma" w:cs="Tahoma"/>
      <w:sz w:val="16"/>
      <w:szCs w:val="16"/>
    </w:rPr>
  </w:style>
  <w:style w:type="character" w:customStyle="1" w:styleId="SprechblasentextZchn">
    <w:name w:val="Sprechblasentext Zchn"/>
    <w:basedOn w:val="Absatz-Standardschriftart"/>
    <w:link w:val="Sprechblasentext"/>
    <w:rsid w:val="00CD30EC"/>
    <w:rPr>
      <w:rFonts w:ascii="Tahoma" w:hAnsi="Tahoma" w:cs="Tahoma"/>
      <w:sz w:val="16"/>
      <w:szCs w:val="16"/>
    </w:rPr>
  </w:style>
  <w:style w:type="character" w:styleId="BesuchterHyperlink">
    <w:name w:val="FollowedHyperlink"/>
    <w:basedOn w:val="Absatz-Standardschriftart"/>
    <w:rsid w:val="00451C6D"/>
    <w:rPr>
      <w:color w:val="800080" w:themeColor="followedHyperlink"/>
      <w:u w:val="single"/>
    </w:rPr>
  </w:style>
  <w:style w:type="paragraph" w:styleId="Kommentarthema">
    <w:name w:val="annotation subject"/>
    <w:basedOn w:val="Kommentartext"/>
    <w:next w:val="Kommentartext"/>
    <w:link w:val="KommentarthemaZchn"/>
    <w:rsid w:val="00451C6D"/>
    <w:rPr>
      <w:b/>
      <w:bCs/>
      <w:sz w:val="20"/>
    </w:rPr>
  </w:style>
  <w:style w:type="character" w:customStyle="1" w:styleId="KommentarthemaZchn">
    <w:name w:val="Kommentarthema Zchn"/>
    <w:basedOn w:val="KommentartextZchn"/>
    <w:link w:val="Kommentarthema"/>
    <w:rsid w:val="00451C6D"/>
    <w:rPr>
      <w:rFonts w:ascii="Arial" w:hAnsi="Arial"/>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605637">
      <w:bodyDiv w:val="1"/>
      <w:marLeft w:val="0"/>
      <w:marRight w:val="0"/>
      <w:marTop w:val="0"/>
      <w:marBottom w:val="0"/>
      <w:divBdr>
        <w:top w:val="none" w:sz="0" w:space="0" w:color="auto"/>
        <w:left w:val="none" w:sz="0" w:space="0" w:color="auto"/>
        <w:bottom w:val="none" w:sz="0" w:space="0" w:color="auto"/>
        <w:right w:val="none" w:sz="0" w:space="0" w:color="auto"/>
      </w:divBdr>
      <w:divsChild>
        <w:div w:id="104471401">
          <w:marLeft w:val="0"/>
          <w:marRight w:val="0"/>
          <w:marTop w:val="0"/>
          <w:marBottom w:val="0"/>
          <w:divBdr>
            <w:top w:val="none" w:sz="0" w:space="0" w:color="auto"/>
            <w:left w:val="none" w:sz="0" w:space="0" w:color="auto"/>
            <w:bottom w:val="none" w:sz="0" w:space="0" w:color="auto"/>
            <w:right w:val="none" w:sz="0" w:space="0" w:color="auto"/>
          </w:divBdr>
          <w:divsChild>
            <w:div w:id="24915474">
              <w:marLeft w:val="0"/>
              <w:marRight w:val="0"/>
              <w:marTop w:val="0"/>
              <w:marBottom w:val="0"/>
              <w:divBdr>
                <w:top w:val="none" w:sz="0" w:space="0" w:color="auto"/>
                <w:left w:val="none" w:sz="0" w:space="0" w:color="auto"/>
                <w:bottom w:val="none" w:sz="0" w:space="0" w:color="auto"/>
                <w:right w:val="none" w:sz="0" w:space="0" w:color="auto"/>
              </w:divBdr>
              <w:divsChild>
                <w:div w:id="494876490">
                  <w:marLeft w:val="0"/>
                  <w:marRight w:val="0"/>
                  <w:marTop w:val="0"/>
                  <w:marBottom w:val="0"/>
                  <w:divBdr>
                    <w:top w:val="none" w:sz="0" w:space="0" w:color="auto"/>
                    <w:left w:val="none" w:sz="0" w:space="0" w:color="auto"/>
                    <w:bottom w:val="none" w:sz="0" w:space="0" w:color="auto"/>
                    <w:right w:val="none" w:sz="0" w:space="0" w:color="auto"/>
                  </w:divBdr>
                </w:div>
                <w:div w:id="98280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500172">
      <w:bodyDiv w:val="1"/>
      <w:marLeft w:val="0"/>
      <w:marRight w:val="0"/>
      <w:marTop w:val="0"/>
      <w:marBottom w:val="0"/>
      <w:divBdr>
        <w:top w:val="none" w:sz="0" w:space="0" w:color="auto"/>
        <w:left w:val="none" w:sz="0" w:space="0" w:color="auto"/>
        <w:bottom w:val="none" w:sz="0" w:space="0" w:color="auto"/>
        <w:right w:val="none" w:sz="0" w:space="0" w:color="auto"/>
      </w:divBdr>
      <w:divsChild>
        <w:div w:id="893539848">
          <w:marLeft w:val="0"/>
          <w:marRight w:val="0"/>
          <w:marTop w:val="0"/>
          <w:marBottom w:val="0"/>
          <w:divBdr>
            <w:top w:val="none" w:sz="0" w:space="0" w:color="auto"/>
            <w:left w:val="none" w:sz="0" w:space="0" w:color="auto"/>
            <w:bottom w:val="none" w:sz="0" w:space="0" w:color="auto"/>
            <w:right w:val="none" w:sz="0" w:space="0" w:color="auto"/>
          </w:divBdr>
          <w:divsChild>
            <w:div w:id="115949087">
              <w:marLeft w:val="0"/>
              <w:marRight w:val="0"/>
              <w:marTop w:val="0"/>
              <w:marBottom w:val="0"/>
              <w:divBdr>
                <w:top w:val="none" w:sz="0" w:space="0" w:color="auto"/>
                <w:left w:val="none" w:sz="0" w:space="0" w:color="auto"/>
                <w:bottom w:val="none" w:sz="0" w:space="0" w:color="auto"/>
                <w:right w:val="none" w:sz="0" w:space="0" w:color="auto"/>
              </w:divBdr>
              <w:divsChild>
                <w:div w:id="123084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794372">
      <w:bodyDiv w:val="1"/>
      <w:marLeft w:val="0"/>
      <w:marRight w:val="0"/>
      <w:marTop w:val="0"/>
      <w:marBottom w:val="0"/>
      <w:divBdr>
        <w:top w:val="none" w:sz="0" w:space="0" w:color="auto"/>
        <w:left w:val="none" w:sz="0" w:space="0" w:color="auto"/>
        <w:bottom w:val="none" w:sz="0" w:space="0" w:color="auto"/>
        <w:right w:val="none" w:sz="0" w:space="0" w:color="auto"/>
      </w:divBdr>
    </w:div>
    <w:div w:id="631596672">
      <w:bodyDiv w:val="1"/>
      <w:marLeft w:val="0"/>
      <w:marRight w:val="0"/>
      <w:marTop w:val="0"/>
      <w:marBottom w:val="0"/>
      <w:divBdr>
        <w:top w:val="none" w:sz="0" w:space="0" w:color="auto"/>
        <w:left w:val="none" w:sz="0" w:space="0" w:color="auto"/>
        <w:bottom w:val="none" w:sz="0" w:space="0" w:color="auto"/>
        <w:right w:val="none" w:sz="0" w:space="0" w:color="auto"/>
      </w:divBdr>
      <w:divsChild>
        <w:div w:id="1573000791">
          <w:marLeft w:val="0"/>
          <w:marRight w:val="0"/>
          <w:marTop w:val="0"/>
          <w:marBottom w:val="0"/>
          <w:divBdr>
            <w:top w:val="none" w:sz="0" w:space="0" w:color="auto"/>
            <w:left w:val="none" w:sz="0" w:space="0" w:color="auto"/>
            <w:bottom w:val="none" w:sz="0" w:space="0" w:color="auto"/>
            <w:right w:val="none" w:sz="0" w:space="0" w:color="auto"/>
          </w:divBdr>
          <w:divsChild>
            <w:div w:id="245963166">
              <w:marLeft w:val="0"/>
              <w:marRight w:val="0"/>
              <w:marTop w:val="0"/>
              <w:marBottom w:val="0"/>
              <w:divBdr>
                <w:top w:val="none" w:sz="0" w:space="0" w:color="auto"/>
                <w:left w:val="none" w:sz="0" w:space="0" w:color="auto"/>
                <w:bottom w:val="none" w:sz="0" w:space="0" w:color="auto"/>
                <w:right w:val="none" w:sz="0" w:space="0" w:color="auto"/>
              </w:divBdr>
              <w:divsChild>
                <w:div w:id="14065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386278">
      <w:bodyDiv w:val="1"/>
      <w:marLeft w:val="0"/>
      <w:marRight w:val="0"/>
      <w:marTop w:val="0"/>
      <w:marBottom w:val="0"/>
      <w:divBdr>
        <w:top w:val="none" w:sz="0" w:space="0" w:color="auto"/>
        <w:left w:val="none" w:sz="0" w:space="0" w:color="auto"/>
        <w:bottom w:val="none" w:sz="0" w:space="0" w:color="auto"/>
        <w:right w:val="none" w:sz="0" w:space="0" w:color="auto"/>
      </w:divBdr>
    </w:div>
    <w:div w:id="772674786">
      <w:bodyDiv w:val="1"/>
      <w:marLeft w:val="0"/>
      <w:marRight w:val="0"/>
      <w:marTop w:val="0"/>
      <w:marBottom w:val="0"/>
      <w:divBdr>
        <w:top w:val="none" w:sz="0" w:space="0" w:color="auto"/>
        <w:left w:val="none" w:sz="0" w:space="0" w:color="auto"/>
        <w:bottom w:val="none" w:sz="0" w:space="0" w:color="auto"/>
        <w:right w:val="none" w:sz="0" w:space="0" w:color="auto"/>
      </w:divBdr>
      <w:divsChild>
        <w:div w:id="1206525168">
          <w:marLeft w:val="0"/>
          <w:marRight w:val="0"/>
          <w:marTop w:val="0"/>
          <w:marBottom w:val="0"/>
          <w:divBdr>
            <w:top w:val="none" w:sz="0" w:space="0" w:color="auto"/>
            <w:left w:val="none" w:sz="0" w:space="0" w:color="auto"/>
            <w:bottom w:val="none" w:sz="0" w:space="0" w:color="auto"/>
            <w:right w:val="none" w:sz="0" w:space="0" w:color="auto"/>
          </w:divBdr>
          <w:divsChild>
            <w:div w:id="719020481">
              <w:marLeft w:val="0"/>
              <w:marRight w:val="0"/>
              <w:marTop w:val="0"/>
              <w:marBottom w:val="0"/>
              <w:divBdr>
                <w:top w:val="none" w:sz="0" w:space="0" w:color="auto"/>
                <w:left w:val="none" w:sz="0" w:space="0" w:color="auto"/>
                <w:bottom w:val="none" w:sz="0" w:space="0" w:color="auto"/>
                <w:right w:val="none" w:sz="0" w:space="0" w:color="auto"/>
              </w:divBdr>
              <w:divsChild>
                <w:div w:id="167618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93035">
      <w:bodyDiv w:val="1"/>
      <w:marLeft w:val="0"/>
      <w:marRight w:val="0"/>
      <w:marTop w:val="0"/>
      <w:marBottom w:val="0"/>
      <w:divBdr>
        <w:top w:val="none" w:sz="0" w:space="0" w:color="auto"/>
        <w:left w:val="none" w:sz="0" w:space="0" w:color="auto"/>
        <w:bottom w:val="none" w:sz="0" w:space="0" w:color="auto"/>
        <w:right w:val="none" w:sz="0" w:space="0" w:color="auto"/>
      </w:divBdr>
      <w:divsChild>
        <w:div w:id="1980454492">
          <w:marLeft w:val="0"/>
          <w:marRight w:val="0"/>
          <w:marTop w:val="0"/>
          <w:marBottom w:val="0"/>
          <w:divBdr>
            <w:top w:val="none" w:sz="0" w:space="0" w:color="auto"/>
            <w:left w:val="none" w:sz="0" w:space="0" w:color="auto"/>
            <w:bottom w:val="none" w:sz="0" w:space="0" w:color="auto"/>
            <w:right w:val="none" w:sz="0" w:space="0" w:color="auto"/>
          </w:divBdr>
          <w:divsChild>
            <w:div w:id="1711227111">
              <w:marLeft w:val="0"/>
              <w:marRight w:val="0"/>
              <w:marTop w:val="0"/>
              <w:marBottom w:val="0"/>
              <w:divBdr>
                <w:top w:val="none" w:sz="0" w:space="0" w:color="auto"/>
                <w:left w:val="none" w:sz="0" w:space="0" w:color="auto"/>
                <w:bottom w:val="none" w:sz="0" w:space="0" w:color="auto"/>
                <w:right w:val="none" w:sz="0" w:space="0" w:color="auto"/>
              </w:divBdr>
              <w:divsChild>
                <w:div w:id="17492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635122">
      <w:bodyDiv w:val="1"/>
      <w:marLeft w:val="0"/>
      <w:marRight w:val="0"/>
      <w:marTop w:val="0"/>
      <w:marBottom w:val="0"/>
      <w:divBdr>
        <w:top w:val="none" w:sz="0" w:space="0" w:color="auto"/>
        <w:left w:val="none" w:sz="0" w:space="0" w:color="auto"/>
        <w:bottom w:val="none" w:sz="0" w:space="0" w:color="auto"/>
        <w:right w:val="none" w:sz="0" w:space="0" w:color="auto"/>
      </w:divBdr>
    </w:div>
    <w:div w:id="1179662468">
      <w:bodyDiv w:val="1"/>
      <w:marLeft w:val="0"/>
      <w:marRight w:val="0"/>
      <w:marTop w:val="0"/>
      <w:marBottom w:val="0"/>
      <w:divBdr>
        <w:top w:val="none" w:sz="0" w:space="0" w:color="auto"/>
        <w:left w:val="none" w:sz="0" w:space="0" w:color="auto"/>
        <w:bottom w:val="none" w:sz="0" w:space="0" w:color="auto"/>
        <w:right w:val="none" w:sz="0" w:space="0" w:color="auto"/>
      </w:divBdr>
    </w:div>
    <w:div w:id="1385182268">
      <w:bodyDiv w:val="1"/>
      <w:marLeft w:val="0"/>
      <w:marRight w:val="0"/>
      <w:marTop w:val="0"/>
      <w:marBottom w:val="0"/>
      <w:divBdr>
        <w:top w:val="none" w:sz="0" w:space="0" w:color="auto"/>
        <w:left w:val="none" w:sz="0" w:space="0" w:color="auto"/>
        <w:bottom w:val="none" w:sz="0" w:space="0" w:color="auto"/>
        <w:right w:val="none" w:sz="0" w:space="0" w:color="auto"/>
      </w:divBdr>
      <w:divsChild>
        <w:div w:id="76294135">
          <w:marLeft w:val="0"/>
          <w:marRight w:val="0"/>
          <w:marTop w:val="0"/>
          <w:marBottom w:val="0"/>
          <w:divBdr>
            <w:top w:val="none" w:sz="0" w:space="0" w:color="auto"/>
            <w:left w:val="none" w:sz="0" w:space="0" w:color="auto"/>
            <w:bottom w:val="none" w:sz="0" w:space="0" w:color="auto"/>
            <w:right w:val="none" w:sz="0" w:space="0" w:color="auto"/>
          </w:divBdr>
          <w:divsChild>
            <w:div w:id="1973555651">
              <w:marLeft w:val="0"/>
              <w:marRight w:val="0"/>
              <w:marTop w:val="0"/>
              <w:marBottom w:val="0"/>
              <w:divBdr>
                <w:top w:val="none" w:sz="0" w:space="0" w:color="auto"/>
                <w:left w:val="none" w:sz="0" w:space="0" w:color="auto"/>
                <w:bottom w:val="none" w:sz="0" w:space="0" w:color="auto"/>
                <w:right w:val="none" w:sz="0" w:space="0" w:color="auto"/>
              </w:divBdr>
              <w:divsChild>
                <w:div w:id="692651975">
                  <w:marLeft w:val="0"/>
                  <w:marRight w:val="0"/>
                  <w:marTop w:val="0"/>
                  <w:marBottom w:val="0"/>
                  <w:divBdr>
                    <w:top w:val="none" w:sz="0" w:space="0" w:color="auto"/>
                    <w:left w:val="none" w:sz="0" w:space="0" w:color="auto"/>
                    <w:bottom w:val="none" w:sz="0" w:space="0" w:color="auto"/>
                    <w:right w:val="none" w:sz="0" w:space="0" w:color="auto"/>
                  </w:divBdr>
                  <w:divsChild>
                    <w:div w:id="302392644">
                      <w:marLeft w:val="0"/>
                      <w:marRight w:val="0"/>
                      <w:marTop w:val="0"/>
                      <w:marBottom w:val="0"/>
                      <w:divBdr>
                        <w:top w:val="none" w:sz="0" w:space="0" w:color="auto"/>
                        <w:left w:val="none" w:sz="0" w:space="0" w:color="auto"/>
                        <w:bottom w:val="none" w:sz="0" w:space="0" w:color="auto"/>
                        <w:right w:val="none" w:sz="0" w:space="0" w:color="auto"/>
                      </w:divBdr>
                      <w:divsChild>
                        <w:div w:id="1761680380">
                          <w:marLeft w:val="0"/>
                          <w:marRight w:val="0"/>
                          <w:marTop w:val="0"/>
                          <w:marBottom w:val="0"/>
                          <w:divBdr>
                            <w:top w:val="none" w:sz="0" w:space="0" w:color="auto"/>
                            <w:left w:val="none" w:sz="0" w:space="0" w:color="auto"/>
                            <w:bottom w:val="none" w:sz="0" w:space="0" w:color="auto"/>
                            <w:right w:val="none" w:sz="0" w:space="0" w:color="auto"/>
                          </w:divBdr>
                          <w:divsChild>
                            <w:div w:id="167969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00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hkk.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esse@hkk.d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biagforschung@gmail.com" TargetMode="External"/><Relationship Id="rId4" Type="http://schemas.microsoft.com/office/2007/relationships/stylesWithEffects" Target="stylesWithEffects.xml"/><Relationship Id="rId9" Type="http://schemas.openxmlformats.org/officeDocument/2006/relationships/hyperlink" Target="http://priscus.net/content.php?menuid=43&amp;pos=7&amp;sid=6b767430333234393332303031343933373330373837&amp;kvt0324932001493730787=3b7e189247cf48d5aa876bfd9b874acc"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CF980-F956-4EC5-A591-18F3A01EC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605EA1D0.dotm</Template>
  <TotalTime>0</TotalTime>
  <Pages>4</Pages>
  <Words>1207</Words>
  <Characters>8768</Characters>
  <Application>Microsoft Office Word</Application>
  <DocSecurity>0</DocSecurity>
  <Lines>73</Lines>
  <Paragraphs>19</Paragraphs>
  <ScaleCrop>false</ScaleCrop>
  <HeadingPairs>
    <vt:vector size="2" baseType="variant">
      <vt:variant>
        <vt:lpstr>Titel</vt:lpstr>
      </vt:variant>
      <vt:variant>
        <vt:i4>1</vt:i4>
      </vt:variant>
    </vt:vector>
  </HeadingPairs>
  <TitlesOfParts>
    <vt:vector size="1" baseType="lpstr">
      <vt:lpstr>„Nach Bremen-Nord gehört ein Bremen-Norder</vt:lpstr>
    </vt:vector>
  </TitlesOfParts>
  <Company>Handelskrankenkasse</Company>
  <LinksUpToDate>false</LinksUpToDate>
  <CharactersWithSpaces>9956</CharactersWithSpaces>
  <SharedDoc>false</SharedDoc>
  <HLinks>
    <vt:vector size="12" baseType="variant">
      <vt:variant>
        <vt:i4>6488176</vt:i4>
      </vt:variant>
      <vt:variant>
        <vt:i4>3</vt:i4>
      </vt:variant>
      <vt:variant>
        <vt:i4>0</vt:i4>
      </vt:variant>
      <vt:variant>
        <vt:i4>5</vt:i4>
      </vt:variant>
      <vt:variant>
        <vt:lpwstr>http://www.hkk.de/</vt:lpwstr>
      </vt:variant>
      <vt:variant>
        <vt:lpwstr/>
      </vt:variant>
      <vt:variant>
        <vt:i4>6553673</vt:i4>
      </vt:variant>
      <vt:variant>
        <vt:i4>0</vt:i4>
      </vt:variant>
      <vt:variant>
        <vt:i4>0</vt:i4>
      </vt:variant>
      <vt:variant>
        <vt:i4>5</vt:i4>
      </vt:variant>
      <vt:variant>
        <vt:lpwstr>mailto:presse@hkk.de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 Bremen-Nord gehört ein Bremen-Norder</dc:title>
  <dc:creator>m002</dc:creator>
  <cp:lastModifiedBy>m002</cp:lastModifiedBy>
  <cp:revision>4</cp:revision>
  <cp:lastPrinted>2017-05-04T12:23:00Z</cp:lastPrinted>
  <dcterms:created xsi:type="dcterms:W3CDTF">2017-05-04T12:18:00Z</dcterms:created>
  <dcterms:modified xsi:type="dcterms:W3CDTF">2017-05-04T12:28:00Z</dcterms:modified>
</cp:coreProperties>
</file>