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F0" w:rsidRPr="002B756A" w:rsidRDefault="007B31F0" w:rsidP="007B31F0">
      <w:pPr>
        <w:rPr>
          <w:rFonts w:cstheme="majorBidi"/>
          <w:sz w:val="22"/>
          <w:szCs w:val="22"/>
        </w:rPr>
      </w:pPr>
    </w:p>
    <w:p w:rsidR="007B31F0" w:rsidRPr="002B756A" w:rsidRDefault="007B31F0" w:rsidP="007B31F0">
      <w:pPr>
        <w:rPr>
          <w:rFonts w:cstheme="majorBidi"/>
          <w:sz w:val="22"/>
          <w:szCs w:val="22"/>
        </w:rPr>
      </w:pPr>
    </w:p>
    <w:p w:rsidR="007B31F0" w:rsidRPr="002B756A" w:rsidRDefault="007B31F0" w:rsidP="007B31F0">
      <w:pPr>
        <w:rPr>
          <w:rFonts w:cs="Arial"/>
          <w:sz w:val="22"/>
          <w:szCs w:val="22"/>
        </w:rPr>
      </w:pPr>
      <w:r w:rsidRPr="002B756A">
        <w:rPr>
          <w:rFonts w:cs="Arial"/>
          <w:sz w:val="22"/>
          <w:szCs w:val="22"/>
        </w:rPr>
        <w:t>Pressmeddelande</w:t>
      </w:r>
      <w:bookmarkStart w:id="0" w:name="_GoBack"/>
      <w:bookmarkEnd w:id="0"/>
    </w:p>
    <w:p w:rsidR="007B31F0" w:rsidRPr="002B756A" w:rsidRDefault="007B31F0" w:rsidP="007B31F0">
      <w:pPr>
        <w:rPr>
          <w:rFonts w:cs="Arial"/>
          <w:sz w:val="22"/>
          <w:szCs w:val="22"/>
        </w:rPr>
      </w:pPr>
      <w:r w:rsidRPr="002B756A">
        <w:rPr>
          <w:rFonts w:cs="Arial"/>
          <w:sz w:val="22"/>
          <w:szCs w:val="22"/>
        </w:rPr>
        <w:tab/>
      </w:r>
      <w:r w:rsidRPr="002B756A">
        <w:rPr>
          <w:rFonts w:cs="Arial"/>
          <w:sz w:val="22"/>
          <w:szCs w:val="22"/>
        </w:rPr>
        <w:tab/>
      </w:r>
      <w:r w:rsidRPr="002B756A">
        <w:rPr>
          <w:rFonts w:cs="Arial"/>
          <w:sz w:val="22"/>
          <w:szCs w:val="22"/>
        </w:rPr>
        <w:tab/>
      </w:r>
      <w:r w:rsidRPr="002B756A">
        <w:rPr>
          <w:rFonts w:cs="Arial"/>
          <w:sz w:val="22"/>
          <w:szCs w:val="22"/>
        </w:rPr>
        <w:tab/>
        <w:t xml:space="preserve">Stockholm den </w:t>
      </w:r>
      <w:r w:rsidR="001B089D">
        <w:rPr>
          <w:rFonts w:cs="Arial"/>
          <w:sz w:val="22"/>
          <w:szCs w:val="22"/>
        </w:rPr>
        <w:t>5</w:t>
      </w:r>
      <w:r w:rsidR="002B756A" w:rsidRPr="002B756A">
        <w:rPr>
          <w:rFonts w:cs="Arial"/>
          <w:sz w:val="22"/>
          <w:szCs w:val="22"/>
        </w:rPr>
        <w:t xml:space="preserve"> Maj 2015</w:t>
      </w:r>
    </w:p>
    <w:p w:rsidR="002B756A" w:rsidRPr="002B756A" w:rsidRDefault="002B756A" w:rsidP="007B31F0">
      <w:pPr>
        <w:rPr>
          <w:rFonts w:cs="Arial"/>
          <w:sz w:val="22"/>
          <w:szCs w:val="22"/>
        </w:rPr>
      </w:pPr>
    </w:p>
    <w:p w:rsidR="002B756A" w:rsidRPr="002B756A" w:rsidRDefault="002B756A" w:rsidP="002B756A">
      <w:pPr>
        <w:pBdr>
          <w:bottom w:val="single" w:sz="4" w:space="1" w:color="auto"/>
        </w:pBdr>
        <w:jc w:val="both"/>
        <w:rPr>
          <w:rFonts w:cs="Calibri"/>
          <w:b/>
          <w:sz w:val="22"/>
          <w:szCs w:val="22"/>
        </w:rPr>
      </w:pPr>
      <w:r w:rsidRPr="002B756A">
        <w:rPr>
          <w:rFonts w:cs="Calibri"/>
          <w:b/>
          <w:sz w:val="22"/>
          <w:szCs w:val="22"/>
        </w:rPr>
        <w:t>Styrelsens i Jojka Communications AB (publ) (”Bolaget”) förslag till beslut om nyemission av aktier (punkt 12)</w:t>
      </w:r>
    </w:p>
    <w:p w:rsidR="002B756A" w:rsidRPr="002B756A" w:rsidRDefault="002B756A" w:rsidP="002B756A">
      <w:pPr>
        <w:tabs>
          <w:tab w:val="left" w:pos="851"/>
        </w:tabs>
        <w:jc w:val="both"/>
        <w:rPr>
          <w:rFonts w:cs="Calibri"/>
          <w:b/>
          <w:bCs/>
          <w:iCs/>
          <w:sz w:val="22"/>
          <w:szCs w:val="22"/>
        </w:rPr>
      </w:pPr>
    </w:p>
    <w:p w:rsidR="002B756A" w:rsidRPr="002B756A" w:rsidRDefault="002B756A" w:rsidP="002B756A">
      <w:pPr>
        <w:tabs>
          <w:tab w:val="left" w:pos="851"/>
        </w:tabs>
        <w:jc w:val="both"/>
        <w:rPr>
          <w:rFonts w:cs="Calibri"/>
          <w:sz w:val="22"/>
          <w:szCs w:val="22"/>
        </w:rPr>
      </w:pPr>
      <w:r w:rsidRPr="002B756A">
        <w:rPr>
          <w:rFonts w:cs="Calibri"/>
          <w:sz w:val="22"/>
          <w:szCs w:val="22"/>
        </w:rPr>
        <w:t>Styrelsen i Bolaget föreslår att stämman beslutar om nyemission av aktier på nedan angivna villkor.</w:t>
      </w:r>
    </w:p>
    <w:p w:rsidR="002B756A" w:rsidRPr="002B756A" w:rsidRDefault="002B756A" w:rsidP="002B756A">
      <w:pPr>
        <w:tabs>
          <w:tab w:val="left" w:pos="851"/>
        </w:tabs>
        <w:jc w:val="both"/>
        <w:rPr>
          <w:rFonts w:cs="Calibri"/>
          <w:sz w:val="22"/>
          <w:szCs w:val="22"/>
        </w:rPr>
      </w:pPr>
    </w:p>
    <w:p w:rsidR="002B756A" w:rsidRPr="002B756A" w:rsidRDefault="002B756A" w:rsidP="002B756A">
      <w:pPr>
        <w:jc w:val="both"/>
        <w:rPr>
          <w:rFonts w:cs="Calibri"/>
          <w:b/>
          <w:bCs/>
          <w:iCs/>
          <w:sz w:val="22"/>
          <w:szCs w:val="22"/>
        </w:rPr>
      </w:pPr>
      <w:r w:rsidRPr="002B756A">
        <w:rPr>
          <w:rFonts w:cs="Calibri"/>
          <w:b/>
          <w:bCs/>
          <w:iCs/>
          <w:sz w:val="22"/>
          <w:szCs w:val="22"/>
        </w:rPr>
        <w:t>Aktiekapitalökning</w:t>
      </w:r>
    </w:p>
    <w:p w:rsidR="002B756A" w:rsidRPr="002B756A" w:rsidRDefault="002B756A" w:rsidP="002B756A">
      <w:pPr>
        <w:jc w:val="both"/>
        <w:rPr>
          <w:rFonts w:cs="Calibri"/>
          <w:sz w:val="22"/>
          <w:szCs w:val="22"/>
        </w:rPr>
      </w:pPr>
      <w:r w:rsidRPr="002B756A">
        <w:rPr>
          <w:rFonts w:cs="Calibri"/>
          <w:sz w:val="22"/>
          <w:szCs w:val="22"/>
        </w:rPr>
        <w:t xml:space="preserve">Bolagets aktiekapital ska ökas med högst 798 113,75 kronor. </w:t>
      </w:r>
    </w:p>
    <w:p w:rsidR="002B756A" w:rsidRPr="002B756A" w:rsidRDefault="002B756A" w:rsidP="002B756A">
      <w:pPr>
        <w:jc w:val="both"/>
        <w:rPr>
          <w:rFonts w:cs="Calibri"/>
          <w:b/>
          <w:sz w:val="22"/>
          <w:szCs w:val="22"/>
        </w:rPr>
      </w:pPr>
    </w:p>
    <w:p w:rsidR="002B756A" w:rsidRPr="002B756A" w:rsidRDefault="002B756A" w:rsidP="002B756A">
      <w:pPr>
        <w:jc w:val="both"/>
        <w:rPr>
          <w:rFonts w:cs="Calibri"/>
          <w:b/>
          <w:bCs/>
          <w:iCs/>
          <w:sz w:val="22"/>
          <w:szCs w:val="22"/>
        </w:rPr>
      </w:pPr>
      <w:r w:rsidRPr="002B756A">
        <w:rPr>
          <w:rFonts w:cs="Calibri"/>
          <w:b/>
          <w:bCs/>
          <w:iCs/>
          <w:sz w:val="22"/>
          <w:szCs w:val="22"/>
        </w:rPr>
        <w:t>Antal aktier</w:t>
      </w:r>
    </w:p>
    <w:p w:rsidR="002B756A" w:rsidRPr="002B756A" w:rsidRDefault="002B756A" w:rsidP="002B756A">
      <w:pPr>
        <w:jc w:val="both"/>
        <w:rPr>
          <w:rFonts w:cs="Calibri"/>
          <w:sz w:val="22"/>
          <w:szCs w:val="22"/>
        </w:rPr>
      </w:pPr>
      <w:r w:rsidRPr="002B756A">
        <w:rPr>
          <w:rFonts w:cs="Calibri"/>
          <w:sz w:val="22"/>
          <w:szCs w:val="22"/>
        </w:rPr>
        <w:t>Ökningen av aktiekapitalet ska ske genom nyemission av högst 3 192 455 aktier.</w:t>
      </w:r>
    </w:p>
    <w:p w:rsidR="002B756A" w:rsidRPr="002B756A" w:rsidRDefault="002B756A" w:rsidP="002B756A">
      <w:pPr>
        <w:jc w:val="both"/>
        <w:rPr>
          <w:rFonts w:cs="Calibri"/>
          <w:sz w:val="22"/>
          <w:szCs w:val="22"/>
        </w:rPr>
      </w:pPr>
    </w:p>
    <w:p w:rsidR="002B756A" w:rsidRPr="002B756A" w:rsidRDefault="002B756A" w:rsidP="002B756A">
      <w:pPr>
        <w:jc w:val="both"/>
        <w:rPr>
          <w:rFonts w:cs="Calibri"/>
          <w:b/>
          <w:bCs/>
          <w:iCs/>
          <w:sz w:val="22"/>
          <w:szCs w:val="22"/>
        </w:rPr>
      </w:pPr>
      <w:r w:rsidRPr="002B756A">
        <w:rPr>
          <w:rFonts w:cs="Calibri"/>
          <w:b/>
          <w:bCs/>
          <w:iCs/>
          <w:sz w:val="22"/>
          <w:szCs w:val="22"/>
        </w:rPr>
        <w:t>Teckningskurs</w:t>
      </w:r>
    </w:p>
    <w:p w:rsidR="002B756A" w:rsidRPr="002B756A" w:rsidRDefault="002B756A" w:rsidP="002B756A">
      <w:pPr>
        <w:jc w:val="both"/>
        <w:rPr>
          <w:rFonts w:cs="Calibri"/>
          <w:bCs/>
          <w:sz w:val="22"/>
          <w:szCs w:val="22"/>
        </w:rPr>
      </w:pPr>
      <w:r w:rsidRPr="002B756A">
        <w:rPr>
          <w:rFonts w:cs="Calibri"/>
          <w:bCs/>
          <w:sz w:val="22"/>
          <w:szCs w:val="22"/>
        </w:rPr>
        <w:t>Teckningskursen för aktierna är 1,25 kronor per aktie.</w:t>
      </w:r>
    </w:p>
    <w:p w:rsidR="002B756A" w:rsidRPr="002B756A" w:rsidRDefault="002B756A" w:rsidP="002B756A">
      <w:pPr>
        <w:jc w:val="both"/>
        <w:rPr>
          <w:rFonts w:cs="Calibri"/>
          <w:bCs/>
          <w:sz w:val="22"/>
          <w:szCs w:val="22"/>
        </w:rPr>
      </w:pPr>
    </w:p>
    <w:p w:rsidR="002B756A" w:rsidRPr="002B756A" w:rsidRDefault="002B756A" w:rsidP="002B756A">
      <w:pPr>
        <w:jc w:val="both"/>
        <w:rPr>
          <w:rFonts w:cs="Calibri"/>
          <w:b/>
          <w:bCs/>
          <w:sz w:val="22"/>
          <w:szCs w:val="22"/>
        </w:rPr>
      </w:pPr>
      <w:r w:rsidRPr="002B756A">
        <w:rPr>
          <w:rFonts w:cs="Calibri"/>
          <w:b/>
          <w:bCs/>
          <w:sz w:val="22"/>
          <w:szCs w:val="22"/>
        </w:rPr>
        <w:t>Avstämningsdag</w:t>
      </w:r>
    </w:p>
    <w:p w:rsidR="002B756A" w:rsidRPr="002B756A" w:rsidRDefault="002B756A" w:rsidP="002B756A">
      <w:pPr>
        <w:jc w:val="both"/>
        <w:rPr>
          <w:rFonts w:cs="Calibri"/>
          <w:b/>
          <w:bCs/>
          <w:sz w:val="22"/>
          <w:szCs w:val="22"/>
        </w:rPr>
      </w:pPr>
      <w:r w:rsidRPr="002B756A">
        <w:rPr>
          <w:rFonts w:cs="Calibri"/>
          <w:sz w:val="22"/>
          <w:szCs w:val="22"/>
        </w:rPr>
        <w:t>Avstämningsdagen är den 29 maj 2015.</w:t>
      </w:r>
    </w:p>
    <w:p w:rsidR="002B756A" w:rsidRPr="002B756A" w:rsidRDefault="002B756A" w:rsidP="002B756A">
      <w:pPr>
        <w:jc w:val="both"/>
        <w:rPr>
          <w:rFonts w:cs="Calibri"/>
          <w:sz w:val="22"/>
          <w:szCs w:val="22"/>
        </w:rPr>
      </w:pPr>
    </w:p>
    <w:p w:rsidR="002B756A" w:rsidRPr="002B756A" w:rsidRDefault="002B756A" w:rsidP="002B756A">
      <w:pPr>
        <w:jc w:val="both"/>
        <w:rPr>
          <w:rFonts w:cs="Calibri"/>
          <w:b/>
          <w:bCs/>
          <w:i/>
          <w:sz w:val="22"/>
          <w:szCs w:val="22"/>
        </w:rPr>
      </w:pPr>
      <w:r w:rsidRPr="002B756A">
        <w:rPr>
          <w:rFonts w:cs="Calibri"/>
          <w:b/>
          <w:bCs/>
          <w:iCs/>
          <w:sz w:val="22"/>
          <w:szCs w:val="22"/>
        </w:rPr>
        <w:t>Rätt att teckna aktier</w:t>
      </w:r>
    </w:p>
    <w:p w:rsidR="002B756A" w:rsidRPr="002B756A" w:rsidRDefault="002B756A" w:rsidP="002B756A">
      <w:pPr>
        <w:jc w:val="both"/>
        <w:rPr>
          <w:rFonts w:cs="Calibri"/>
          <w:sz w:val="22"/>
          <w:szCs w:val="22"/>
        </w:rPr>
      </w:pPr>
      <w:r w:rsidRPr="002B756A">
        <w:rPr>
          <w:rFonts w:cs="Calibri"/>
          <w:sz w:val="22"/>
          <w:szCs w:val="22"/>
        </w:rPr>
        <w:t xml:space="preserve">Företrädesrätt att teckna nya aktier tillkommer den som på avstämningsdagen är registrerad som aktieägare i Bolaget. Innehav av en (1) aktie i Bolaget berättigar till en (1) teckningsrätt och två (2) teckningsrätter ger rätt att teckna en (1) nyemitterad aktie. </w:t>
      </w:r>
      <w:r w:rsidRPr="002B756A">
        <w:rPr>
          <w:rFonts w:cs="Calibri"/>
          <w:iCs/>
          <w:sz w:val="22"/>
          <w:szCs w:val="22"/>
        </w:rPr>
        <w:t>Aktier som inte tecknas av teckningsberättigade aktieägare ska kunna tecknas av allmänheten.</w:t>
      </w:r>
    </w:p>
    <w:p w:rsidR="002B756A" w:rsidRPr="002B756A" w:rsidRDefault="002B756A" w:rsidP="002B756A">
      <w:pPr>
        <w:jc w:val="both"/>
        <w:rPr>
          <w:rFonts w:cs="Calibri"/>
          <w:sz w:val="22"/>
          <w:szCs w:val="22"/>
        </w:rPr>
      </w:pPr>
    </w:p>
    <w:p w:rsidR="002B756A" w:rsidRPr="002B756A" w:rsidRDefault="002B756A" w:rsidP="002B756A">
      <w:pPr>
        <w:jc w:val="both"/>
        <w:rPr>
          <w:rFonts w:cs="Calibri"/>
          <w:b/>
          <w:bCs/>
          <w:i/>
          <w:iCs/>
          <w:sz w:val="22"/>
          <w:szCs w:val="22"/>
        </w:rPr>
      </w:pPr>
      <w:r w:rsidRPr="002B756A">
        <w:rPr>
          <w:rFonts w:cs="Calibri"/>
          <w:b/>
          <w:bCs/>
          <w:iCs/>
          <w:sz w:val="22"/>
          <w:szCs w:val="22"/>
        </w:rPr>
        <w:t>Teckningstid och betalning</w:t>
      </w:r>
    </w:p>
    <w:p w:rsidR="002B756A" w:rsidRPr="002B756A" w:rsidRDefault="002B756A" w:rsidP="002B756A">
      <w:pPr>
        <w:jc w:val="both"/>
        <w:rPr>
          <w:rFonts w:cs="Calibri"/>
          <w:sz w:val="22"/>
          <w:szCs w:val="22"/>
        </w:rPr>
      </w:pPr>
      <w:r w:rsidRPr="002B756A">
        <w:rPr>
          <w:rFonts w:cs="Calibri"/>
          <w:sz w:val="22"/>
          <w:szCs w:val="22"/>
        </w:rPr>
        <w:t xml:space="preserve">Teckning med stöd av företrädesrätt ska ske genom samtidig kontant betalning eller på teckningslista från och med den 3 juni 2015 till och med den 17 juni 2015. Teckning av aktier utan stöd av företrädesrätt ska ske under samma tid på teckningslista. Betalning för aktier som tecknas utan </w:t>
      </w:r>
    </w:p>
    <w:p w:rsidR="002B756A" w:rsidRPr="002B756A" w:rsidRDefault="002B756A" w:rsidP="002B756A">
      <w:pPr>
        <w:jc w:val="both"/>
        <w:rPr>
          <w:rFonts w:cs="Calibri"/>
          <w:sz w:val="22"/>
          <w:szCs w:val="22"/>
        </w:rPr>
      </w:pPr>
    </w:p>
    <w:p w:rsidR="002B756A" w:rsidRPr="002B756A" w:rsidRDefault="002B756A" w:rsidP="002B756A">
      <w:pPr>
        <w:jc w:val="both"/>
        <w:rPr>
          <w:rFonts w:cs="Calibri"/>
          <w:sz w:val="22"/>
          <w:szCs w:val="22"/>
        </w:rPr>
      </w:pPr>
    </w:p>
    <w:p w:rsidR="002B756A" w:rsidRPr="002B756A" w:rsidRDefault="002B756A" w:rsidP="002B756A">
      <w:pPr>
        <w:jc w:val="both"/>
        <w:rPr>
          <w:rFonts w:cs="Calibri"/>
          <w:sz w:val="22"/>
          <w:szCs w:val="22"/>
        </w:rPr>
      </w:pPr>
      <w:r w:rsidRPr="002B756A">
        <w:rPr>
          <w:rFonts w:cs="Calibri"/>
          <w:sz w:val="22"/>
          <w:szCs w:val="22"/>
        </w:rPr>
        <w:t>företrädesrätt eller som sker genom kvittning i enlighet med 13 kap. 41 § aktiebolagslagen ska ske senast tredje bankdagen efter besked om tilldelning enligt instruktion på avräkningsnota.</w:t>
      </w:r>
    </w:p>
    <w:p w:rsidR="002B756A" w:rsidRPr="002B756A" w:rsidRDefault="002B756A" w:rsidP="002B756A">
      <w:pPr>
        <w:jc w:val="both"/>
        <w:rPr>
          <w:rFonts w:cs="Calibri"/>
          <w:sz w:val="22"/>
          <w:szCs w:val="22"/>
        </w:rPr>
      </w:pPr>
    </w:p>
    <w:p w:rsidR="002B756A" w:rsidRPr="002B756A" w:rsidRDefault="002B756A" w:rsidP="002B756A">
      <w:pPr>
        <w:jc w:val="both"/>
        <w:rPr>
          <w:rFonts w:cs="Calibri"/>
          <w:b/>
          <w:sz w:val="22"/>
          <w:szCs w:val="22"/>
        </w:rPr>
      </w:pPr>
      <w:r w:rsidRPr="002B756A">
        <w:rPr>
          <w:rFonts w:cs="Calibri"/>
          <w:b/>
          <w:sz w:val="22"/>
          <w:szCs w:val="22"/>
        </w:rPr>
        <w:t>Handel med teckningsrätter</w:t>
      </w:r>
    </w:p>
    <w:p w:rsidR="002B756A" w:rsidRPr="002B756A" w:rsidRDefault="002B756A" w:rsidP="002B756A">
      <w:pPr>
        <w:jc w:val="both"/>
        <w:rPr>
          <w:rFonts w:cs="Calibri"/>
          <w:b/>
          <w:sz w:val="22"/>
          <w:szCs w:val="22"/>
        </w:rPr>
      </w:pPr>
      <w:r w:rsidRPr="002B756A">
        <w:rPr>
          <w:rFonts w:cs="Calibri"/>
          <w:sz w:val="22"/>
          <w:szCs w:val="22"/>
        </w:rPr>
        <w:t xml:space="preserve">Handel med teckningsrätter beräknas komma att ske från och med den 3 juni 2015 till och med den </w:t>
      </w:r>
      <w:r w:rsidRPr="002B756A">
        <w:rPr>
          <w:rFonts w:cs="Calibri"/>
          <w:sz w:val="22"/>
          <w:szCs w:val="22"/>
        </w:rPr>
        <w:br/>
        <w:t>15 juni 2015.</w:t>
      </w:r>
    </w:p>
    <w:p w:rsidR="002B756A" w:rsidRPr="002B756A" w:rsidRDefault="002B756A" w:rsidP="002B756A">
      <w:pPr>
        <w:jc w:val="both"/>
        <w:rPr>
          <w:rFonts w:cs="Calibri"/>
          <w:sz w:val="22"/>
          <w:szCs w:val="22"/>
        </w:rPr>
      </w:pPr>
    </w:p>
    <w:p w:rsidR="002B756A" w:rsidRPr="002B756A" w:rsidRDefault="002B756A" w:rsidP="002B756A">
      <w:pPr>
        <w:jc w:val="both"/>
        <w:rPr>
          <w:rFonts w:cs="Calibri"/>
          <w:b/>
          <w:bCs/>
          <w:sz w:val="22"/>
          <w:szCs w:val="22"/>
        </w:rPr>
      </w:pPr>
      <w:r w:rsidRPr="002B756A">
        <w:rPr>
          <w:rFonts w:cs="Calibri"/>
          <w:b/>
          <w:bCs/>
          <w:sz w:val="22"/>
          <w:szCs w:val="22"/>
        </w:rPr>
        <w:t>Fördelning av aktier som tecknats utan företrädesrätt</w:t>
      </w:r>
    </w:p>
    <w:p w:rsidR="002B756A" w:rsidRPr="002B756A" w:rsidRDefault="002B756A" w:rsidP="002B756A">
      <w:pPr>
        <w:jc w:val="both"/>
        <w:rPr>
          <w:rFonts w:cs="Calibri"/>
          <w:b/>
          <w:bCs/>
          <w:sz w:val="22"/>
          <w:szCs w:val="22"/>
        </w:rPr>
      </w:pPr>
      <w:r w:rsidRPr="002B756A">
        <w:rPr>
          <w:rFonts w:cs="Calibri"/>
          <w:bCs/>
          <w:sz w:val="22"/>
          <w:szCs w:val="22"/>
        </w:rPr>
        <w:t>För det fall inte samtliga aktier tecknats med stöd av teckningsrätter ska styrelsen besluta om tilldelning av aktier tecknade utan stöd av teckningsrätter.</w:t>
      </w:r>
      <w:r w:rsidRPr="002B756A">
        <w:rPr>
          <w:sz w:val="22"/>
          <w:szCs w:val="22"/>
        </w:rPr>
        <w:t xml:space="preserve"> </w:t>
      </w:r>
      <w:r w:rsidRPr="002B756A">
        <w:rPr>
          <w:rFonts w:cs="Calibri"/>
          <w:bCs/>
          <w:sz w:val="22"/>
          <w:szCs w:val="22"/>
        </w:rPr>
        <w:t xml:space="preserve">I </w:t>
      </w:r>
      <w:r w:rsidRPr="002B756A">
        <w:rPr>
          <w:rFonts w:cs="Calibri"/>
          <w:bCs/>
          <w:sz w:val="22"/>
          <w:szCs w:val="22"/>
          <w:u w:val="single"/>
        </w:rPr>
        <w:t>första hand</w:t>
      </w:r>
      <w:r w:rsidRPr="002B756A">
        <w:rPr>
          <w:rFonts w:cs="Calibri"/>
          <w:bCs/>
          <w:sz w:val="22"/>
          <w:szCs w:val="22"/>
        </w:rPr>
        <w:t xml:space="preserve"> ska sådan tilldelning ske till dem som tecknat aktier med stöd av teckningsrätter, oavsett om tecknaren var aktieägare per avstämningsdagen eller inte, och, vid överteckning, i förhållande till det </w:t>
      </w:r>
      <w:r w:rsidRPr="002B756A">
        <w:rPr>
          <w:rFonts w:cs="Calibri"/>
          <w:sz w:val="22"/>
          <w:szCs w:val="22"/>
        </w:rPr>
        <w:t>antal aktier som motsvarar deras tidigare aktieinnehav i Bolaget pro rata och</w:t>
      </w:r>
      <w:r w:rsidRPr="002B756A">
        <w:rPr>
          <w:rFonts w:cs="Calibri"/>
          <w:bCs/>
          <w:sz w:val="22"/>
          <w:szCs w:val="22"/>
        </w:rPr>
        <w:t xml:space="preserve">, i den mån detta inte kan ske, genom lottning. I </w:t>
      </w:r>
      <w:r w:rsidRPr="002B756A">
        <w:rPr>
          <w:rFonts w:cs="Calibri"/>
          <w:bCs/>
          <w:sz w:val="22"/>
          <w:szCs w:val="22"/>
          <w:u w:val="single"/>
        </w:rPr>
        <w:t>andra hand</w:t>
      </w:r>
      <w:r w:rsidRPr="002B756A">
        <w:rPr>
          <w:rFonts w:cs="Calibri"/>
          <w:bCs/>
          <w:sz w:val="22"/>
          <w:szCs w:val="22"/>
        </w:rPr>
        <w:t xml:space="preserve"> ska sådan tilldelning ske till övriga som tecknat aktier utan stöd av teckningsrätter och, för det fall dessa inte kan erhålla full tilldelning, i förhållande till det antal aktier som var och en har tecknat och, om detta inte är möjligt, genom lottning.</w:t>
      </w:r>
    </w:p>
    <w:p w:rsidR="002B756A" w:rsidRPr="002B756A" w:rsidRDefault="002B756A" w:rsidP="002B756A">
      <w:pPr>
        <w:jc w:val="both"/>
        <w:rPr>
          <w:rFonts w:cs="Calibri"/>
          <w:bCs/>
          <w:sz w:val="22"/>
          <w:szCs w:val="22"/>
        </w:rPr>
      </w:pPr>
    </w:p>
    <w:p w:rsidR="002B756A" w:rsidRPr="002B756A" w:rsidRDefault="002B756A" w:rsidP="002B756A">
      <w:pPr>
        <w:jc w:val="both"/>
        <w:rPr>
          <w:rFonts w:cs="Calibri"/>
          <w:b/>
          <w:bCs/>
          <w:i/>
          <w:sz w:val="22"/>
          <w:szCs w:val="22"/>
        </w:rPr>
      </w:pPr>
      <w:r w:rsidRPr="002B756A">
        <w:rPr>
          <w:rFonts w:cs="Calibri"/>
          <w:b/>
          <w:bCs/>
          <w:iCs/>
          <w:sz w:val="22"/>
          <w:szCs w:val="22"/>
        </w:rPr>
        <w:t>Rätt till utdelning</w:t>
      </w:r>
    </w:p>
    <w:p w:rsidR="002B756A" w:rsidRPr="002B756A" w:rsidRDefault="002B756A" w:rsidP="002B756A">
      <w:pPr>
        <w:jc w:val="both"/>
        <w:rPr>
          <w:rFonts w:cs="Calibri"/>
          <w:sz w:val="22"/>
          <w:szCs w:val="22"/>
        </w:rPr>
      </w:pPr>
      <w:r w:rsidRPr="002B756A">
        <w:rPr>
          <w:rFonts w:cs="Calibri"/>
          <w:sz w:val="22"/>
          <w:szCs w:val="22"/>
        </w:rPr>
        <w:t>De nya aktierna ska ge rätt till utdelning första gången på den avstämningsdag för utdelning som inträffar närmast efter det att aktierna registrerats hos Euroclear Sweden AB.</w:t>
      </w:r>
    </w:p>
    <w:p w:rsidR="002B756A" w:rsidRPr="002B756A" w:rsidRDefault="002B756A" w:rsidP="002B756A">
      <w:pPr>
        <w:jc w:val="both"/>
        <w:rPr>
          <w:rFonts w:cs="Calibri"/>
          <w:iCs/>
          <w:sz w:val="22"/>
          <w:szCs w:val="22"/>
        </w:rPr>
      </w:pPr>
    </w:p>
    <w:p w:rsidR="002B756A" w:rsidRPr="002B756A" w:rsidRDefault="002B756A" w:rsidP="002B756A">
      <w:pPr>
        <w:jc w:val="both"/>
        <w:rPr>
          <w:rFonts w:cs="Calibri"/>
          <w:b/>
          <w:iCs/>
          <w:sz w:val="22"/>
          <w:szCs w:val="22"/>
        </w:rPr>
      </w:pPr>
      <w:r w:rsidRPr="002B756A">
        <w:rPr>
          <w:rFonts w:cs="Calibri"/>
          <w:b/>
          <w:iCs/>
          <w:sz w:val="22"/>
          <w:szCs w:val="22"/>
        </w:rPr>
        <w:t>Bemyndigande</w:t>
      </w:r>
    </w:p>
    <w:p w:rsidR="002B756A" w:rsidRPr="002B756A" w:rsidRDefault="002B756A" w:rsidP="002B756A">
      <w:pPr>
        <w:jc w:val="both"/>
        <w:rPr>
          <w:rFonts w:cs="Calibri"/>
          <w:b/>
          <w:iCs/>
          <w:sz w:val="22"/>
          <w:szCs w:val="22"/>
        </w:rPr>
      </w:pPr>
      <w:r w:rsidRPr="002B756A">
        <w:rPr>
          <w:rFonts w:cs="Calibri"/>
          <w:sz w:val="22"/>
          <w:szCs w:val="22"/>
          <w:lang w:val="en-US"/>
        </w:rPr>
        <mc:AlternateContent>
          <mc:Choice Requires="wps">
            <w:drawing>
              <wp:anchor distT="0" distB="0" distL="114300" distR="114300" simplePos="0" relativeHeight="251659264" behindDoc="0" locked="1" layoutInCell="1" allowOverlap="1" wp14:anchorId="0A220DA7" wp14:editId="577267AE">
                <wp:simplePos x="0" y="0"/>
                <wp:positionH relativeFrom="page">
                  <wp:posOffset>323850</wp:posOffset>
                </wp:positionH>
                <wp:positionV relativeFrom="page">
                  <wp:posOffset>8531860</wp:posOffset>
                </wp:positionV>
                <wp:extent cx="127000" cy="1143000"/>
                <wp:effectExtent l="6350" t="0" r="6350" b="2540"/>
                <wp:wrapNone/>
                <wp:docPr id="2" name="Refer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56A" w:rsidRPr="0060391D" w:rsidRDefault="002B756A" w:rsidP="002B756A">
                            <w:pPr>
                              <w:rPr>
                                <w:sz w:val="12"/>
                              </w:rPr>
                            </w:pPr>
                          </w:p>
                        </w:txbxContent>
                      </wps:txbx>
                      <wps:bodyPr rot="0" vert="vert270"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Referens" o:spid="_x0000_s1026" type="#_x0000_t202" style="position:absolute;left:0;text-align:left;margin-left:25.5pt;margin-top:671.8pt;width:10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7cC64CAAC6BQAADgAAAGRycy9lMm9Eb2MueG1srFTZbtQwFH1H4h8sv6dZmlkSNVPNFoRUFlH4&#10;AE/sTCwSO9ieSSrEv3PtzJIWISEgD1aufX3uco7v3X3f1OjIlOZSZDi8CTBiopCUi32Gv3zOvTlG&#10;2hBBSS0Fy/AT0/h+8frVXdemLJKVrClTCECETrs2w5Uxber7uqhYQ/SNbJmAw1Kqhhgw1d6ninSA&#10;3tR+FARTv5OKtkoWTGvY3QyHeOHwy5IV5kNZamZQnWHIzbhVuXVnV39xR9K9Im3Fi1Ma5C+yaAgX&#10;EPQCtSGGoIPiv0A1vFBSy9LcFLLxZVnygrkaoJoweFHNY0Va5mqB5uj20ib9/2CL98ePCnGa4Qgj&#10;QRqg6BMrmWJC2950rU7B5bEFJ9OvZA8cuzp1+yCLrxoJua6I2LOlUrKrGKGQW2hv+qOrA462ILvu&#10;naQQhByMdEB9qRrbOGgFAnTg6OnCC+sNKmzIaBYEcFLAURjGt9awIUh6vt0qbd4w2SD7k2EFvDt0&#10;cnzQZnA9u9hgQua8rmGfpLV4tgGYww7Ehqv2zGbhqPyeBMl2vp3HXhxNt14cUOot83XsTfNwNtnc&#10;btbrTfjDxg3jtOKUMmHDnGUVxn9G20nggyAuwtKy5tTC2ZS02u/WtUJHArLO3XdqyMjNf56G6xfU&#10;8qKkMIqDVZR4+XQ+8+IynnjJLJh7QZiskmkQJ/Emf17SAxfs30tCXYaTSTQZxPTb2oDpK9mj2kja&#10;cAODo+ZNhucXJ5JaCW4FddQawuvhf9QKm/61FUD3mWgnWKvRQa2m3/WAYlW8k/QJpKskKAtUCNMO&#10;fuwKssSog+GRYf3tQBTDqH4r4AVEk9jq1YwNNTZ2Y4OIopIwkwxGw+/aDBPq0Cq+ryDY8OaEXMKr&#10;KbkT9DWx01uDAeHqOg0zO4HGtvO6jtzFTwAAAP//AwBQSwMEFAAGAAgAAAAhAKkDSIjeAAAACwEA&#10;AA8AAABkcnMvZG93bnJldi54bWxMjz1PwzAQhnck/oN1SGzUaUsLCnGqCoRQEQyEDIxufCSB+GzF&#10;Tmv+PdcJxnvu1ftRbJIdxAHH0DtSMJ9lIJAaZ3pqFdTvj1e3IELUZPTgCBX8YIBNeX5W6Ny4I73h&#10;oYqtYBMKuVbQxehzKUPTodVh5jwS/z7daHXkc2ylGfWRze0gF1m2llb3xAmd9njfYfNdTVbBR6Kp&#10;qndP2/T8Uj/4r1c/xXan1OVF2t6BiJjinxhO9bk6lNxp7yYyQQwKVnOeEpkvr5drEKy4OZE9k9WC&#10;iSwL+X9D+QsAAP//AwBQSwECLQAUAAYACAAAACEA5JnDwPsAAADhAQAAEwAAAAAAAAAAAAAAAAAA&#10;AAAAW0NvbnRlbnRfVHlwZXNdLnhtbFBLAQItABQABgAIAAAAIQAjsmrh1wAAAJQBAAALAAAAAAAA&#10;AAAAAAAAACwBAABfcmVscy8ucmVsc1BLAQItABQABgAIAAAAIQCeTtwLrgIAALoFAAAOAAAAAAAA&#10;AAAAAAAAACwCAABkcnMvZTJvRG9jLnhtbFBLAQItABQABgAIAAAAIQCpA0iI3gAAAAsBAAAPAAAA&#10;AAAAAAAAAAAAAAYFAABkcnMvZG93bnJldi54bWxQSwUGAAAAAAQABADzAAAAEQYAAAAA&#10;" filled="f" stroked="f">
                <v:textbox style="layout-flow:vertical;mso-layout-flow-alt:bottom-to-top" inset="2pt,2pt,2pt,2pt">
                  <w:txbxContent>
                    <w:p w:rsidR="002B756A" w:rsidRPr="0060391D" w:rsidRDefault="002B756A" w:rsidP="002B756A">
                      <w:pPr>
                        <w:rPr>
                          <w:sz w:val="12"/>
                        </w:rPr>
                      </w:pPr>
                    </w:p>
                  </w:txbxContent>
                </v:textbox>
                <w10:wrap anchorx="page" anchory="page"/>
                <w10:anchorlock/>
              </v:shape>
            </w:pict>
          </mc:Fallback>
        </mc:AlternateContent>
      </w:r>
      <w:r w:rsidRPr="002B756A">
        <w:rPr>
          <w:rFonts w:cs="Calibri"/>
          <w:sz w:val="22"/>
          <w:szCs w:val="22"/>
        </w:rPr>
        <w:t>Styrelsen, verkställande direktören eller den styrelsen i övrigt förordnar, bemyndigas att vidta de smärre justeringar i beslutet som kan visas erforderliga i samband med registrering hos Bolagsverket.</w:t>
      </w:r>
    </w:p>
    <w:p w:rsidR="002B756A" w:rsidRPr="002B756A" w:rsidRDefault="002B756A" w:rsidP="002B756A">
      <w:pPr>
        <w:jc w:val="both"/>
        <w:rPr>
          <w:rFonts w:cs="Calibri"/>
          <w:sz w:val="22"/>
          <w:szCs w:val="22"/>
        </w:rPr>
      </w:pPr>
    </w:p>
    <w:p w:rsidR="002B756A" w:rsidRPr="002B756A" w:rsidRDefault="002B756A" w:rsidP="002B756A">
      <w:pPr>
        <w:keepNext/>
        <w:keepLines/>
        <w:tabs>
          <w:tab w:val="left" w:pos="851"/>
        </w:tabs>
        <w:jc w:val="both"/>
        <w:rPr>
          <w:rFonts w:cs="Calibri"/>
          <w:b/>
          <w:sz w:val="22"/>
          <w:szCs w:val="22"/>
        </w:rPr>
      </w:pPr>
      <w:r w:rsidRPr="002B756A">
        <w:rPr>
          <w:rFonts w:cs="Calibri"/>
          <w:b/>
          <w:sz w:val="22"/>
          <w:szCs w:val="22"/>
        </w:rPr>
        <w:t xml:space="preserve">Ändring av bolagsordningen och villkor </w:t>
      </w:r>
    </w:p>
    <w:p w:rsidR="002B756A" w:rsidRPr="002B756A" w:rsidRDefault="002B756A" w:rsidP="002B756A">
      <w:pPr>
        <w:keepNext/>
        <w:keepLines/>
        <w:tabs>
          <w:tab w:val="left" w:pos="851"/>
        </w:tabs>
        <w:jc w:val="both"/>
        <w:rPr>
          <w:rFonts w:cs="Calibri"/>
          <w:b/>
          <w:sz w:val="22"/>
          <w:szCs w:val="22"/>
        </w:rPr>
      </w:pPr>
      <w:r w:rsidRPr="002B756A">
        <w:rPr>
          <w:rFonts w:cs="Calibri"/>
          <w:sz w:val="22"/>
          <w:szCs w:val="22"/>
        </w:rPr>
        <w:t>Beslutet förutsätter ändring av bolagsordningen gränser för aktiekapital och antal aktier.</w:t>
      </w:r>
    </w:p>
    <w:p w:rsidR="007B31F0" w:rsidRPr="002B756A" w:rsidRDefault="002B756A" w:rsidP="002B756A">
      <w:pPr>
        <w:tabs>
          <w:tab w:val="left" w:pos="851"/>
        </w:tabs>
        <w:jc w:val="center"/>
        <w:rPr>
          <w:rFonts w:cs="Calibri"/>
          <w:b/>
          <w:iCs/>
          <w:sz w:val="22"/>
          <w:szCs w:val="22"/>
        </w:rPr>
      </w:pPr>
      <w:r w:rsidRPr="002B756A">
        <w:rPr>
          <w:rFonts w:cs="Calibri"/>
          <w:sz w:val="22"/>
          <w:szCs w:val="22"/>
        </w:rPr>
        <w:t>__________________________</w:t>
      </w:r>
    </w:p>
    <w:p w:rsidR="007B31F0" w:rsidRPr="002B756A" w:rsidRDefault="007B31F0" w:rsidP="007B31F0">
      <w:pPr>
        <w:rPr>
          <w:rFonts w:cstheme="majorBidi"/>
          <w:b/>
          <w:sz w:val="22"/>
          <w:szCs w:val="22"/>
        </w:rPr>
      </w:pPr>
      <w:r w:rsidRPr="002B756A">
        <w:rPr>
          <w:rFonts w:cstheme="majorBidi"/>
          <w:b/>
          <w:sz w:val="22"/>
          <w:szCs w:val="22"/>
        </w:rPr>
        <w:t>Om Jojka</w:t>
      </w:r>
    </w:p>
    <w:p w:rsidR="007B31F0" w:rsidRPr="002B756A" w:rsidRDefault="007B31F0" w:rsidP="007B31F0">
      <w:pPr>
        <w:rPr>
          <w:rFonts w:cstheme="majorBidi"/>
          <w:i/>
          <w:iCs/>
          <w:sz w:val="22"/>
          <w:szCs w:val="22"/>
        </w:rPr>
      </w:pPr>
      <w:r w:rsidRPr="002B756A">
        <w:rPr>
          <w:rFonts w:cstheme="majorBidi"/>
          <w:i/>
          <w:iCs/>
          <w:sz w:val="22"/>
          <w:szCs w:val="22"/>
        </w:rPr>
        <w:t xml:space="preserve">Jojka är en interaktiv kommunikationstjänst som hjälper företag och organisationer att kommunicera med kunder och anställda på ett effektivt sätt. Jojka har idag två olika produkter: en SMS-baserad produkt för mobil marknadsföring (Salesboost), samt en app-baserad lösning (Workforce) som gör det lättare för företag att hålla kontakt med den mobila arbetsstyrkan och hantera uppdrag. Företaget Jojka Communications AB är noterat på AktieTorget och har runt 500 aktieägare. Styrelsen </w:t>
      </w:r>
      <w:r w:rsidR="00092877" w:rsidRPr="002B756A">
        <w:rPr>
          <w:rFonts w:cstheme="majorBidi"/>
          <w:i/>
          <w:iCs/>
          <w:sz w:val="22"/>
          <w:szCs w:val="22"/>
        </w:rPr>
        <w:t>innehar direkt och indirekt ca 4</w:t>
      </w:r>
      <w:r w:rsidRPr="002B756A">
        <w:rPr>
          <w:rFonts w:cstheme="majorBidi"/>
          <w:i/>
          <w:iCs/>
          <w:sz w:val="22"/>
          <w:szCs w:val="22"/>
        </w:rPr>
        <w:t>0 % av aktierna i bolaget.</w:t>
      </w:r>
    </w:p>
    <w:p w:rsidR="007B31F0" w:rsidRPr="002B756A" w:rsidRDefault="007B31F0" w:rsidP="007B31F0">
      <w:pPr>
        <w:rPr>
          <w:rFonts w:cstheme="majorBidi"/>
          <w:i/>
          <w:iCs/>
          <w:sz w:val="22"/>
          <w:szCs w:val="22"/>
        </w:rPr>
      </w:pPr>
    </w:p>
    <w:p w:rsidR="00326A44" w:rsidRPr="002B756A" w:rsidRDefault="00326A44">
      <w:pPr>
        <w:rPr>
          <w:sz w:val="22"/>
          <w:szCs w:val="22"/>
        </w:rPr>
      </w:pPr>
    </w:p>
    <w:sectPr w:rsidR="00326A44" w:rsidRPr="002B756A" w:rsidSect="004A4CE2">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A9" w:rsidRDefault="00FD75A9" w:rsidP="00B83B74">
      <w:pPr>
        <w:spacing w:after="0"/>
      </w:pPr>
      <w:r>
        <w:separator/>
      </w:r>
    </w:p>
  </w:endnote>
  <w:endnote w:type="continuationSeparator" w:id="0">
    <w:p w:rsidR="00FD75A9" w:rsidRDefault="00FD75A9" w:rsidP="00B8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A9" w:rsidRDefault="00FD75A9" w:rsidP="00B83B74">
      <w:pPr>
        <w:spacing w:after="0"/>
      </w:pPr>
      <w:r>
        <w:separator/>
      </w:r>
    </w:p>
  </w:footnote>
  <w:footnote w:type="continuationSeparator" w:id="0">
    <w:p w:rsidR="00FD75A9" w:rsidRDefault="00FD75A9" w:rsidP="00B83B7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C8" w:rsidRDefault="009814C8">
    <w:pPr>
      <w:pStyle w:val="Header"/>
    </w:pPr>
    <w:r>
      <w:rPr>
        <w:rFonts w:asciiTheme="majorHAnsi" w:hAnsiTheme="majorHAnsi"/>
        <w:sz w:val="32"/>
        <w:lang w:val="en-US"/>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F0"/>
    <w:rsid w:val="00092877"/>
    <w:rsid w:val="0012076C"/>
    <w:rsid w:val="00184AAC"/>
    <w:rsid w:val="001B089D"/>
    <w:rsid w:val="00212903"/>
    <w:rsid w:val="002B756A"/>
    <w:rsid w:val="00310622"/>
    <w:rsid w:val="00326A44"/>
    <w:rsid w:val="00335BD2"/>
    <w:rsid w:val="003373DB"/>
    <w:rsid w:val="003D3818"/>
    <w:rsid w:val="004055D9"/>
    <w:rsid w:val="00464AC4"/>
    <w:rsid w:val="00465E8E"/>
    <w:rsid w:val="004A4CE2"/>
    <w:rsid w:val="005503C0"/>
    <w:rsid w:val="005C7376"/>
    <w:rsid w:val="00604DB8"/>
    <w:rsid w:val="006769B1"/>
    <w:rsid w:val="0069119D"/>
    <w:rsid w:val="006C3A6E"/>
    <w:rsid w:val="006E03A0"/>
    <w:rsid w:val="00744172"/>
    <w:rsid w:val="00787FD4"/>
    <w:rsid w:val="007B31F0"/>
    <w:rsid w:val="009814C8"/>
    <w:rsid w:val="009E1946"/>
    <w:rsid w:val="00AE02F5"/>
    <w:rsid w:val="00B773CC"/>
    <w:rsid w:val="00B83B74"/>
    <w:rsid w:val="00D53E9E"/>
    <w:rsid w:val="00F22B8B"/>
    <w:rsid w:val="00FC0CF3"/>
    <w:rsid w:val="00FD75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Heading1">
    <w:name w:val="heading 1"/>
    <w:basedOn w:val="Normal"/>
    <w:next w:val="Normal"/>
    <w:link w:val="Heading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F0"/>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nhideWhenUsed/>
    <w:rsid w:val="007B31F0"/>
    <w:pPr>
      <w:tabs>
        <w:tab w:val="center" w:pos="4153"/>
        <w:tab w:val="right" w:pos="8306"/>
      </w:tabs>
      <w:spacing w:after="0"/>
    </w:pPr>
  </w:style>
  <w:style w:type="character" w:customStyle="1" w:styleId="HeaderChar">
    <w:name w:val="Header Char"/>
    <w:basedOn w:val="DefaultParagraphFont"/>
    <w:link w:val="Header"/>
    <w:rsid w:val="007B31F0"/>
    <w:rPr>
      <w:noProof/>
      <w:sz w:val="24"/>
      <w:szCs w:val="24"/>
    </w:rPr>
  </w:style>
  <w:style w:type="paragraph" w:styleId="NormalWe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Heading1">
    <w:name w:val="heading 1"/>
    <w:basedOn w:val="Normal"/>
    <w:next w:val="Normal"/>
    <w:link w:val="Heading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F0"/>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nhideWhenUsed/>
    <w:rsid w:val="007B31F0"/>
    <w:pPr>
      <w:tabs>
        <w:tab w:val="center" w:pos="4153"/>
        <w:tab w:val="right" w:pos="8306"/>
      </w:tabs>
      <w:spacing w:after="0"/>
    </w:pPr>
  </w:style>
  <w:style w:type="character" w:customStyle="1" w:styleId="HeaderChar">
    <w:name w:val="Header Char"/>
    <w:basedOn w:val="DefaultParagraphFont"/>
    <w:link w:val="Header"/>
    <w:rsid w:val="007B31F0"/>
    <w:rPr>
      <w:noProof/>
      <w:sz w:val="24"/>
      <w:szCs w:val="24"/>
    </w:rPr>
  </w:style>
  <w:style w:type="paragraph" w:styleId="NormalWe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660">
      <w:bodyDiv w:val="1"/>
      <w:marLeft w:val="0"/>
      <w:marRight w:val="0"/>
      <w:marTop w:val="0"/>
      <w:marBottom w:val="0"/>
      <w:divBdr>
        <w:top w:val="none" w:sz="0" w:space="0" w:color="auto"/>
        <w:left w:val="none" w:sz="0" w:space="0" w:color="auto"/>
        <w:bottom w:val="none" w:sz="0" w:space="0" w:color="auto"/>
        <w:right w:val="none" w:sz="0" w:space="0" w:color="auto"/>
      </w:divBdr>
    </w:div>
    <w:div w:id="1547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3002</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Jojka</cp:lastModifiedBy>
  <cp:revision>2</cp:revision>
  <dcterms:created xsi:type="dcterms:W3CDTF">2015-05-11T09:22:00Z</dcterms:created>
  <dcterms:modified xsi:type="dcterms:W3CDTF">2015-05-11T09:22:00Z</dcterms:modified>
</cp:coreProperties>
</file>