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BE6A3" w14:textId="77777777" w:rsidR="00575CFB" w:rsidRDefault="00575CFB">
      <w:pPr>
        <w:widowControl w:val="0"/>
        <w:spacing w:line="288" w:lineRule="auto"/>
        <w:rPr>
          <w:rFonts w:eastAsia="Calibri"/>
          <w:b/>
          <w:bCs/>
          <w:szCs w:val="28"/>
          <w:lang w:eastAsia="ko-KR"/>
        </w:rPr>
      </w:pPr>
    </w:p>
    <w:p w14:paraId="628BCD09" w14:textId="77777777" w:rsidR="00575CFB" w:rsidRDefault="00575CFB">
      <w:pPr>
        <w:widowControl w:val="0"/>
        <w:spacing w:line="288" w:lineRule="auto"/>
        <w:rPr>
          <w:rFonts w:eastAsia="Calibri"/>
          <w:b/>
          <w:bCs/>
          <w:szCs w:val="28"/>
          <w:lang w:eastAsia="ko-KR"/>
        </w:rPr>
      </w:pPr>
    </w:p>
    <w:p w14:paraId="2845B999" w14:textId="77777777" w:rsidR="00575CFB" w:rsidRDefault="00D36960">
      <w:pPr>
        <w:widowControl w:val="0"/>
        <w:jc w:val="center"/>
        <w:rPr>
          <w:rFonts w:eastAsia="Calibri"/>
          <w:b/>
          <w:bCs/>
          <w:sz w:val="28"/>
          <w:szCs w:val="28"/>
          <w:lang w:val="en-GB" w:eastAsia="ko-KR"/>
        </w:rPr>
      </w:pPr>
      <w:r>
        <w:rPr>
          <w:rFonts w:eastAsia="Calibri"/>
          <w:b/>
          <w:bCs/>
          <w:sz w:val="28"/>
          <w:szCs w:val="28"/>
          <w:lang w:val="en-GB" w:eastAsia="ko-KR"/>
        </w:rPr>
        <w:t xml:space="preserve">LG ANNOUNCES SECOND-QUARTER 2019 </w:t>
      </w:r>
    </w:p>
    <w:p w14:paraId="15EDE891" w14:textId="77777777" w:rsidR="00575CFB" w:rsidRDefault="00D36960">
      <w:pPr>
        <w:widowControl w:val="0"/>
        <w:jc w:val="center"/>
        <w:rPr>
          <w:rFonts w:eastAsia="Calibri"/>
          <w:b/>
          <w:bCs/>
          <w:sz w:val="28"/>
          <w:szCs w:val="28"/>
          <w:lang w:val="en-GB" w:eastAsia="ko-KR"/>
        </w:rPr>
      </w:pPr>
      <w:r>
        <w:rPr>
          <w:rFonts w:eastAsia="Calibri"/>
          <w:b/>
          <w:bCs/>
          <w:sz w:val="28"/>
          <w:szCs w:val="28"/>
          <w:lang w:val="en-GB" w:eastAsia="ko-KR"/>
        </w:rPr>
        <w:t>FINANCIAL RESULTS</w:t>
      </w:r>
      <w:r>
        <w:rPr>
          <w:rFonts w:eastAsia="Calibri" w:hint="eastAsia"/>
          <w:b/>
          <w:bCs/>
          <w:sz w:val="28"/>
          <w:szCs w:val="28"/>
          <w:lang w:val="en-GB" w:eastAsia="ko-KR"/>
        </w:rPr>
        <w:t xml:space="preserve"> </w:t>
      </w:r>
    </w:p>
    <w:p w14:paraId="62FFCF2D" w14:textId="77777777" w:rsidR="00575CFB" w:rsidRDefault="00575CFB">
      <w:pPr>
        <w:widowControl w:val="0"/>
        <w:jc w:val="center"/>
        <w:rPr>
          <w:rFonts w:eastAsia="Times New Roman"/>
          <w:bCs/>
          <w:i/>
          <w:sz w:val="6"/>
          <w:szCs w:val="6"/>
          <w:lang w:val="en-GB" w:eastAsia="ko-KR"/>
        </w:rPr>
      </w:pPr>
    </w:p>
    <w:p w14:paraId="0ABBDCA6" w14:textId="4B776DA8" w:rsidR="00575CFB" w:rsidRPr="00420D62" w:rsidRDefault="00D36960">
      <w:pPr>
        <w:widowControl w:val="0"/>
        <w:ind w:right="-96"/>
        <w:jc w:val="center"/>
        <w:rPr>
          <w:rFonts w:eastAsia="Calibri"/>
          <w:bCs/>
          <w:i/>
          <w:lang w:val="en-US" w:eastAsia="ko-KR"/>
        </w:rPr>
      </w:pPr>
      <w:r>
        <w:rPr>
          <w:rFonts w:eastAsia="Calibri"/>
          <w:bCs/>
          <w:i/>
          <w:lang w:val="en-US" w:eastAsia="ko-KR"/>
        </w:rPr>
        <w:t>Record</w:t>
      </w:r>
      <w:r>
        <w:rPr>
          <w:rFonts w:eastAsia="Calibri" w:hint="eastAsia"/>
          <w:bCs/>
          <w:i/>
          <w:lang w:val="en-US" w:eastAsia="ko-KR"/>
        </w:rPr>
        <w:t>-</w:t>
      </w:r>
      <w:r>
        <w:rPr>
          <w:rFonts w:eastAsia="Calibri"/>
          <w:bCs/>
          <w:i/>
          <w:lang w:val="en-US" w:eastAsia="ko-KR"/>
        </w:rPr>
        <w:t>High</w:t>
      </w:r>
      <w:r>
        <w:rPr>
          <w:rFonts w:eastAsia="Calibri" w:hint="eastAsia"/>
          <w:bCs/>
          <w:i/>
          <w:lang w:val="en-US" w:eastAsia="ko-KR"/>
        </w:rPr>
        <w:t xml:space="preserve"> </w:t>
      </w:r>
      <w:r>
        <w:rPr>
          <w:rFonts w:eastAsia="Calibri"/>
          <w:bCs/>
          <w:i/>
          <w:lang w:val="en-US" w:eastAsia="ko-KR"/>
        </w:rPr>
        <w:t>Sales</w:t>
      </w:r>
      <w:r>
        <w:rPr>
          <w:rFonts w:eastAsia="Calibri" w:hint="eastAsia"/>
          <w:bCs/>
          <w:i/>
          <w:lang w:val="en-US" w:eastAsia="ko-KR"/>
        </w:rPr>
        <w:t xml:space="preserve"> </w:t>
      </w:r>
      <w:r>
        <w:rPr>
          <w:rFonts w:eastAsia="Calibri"/>
          <w:bCs/>
          <w:i/>
          <w:lang w:val="en-US" w:eastAsia="ko-KR"/>
        </w:rPr>
        <w:t>for</w:t>
      </w:r>
      <w:r>
        <w:rPr>
          <w:rFonts w:eastAsia="Calibri" w:hint="eastAsia"/>
          <w:bCs/>
          <w:i/>
          <w:lang w:val="en-US" w:eastAsia="ko-KR"/>
        </w:rPr>
        <w:t xml:space="preserve"> </w:t>
      </w:r>
      <w:r>
        <w:rPr>
          <w:rFonts w:eastAsia="Calibri"/>
          <w:bCs/>
          <w:i/>
          <w:lang w:val="en-US" w:eastAsia="ko-KR"/>
        </w:rPr>
        <w:t>Home Appliance Unit</w:t>
      </w:r>
      <w:r>
        <w:rPr>
          <w:rFonts w:eastAsia="Calibri" w:hint="eastAsia"/>
          <w:bCs/>
          <w:i/>
          <w:lang w:val="en-US" w:eastAsia="ko-KR"/>
        </w:rPr>
        <w:t xml:space="preserve">, </w:t>
      </w:r>
      <w:r w:rsidRPr="00DC4618">
        <w:rPr>
          <w:rFonts w:eastAsia="Calibri"/>
          <w:bCs/>
          <w:i/>
          <w:lang w:val="en-US" w:eastAsia="ko-KR"/>
        </w:rPr>
        <w:t xml:space="preserve">Strong B2B </w:t>
      </w:r>
      <w:r w:rsidRPr="00420D62">
        <w:rPr>
          <w:rFonts w:eastAsia="Calibri"/>
          <w:bCs/>
          <w:i/>
          <w:lang w:val="en-US" w:eastAsia="ko-KR"/>
        </w:rPr>
        <w:t>Profitability</w:t>
      </w:r>
    </w:p>
    <w:p w14:paraId="640C83F9" w14:textId="77777777" w:rsidR="00575CFB" w:rsidRPr="00420D62" w:rsidRDefault="00575CFB">
      <w:pPr>
        <w:widowControl w:val="0"/>
        <w:ind w:right="-96" w:firstLine="180"/>
        <w:jc w:val="center"/>
        <w:rPr>
          <w:rFonts w:eastAsia="Batang"/>
          <w:bCs/>
          <w:sz w:val="36"/>
          <w:szCs w:val="36"/>
          <w:lang w:val="en-US" w:eastAsia="ko-KR"/>
        </w:rPr>
      </w:pPr>
    </w:p>
    <w:p w14:paraId="4F2FE616" w14:textId="3F01C89B" w:rsidR="00575CFB" w:rsidRPr="00420D62" w:rsidRDefault="00D36960">
      <w:pPr>
        <w:widowControl w:val="0"/>
        <w:spacing w:line="360" w:lineRule="auto"/>
        <w:jc w:val="both"/>
        <w:rPr>
          <w:rFonts w:eastAsia="Calibri"/>
          <w:lang w:val="en-US" w:eastAsia="ko-KR" w:bidi="mni-IN"/>
        </w:rPr>
      </w:pPr>
      <w:r w:rsidRPr="00420D62">
        <w:rPr>
          <w:rFonts w:eastAsia="Times New Roman"/>
          <w:b/>
          <w:lang w:val="en-US" w:eastAsia="ko-KR" w:bidi="mni-IN"/>
        </w:rPr>
        <w:t>SEOUL, July 3</w:t>
      </w:r>
      <w:r w:rsidR="00584AFD">
        <w:rPr>
          <w:rFonts w:eastAsia="Times New Roman"/>
          <w:b/>
          <w:lang w:val="en-US" w:eastAsia="ko-KR" w:bidi="mni-IN"/>
        </w:rPr>
        <w:t>1</w:t>
      </w:r>
      <w:bookmarkStart w:id="0" w:name="_GoBack"/>
      <w:bookmarkEnd w:id="0"/>
      <w:r w:rsidRPr="00420D62">
        <w:rPr>
          <w:rFonts w:eastAsia="Times New Roman"/>
          <w:b/>
          <w:lang w:val="en-US" w:eastAsia="ko-KR" w:bidi="mni-IN"/>
        </w:rPr>
        <w:t>, 201</w:t>
      </w:r>
      <w:r w:rsidRPr="00420D62">
        <w:rPr>
          <w:rFonts w:eastAsia="Calibri"/>
          <w:b/>
          <w:lang w:val="en-US" w:eastAsia="ko-KR" w:bidi="mni-IN"/>
        </w:rPr>
        <w:t>9</w:t>
      </w:r>
      <w:r w:rsidRPr="00420D62">
        <w:rPr>
          <w:rFonts w:eastAsia="Times New Roman"/>
          <w:lang w:val="en-US" w:eastAsia="ko-KR" w:bidi="mni-IN"/>
        </w:rPr>
        <w:t xml:space="preserve"> </w:t>
      </w:r>
      <w:r w:rsidRPr="00420D62">
        <w:rPr>
          <w:rFonts w:eastAsia="Times New Roman" w:hint="eastAsia"/>
          <w:lang w:val="en-US" w:eastAsia="ko-KR" w:bidi="mni-IN"/>
        </w:rPr>
        <w:t>—</w:t>
      </w:r>
      <w:r w:rsidRPr="00420D62">
        <w:rPr>
          <w:rFonts w:eastAsia="Times New Roman"/>
          <w:lang w:val="en-US" w:eastAsia="ko-KR" w:bidi="mni-IN"/>
        </w:rPr>
        <w:t xml:space="preserve"> LG Electronics Inc. (LG) today announced </w:t>
      </w:r>
      <w:r w:rsidRPr="00420D62">
        <w:rPr>
          <w:rFonts w:eastAsia="Calibri"/>
          <w:lang w:val="en-US" w:eastAsia="ko-KR" w:bidi="mni-IN"/>
        </w:rPr>
        <w:t>record second quarter and first half revenues with</w:t>
      </w:r>
      <w:r w:rsidRPr="00420D62">
        <w:rPr>
          <w:rFonts w:eastAsia="Calibri" w:hint="eastAsia"/>
          <w:lang w:val="en-US" w:eastAsia="ko-KR" w:bidi="mni-IN"/>
        </w:rPr>
        <w:t xml:space="preserve"> </w:t>
      </w:r>
      <w:r w:rsidRPr="00420D62">
        <w:rPr>
          <w:rFonts w:eastAsia="Times New Roman"/>
          <w:lang w:val="en-US" w:eastAsia="ko-KR" w:bidi="mni-IN"/>
        </w:rPr>
        <w:t xml:space="preserve">consolidated sales of KRW </w:t>
      </w:r>
      <w:r w:rsidRPr="00420D62">
        <w:rPr>
          <w:rFonts w:eastAsia="Times New Roman"/>
          <w:lang w:eastAsia="ko-KR" w:bidi="mni-IN"/>
        </w:rPr>
        <w:t>15.63 trillion (USD 13.40 billion) and operating profit of KRW 652.3 billion (USD 559.4 million) for the</w:t>
      </w:r>
      <w:r w:rsidRPr="00420D62">
        <w:rPr>
          <w:rFonts w:eastAsia="Times New Roman" w:hint="eastAsia"/>
          <w:lang w:eastAsia="ko-KR" w:bidi="mni-IN"/>
        </w:rPr>
        <w:t xml:space="preserve"> </w:t>
      </w:r>
      <w:r w:rsidRPr="00420D62">
        <w:rPr>
          <w:rFonts w:eastAsia="Times New Roman"/>
          <w:lang w:eastAsia="ko-KR" w:bidi="mni-IN"/>
        </w:rPr>
        <w:t>period</w:t>
      </w:r>
      <w:r w:rsidRPr="00420D62">
        <w:rPr>
          <w:rFonts w:eastAsia="Times New Roman" w:hint="eastAsia"/>
          <w:lang w:eastAsia="ko-KR" w:bidi="mni-IN"/>
        </w:rPr>
        <w:t xml:space="preserve"> </w:t>
      </w:r>
      <w:r w:rsidRPr="00420D62">
        <w:rPr>
          <w:rFonts w:eastAsia="Times New Roman"/>
          <w:lang w:eastAsia="ko-KR" w:bidi="mni-IN"/>
        </w:rPr>
        <w:t>covering</w:t>
      </w:r>
      <w:r w:rsidRPr="00420D62">
        <w:rPr>
          <w:rFonts w:eastAsia="Times New Roman" w:hint="eastAsia"/>
          <w:lang w:eastAsia="ko-KR" w:bidi="mni-IN"/>
        </w:rPr>
        <w:t xml:space="preserve"> </w:t>
      </w:r>
      <w:r w:rsidRPr="00420D62">
        <w:rPr>
          <w:rFonts w:eastAsia="Times New Roman"/>
          <w:lang w:eastAsia="ko-KR" w:bidi="mni-IN"/>
        </w:rPr>
        <w:t>April</w:t>
      </w:r>
      <w:r w:rsidRPr="00420D62">
        <w:rPr>
          <w:rFonts w:eastAsia="Times New Roman" w:hint="eastAsia"/>
          <w:lang w:eastAsia="ko-KR" w:bidi="mni-IN"/>
        </w:rPr>
        <w:t>-</w:t>
      </w:r>
      <w:r w:rsidRPr="00420D62">
        <w:rPr>
          <w:rFonts w:eastAsia="Times New Roman"/>
          <w:lang w:eastAsia="ko-KR" w:bidi="mni-IN"/>
        </w:rPr>
        <w:t>June 2019</w:t>
      </w:r>
      <w:r w:rsidRPr="00420D62">
        <w:rPr>
          <w:rFonts w:eastAsia="Calibri"/>
          <w:lang w:val="en-US" w:eastAsia="ko-KR" w:bidi="mni-IN"/>
        </w:rPr>
        <w:t>.  Compared to the same period last year, sales were 4.1 percent higher with operating income down 15.4 percent.</w:t>
      </w:r>
      <w:r w:rsidRPr="00420D62">
        <w:rPr>
          <w:rFonts w:eastAsia="Calibri" w:hint="eastAsia"/>
          <w:lang w:val="en-US" w:eastAsia="ko-KR" w:bidi="mni-IN"/>
        </w:rPr>
        <w:t xml:space="preserve"> </w:t>
      </w:r>
      <w:r w:rsidRPr="00420D62">
        <w:rPr>
          <w:rFonts w:eastAsia="Calibri"/>
          <w:lang w:val="en-US" w:eastAsia="ko-KR" w:bidi="mni-IN"/>
        </w:rPr>
        <w:t xml:space="preserve">Record </w:t>
      </w:r>
      <w:r w:rsidRPr="00420D62">
        <w:rPr>
          <w:rFonts w:eastAsia="Calibri"/>
          <w:color w:val="000000" w:themeColor="text1"/>
          <w:lang w:val="en-US" w:eastAsia="ko-KR" w:bidi="mni-IN"/>
        </w:rPr>
        <w:t xml:space="preserve">home appliance profits and strong business solutions profitability offset smaller operating income for </w:t>
      </w:r>
      <w:r w:rsidR="00DC4618" w:rsidRPr="00420D62">
        <w:rPr>
          <w:rFonts w:eastAsia="Calibri"/>
          <w:color w:val="000000" w:themeColor="text1"/>
          <w:lang w:val="en-US" w:eastAsia="ko-KR" w:bidi="mni-IN"/>
        </w:rPr>
        <w:t>home entertainment products</w:t>
      </w:r>
      <w:r w:rsidRPr="00420D62">
        <w:rPr>
          <w:rFonts w:eastAsia="Calibri"/>
          <w:color w:val="000000" w:themeColor="text1"/>
          <w:lang w:val="en-US" w:eastAsia="ko-KR" w:bidi="mni-IN"/>
        </w:rPr>
        <w:t xml:space="preserve"> and losses from vehicle components and mobile communications</w:t>
      </w:r>
      <w:r w:rsidRPr="00420D62">
        <w:rPr>
          <w:rFonts w:eastAsia="Calibri"/>
          <w:lang w:val="en-US" w:eastAsia="ko-KR" w:bidi="mni-IN"/>
        </w:rPr>
        <w:t xml:space="preserve">. </w:t>
      </w:r>
    </w:p>
    <w:p w14:paraId="7B9AB2C7" w14:textId="77777777" w:rsidR="00575CFB" w:rsidRPr="00420D62" w:rsidRDefault="00575CFB">
      <w:pPr>
        <w:widowControl w:val="0"/>
        <w:spacing w:line="360" w:lineRule="auto"/>
        <w:jc w:val="both"/>
        <w:rPr>
          <w:rFonts w:eastAsia="Calibri"/>
          <w:lang w:val="en-US" w:eastAsia="ko-KR" w:bidi="mni-IN"/>
        </w:rPr>
      </w:pPr>
    </w:p>
    <w:p w14:paraId="78C985DC" w14:textId="61380E83" w:rsidR="00575CFB" w:rsidRPr="00420D62" w:rsidRDefault="00D36960">
      <w:pPr>
        <w:widowControl w:val="0"/>
        <w:spacing w:line="360" w:lineRule="auto"/>
        <w:jc w:val="both"/>
        <w:rPr>
          <w:rFonts w:eastAsia="Calibri"/>
          <w:lang w:eastAsia="ko-KR" w:bidi="mni-IN"/>
        </w:rPr>
      </w:pPr>
      <w:r w:rsidRPr="00420D62">
        <w:rPr>
          <w:rFonts w:eastAsia="Calibri"/>
          <w:i/>
          <w:lang w:val="en-US" w:eastAsia="ko-KR" w:bidi="mni-IN"/>
        </w:rPr>
        <w:t>The LG Home Appliance &amp; Air Solution Company</w:t>
      </w:r>
      <w:r w:rsidRPr="00420D62">
        <w:rPr>
          <w:rFonts w:eastAsia="Calibri"/>
          <w:lang w:val="en-US" w:eastAsia="ko-KR" w:bidi="mni-IN"/>
        </w:rPr>
        <w:t xml:space="preserve"> </w:t>
      </w:r>
      <w:r w:rsidRPr="00420D62">
        <w:rPr>
          <w:rFonts w:eastAsia="Calibri"/>
          <w:lang w:eastAsia="ko-KR" w:bidi="mni-IN"/>
        </w:rPr>
        <w:t>reported record</w:t>
      </w:r>
      <w:r w:rsidRPr="00420D62">
        <w:rPr>
          <w:rFonts w:eastAsia="Calibri" w:hint="eastAsia"/>
          <w:lang w:eastAsia="ko-KR" w:bidi="mni-IN"/>
        </w:rPr>
        <w:t xml:space="preserve"> </w:t>
      </w:r>
      <w:r w:rsidRPr="00420D62">
        <w:rPr>
          <w:rFonts w:eastAsia="Calibri"/>
          <w:lang w:eastAsia="ko-KR" w:bidi="mni-IN"/>
        </w:rPr>
        <w:t>sales of KRW 6.10 trillion (USD 5.23 billion) in the second quarter</w:t>
      </w:r>
      <w:r w:rsidRPr="00420D62">
        <w:rPr>
          <w:rFonts w:eastAsia="Calibri"/>
          <w:lang w:val="en-US" w:eastAsia="ko-KR" w:bidi="mni-IN"/>
        </w:rPr>
        <w:t xml:space="preserve">, the highest for the business unit in the history of LG Electronics. </w:t>
      </w:r>
      <w:r w:rsidRPr="00420D62">
        <w:rPr>
          <w:rFonts w:eastAsia="Calibri"/>
          <w:lang w:eastAsia="ko-KR" w:bidi="mni-IN"/>
        </w:rPr>
        <w:t xml:space="preserve">Revenue </w:t>
      </w:r>
      <w:r w:rsidRPr="00420D62">
        <w:rPr>
          <w:rFonts w:eastAsia="Batang"/>
          <w:lang w:eastAsia="ko-KR" w:bidi="mni-IN"/>
        </w:rPr>
        <w:t xml:space="preserve">growth </w:t>
      </w:r>
      <w:r w:rsidRPr="00420D62">
        <w:rPr>
          <w:rFonts w:eastAsia="Calibri"/>
          <w:lang w:eastAsia="ko-KR" w:bidi="mni-IN"/>
        </w:rPr>
        <w:t>was especially strong in Korea and regions such as North America, Europe and the Middle East, increasing 16.1 percent from</w:t>
      </w:r>
      <w:r w:rsidRPr="00420D62">
        <w:rPr>
          <w:rFonts w:eastAsia="Calibri" w:hint="eastAsia"/>
          <w:lang w:eastAsia="ko-KR" w:bidi="mni-IN"/>
        </w:rPr>
        <w:t xml:space="preserve"> </w:t>
      </w:r>
      <w:r w:rsidRPr="00420D62">
        <w:rPr>
          <w:rFonts w:eastAsia="Calibri"/>
          <w:lang w:eastAsia="ko-KR" w:bidi="mni-IN"/>
        </w:rPr>
        <w:t>the</w:t>
      </w:r>
      <w:r w:rsidRPr="00420D62">
        <w:rPr>
          <w:rFonts w:eastAsia="Calibri" w:hint="eastAsia"/>
          <w:lang w:eastAsia="ko-KR" w:bidi="mni-IN"/>
        </w:rPr>
        <w:t xml:space="preserve"> </w:t>
      </w:r>
      <w:r w:rsidRPr="00420D62">
        <w:rPr>
          <w:rFonts w:eastAsia="Calibri"/>
          <w:lang w:eastAsia="ko-KR" w:bidi="mni-IN"/>
        </w:rPr>
        <w:t>second</w:t>
      </w:r>
      <w:r w:rsidRPr="00420D62">
        <w:rPr>
          <w:rFonts w:eastAsia="Calibri" w:hint="eastAsia"/>
          <w:lang w:eastAsia="ko-KR" w:bidi="mni-IN"/>
        </w:rPr>
        <w:t xml:space="preserve"> </w:t>
      </w:r>
      <w:r w:rsidRPr="00420D62">
        <w:rPr>
          <w:rFonts w:eastAsia="Calibri"/>
          <w:lang w:eastAsia="ko-KR" w:bidi="mni-IN"/>
        </w:rPr>
        <w:t>quarter</w:t>
      </w:r>
      <w:r w:rsidRPr="00420D62">
        <w:rPr>
          <w:rFonts w:eastAsia="Calibri" w:hint="eastAsia"/>
          <w:lang w:eastAsia="ko-KR" w:bidi="mni-IN"/>
        </w:rPr>
        <w:t xml:space="preserve"> </w:t>
      </w:r>
      <w:r w:rsidRPr="00420D62">
        <w:rPr>
          <w:rFonts w:eastAsia="Calibri"/>
          <w:lang w:eastAsia="ko-KR" w:bidi="mni-IN"/>
        </w:rPr>
        <w:t>of</w:t>
      </w:r>
      <w:r w:rsidRPr="00420D62">
        <w:rPr>
          <w:rFonts w:eastAsia="Calibri" w:hint="eastAsia"/>
          <w:lang w:eastAsia="ko-KR" w:bidi="mni-IN"/>
        </w:rPr>
        <w:t xml:space="preserve"> 2018</w:t>
      </w:r>
      <w:r w:rsidRPr="00420D62">
        <w:rPr>
          <w:rFonts w:eastAsia="Calibri"/>
          <w:lang w:eastAsia="ko-KR" w:bidi="mni-IN"/>
        </w:rPr>
        <w:t>. Operating income of KRW 717.5 billion (USD 615.3 million) was the highest ever</w:t>
      </w:r>
      <w:r w:rsidRPr="00420D62">
        <w:rPr>
          <w:rFonts w:eastAsia="Calibri" w:hint="eastAsia"/>
          <w:lang w:eastAsia="ko-KR" w:bidi="mni-IN"/>
        </w:rPr>
        <w:t xml:space="preserve"> </w:t>
      </w:r>
      <w:r w:rsidRPr="00420D62">
        <w:rPr>
          <w:rFonts w:eastAsia="Calibri"/>
          <w:lang w:eastAsia="ko-KR" w:bidi="mni-IN"/>
        </w:rPr>
        <w:t>for the April-June period. The business unit recorded strong profitability on the back of stable growth, increased sales of high demand products such as air conditioners and</w:t>
      </w:r>
      <w:r w:rsidRPr="00420D62">
        <w:rPr>
          <w:rFonts w:eastAsia="Calibri" w:hint="eastAsia"/>
          <w:lang w:eastAsia="ko-KR" w:bidi="mni-IN"/>
        </w:rPr>
        <w:t xml:space="preserve"> </w:t>
      </w:r>
      <w:r w:rsidRPr="00420D62">
        <w:rPr>
          <w:rFonts w:eastAsia="Calibri"/>
          <w:lang w:eastAsia="ko-KR" w:bidi="mni-IN"/>
        </w:rPr>
        <w:t>continuous cost reduction activities.</w:t>
      </w:r>
    </w:p>
    <w:p w14:paraId="662135A4" w14:textId="77777777" w:rsidR="00575CFB" w:rsidRPr="00420D62" w:rsidRDefault="00D36960">
      <w:pPr>
        <w:widowControl w:val="0"/>
        <w:spacing w:line="360" w:lineRule="auto"/>
        <w:jc w:val="both"/>
        <w:rPr>
          <w:rFonts w:eastAsia="Batang"/>
          <w:lang w:val="en-US" w:eastAsia="ko-KR" w:bidi="mni-IN"/>
        </w:rPr>
      </w:pPr>
      <w:r w:rsidRPr="00420D62">
        <w:rPr>
          <w:rFonts w:eastAsia="Calibri"/>
          <w:lang w:eastAsia="ko-KR" w:bidi="mni-IN"/>
        </w:rPr>
        <w:t xml:space="preserve">  </w:t>
      </w:r>
    </w:p>
    <w:p w14:paraId="2313C400" w14:textId="1B7B3B07" w:rsidR="00575CFB" w:rsidRPr="00420D62" w:rsidRDefault="00D36960">
      <w:pPr>
        <w:spacing w:line="360" w:lineRule="auto"/>
        <w:jc w:val="both"/>
        <w:rPr>
          <w:rFonts w:eastAsia="Times New Roman"/>
          <w:lang w:val="en-US" w:eastAsia="ko-KR" w:bidi="mni-IN"/>
        </w:rPr>
      </w:pPr>
      <w:r w:rsidRPr="00420D62">
        <w:rPr>
          <w:rFonts w:eastAsia="Times New Roman"/>
          <w:i/>
          <w:lang w:val="en-US" w:eastAsia="ko-KR" w:bidi="mni-IN"/>
        </w:rPr>
        <w:t>The LG Home Entertainment Company</w:t>
      </w:r>
      <w:r w:rsidRPr="00420D62">
        <w:rPr>
          <w:rFonts w:eastAsia="Times New Roman"/>
          <w:lang w:val="en-US" w:eastAsia="ko-KR" w:bidi="mni-IN"/>
        </w:rPr>
        <w:t xml:space="preserve"> generated second-quarter revenues of KRW 3.67 trillion (USD 3.15 billion), a decrease of 4.5 percent from the same period the previous year due to a decline in demand in regions such as Europe and Latin America where major sporting events in the second quarter of 2018 generated strong sales.</w:t>
      </w:r>
      <w:r w:rsidRPr="00420D62">
        <w:rPr>
          <w:rFonts w:eastAsia="Times New Roman" w:hint="eastAsia"/>
          <w:lang w:val="en-US" w:eastAsia="ko-KR" w:bidi="mni-IN"/>
        </w:rPr>
        <w:t xml:space="preserve"> </w:t>
      </w:r>
      <w:r w:rsidRPr="00420D62">
        <w:rPr>
          <w:rFonts w:eastAsia="Times New Roman"/>
          <w:lang w:val="en-US" w:eastAsia="ko-KR" w:bidi="mni-IN"/>
        </w:rPr>
        <w:t>Operating income of KRW 205.6 billion (USD 176.3 million)</w:t>
      </w:r>
      <w:r w:rsidRPr="00420D62">
        <w:rPr>
          <w:rFonts w:eastAsia="Times New Roman" w:hint="eastAsia"/>
          <w:lang w:val="en-US" w:eastAsia="ko-KR" w:bidi="mni-IN"/>
        </w:rPr>
        <w:t xml:space="preserve"> </w:t>
      </w:r>
      <w:r w:rsidRPr="00420D62">
        <w:rPr>
          <w:rFonts w:eastAsia="Times New Roman"/>
          <w:lang w:val="en-US" w:eastAsia="ko-KR" w:bidi="mni-IN"/>
        </w:rPr>
        <w:t>declined from the previous quarter due to higher</w:t>
      </w:r>
      <w:r w:rsidRPr="00420D62">
        <w:rPr>
          <w:rFonts w:eastAsia="Times New Roman" w:hint="eastAsia"/>
          <w:lang w:val="en-US" w:eastAsia="ko-KR" w:bidi="mni-IN"/>
        </w:rPr>
        <w:t xml:space="preserve"> </w:t>
      </w:r>
      <w:r w:rsidRPr="00420D62">
        <w:rPr>
          <w:rFonts w:eastAsia="Times New Roman"/>
          <w:lang w:val="en-US" w:eastAsia="ko-KR" w:bidi="mni-IN"/>
        </w:rPr>
        <w:t>investments</w:t>
      </w:r>
      <w:r w:rsidRPr="00420D62">
        <w:rPr>
          <w:rFonts w:eastAsia="Times New Roman" w:hint="eastAsia"/>
          <w:lang w:val="en-US" w:eastAsia="ko-KR" w:bidi="mni-IN"/>
        </w:rPr>
        <w:t xml:space="preserve"> </w:t>
      </w:r>
      <w:r w:rsidRPr="00420D62">
        <w:rPr>
          <w:rFonts w:eastAsia="Times New Roman"/>
          <w:lang w:val="en-US" w:eastAsia="ko-KR" w:bidi="mni-IN"/>
        </w:rPr>
        <w:t>in</w:t>
      </w:r>
      <w:r w:rsidRPr="00420D62">
        <w:rPr>
          <w:rFonts w:eastAsia="Times New Roman" w:hint="eastAsia"/>
          <w:lang w:val="en-US" w:eastAsia="ko-KR" w:bidi="mni-IN"/>
        </w:rPr>
        <w:t xml:space="preserve"> </w:t>
      </w:r>
      <w:r w:rsidRPr="00420D62">
        <w:rPr>
          <w:rFonts w:eastAsia="Times New Roman"/>
          <w:lang w:val="en-US" w:eastAsia="ko-KR" w:bidi="mni-IN"/>
        </w:rPr>
        <w:t>light</w:t>
      </w:r>
      <w:r w:rsidRPr="00420D62">
        <w:rPr>
          <w:rFonts w:eastAsia="Times New Roman" w:hint="eastAsia"/>
          <w:lang w:val="en-US" w:eastAsia="ko-KR" w:bidi="mni-IN"/>
        </w:rPr>
        <w:t xml:space="preserve"> </w:t>
      </w:r>
      <w:r w:rsidRPr="00420D62">
        <w:rPr>
          <w:rFonts w:eastAsia="Times New Roman"/>
          <w:lang w:val="en-US" w:eastAsia="ko-KR" w:bidi="mni-IN"/>
        </w:rPr>
        <w:t>of greater competition in key markets and exchange rate depreciation.</w:t>
      </w:r>
      <w:r w:rsidRPr="00420D62">
        <w:t xml:space="preserve"> The business unit expects to see a growth in demand in premium products such as OLED TVs, </w:t>
      </w:r>
      <w:proofErr w:type="spellStart"/>
      <w:r w:rsidRPr="00420D62">
        <w:t>NanoCell</w:t>
      </w:r>
      <w:proofErr w:type="spellEnd"/>
      <w:r w:rsidRPr="00420D62">
        <w:t xml:space="preserve"> TVs and large-screen Ultra HD TVs next quarter.</w:t>
      </w:r>
    </w:p>
    <w:p w14:paraId="4852EB4C" w14:textId="77777777" w:rsidR="00575CFB" w:rsidRPr="00420D62" w:rsidRDefault="00575CFB">
      <w:pPr>
        <w:widowControl w:val="0"/>
        <w:spacing w:line="360" w:lineRule="auto"/>
        <w:jc w:val="both"/>
        <w:rPr>
          <w:rFonts w:eastAsia="Batang"/>
          <w:iCs/>
          <w:lang w:eastAsia="ko-KR" w:bidi="mni-IN"/>
        </w:rPr>
      </w:pPr>
    </w:p>
    <w:p w14:paraId="30199E66" w14:textId="2F1BC63A" w:rsidR="00575CFB" w:rsidRPr="00420D62" w:rsidRDefault="00D36960">
      <w:pPr>
        <w:widowControl w:val="0"/>
        <w:spacing w:line="360" w:lineRule="auto"/>
        <w:jc w:val="both"/>
        <w:rPr>
          <w:rFonts w:eastAsia="Batang"/>
          <w:lang w:eastAsia="ko-KR" w:bidi="mni-IN"/>
        </w:rPr>
      </w:pPr>
      <w:r w:rsidRPr="00420D62">
        <w:rPr>
          <w:rFonts w:eastAsia="Batang"/>
          <w:i/>
          <w:iCs/>
          <w:lang w:eastAsia="ko-KR" w:bidi="mni-IN"/>
        </w:rPr>
        <w:lastRenderedPageBreak/>
        <w:t>The LG Mobile Communications Company</w:t>
      </w:r>
      <w:r w:rsidRPr="00420D62">
        <w:rPr>
          <w:rFonts w:eastAsia="Batang"/>
          <w:lang w:eastAsia="ko-KR" w:bidi="mni-IN"/>
        </w:rPr>
        <w:t> recorded second</w:t>
      </w:r>
      <w:r w:rsidRPr="00420D62">
        <w:rPr>
          <w:rFonts w:eastAsia="Batang" w:hint="eastAsia"/>
          <w:lang w:eastAsia="ko-KR" w:bidi="mni-IN"/>
        </w:rPr>
        <w:t>-</w:t>
      </w:r>
      <w:r w:rsidRPr="00420D62">
        <w:rPr>
          <w:rFonts w:eastAsia="Batang"/>
          <w:lang w:eastAsia="ko-KR" w:bidi="mni-IN"/>
        </w:rPr>
        <w:t>quarter</w:t>
      </w:r>
      <w:r w:rsidRPr="00420D62">
        <w:rPr>
          <w:rFonts w:eastAsia="Batang" w:hint="eastAsia"/>
          <w:lang w:eastAsia="ko-KR" w:bidi="mni-IN"/>
        </w:rPr>
        <w:t xml:space="preserve"> 2019 </w:t>
      </w:r>
      <w:r w:rsidRPr="00420D62">
        <w:rPr>
          <w:rFonts w:eastAsia="Batang"/>
          <w:lang w:eastAsia="ko-KR" w:bidi="mni-IN"/>
        </w:rPr>
        <w:t>sales of KRW 1.61 trillion (USD 1.38 billion), 21.3 percent lower</w:t>
      </w:r>
      <w:r w:rsidRPr="00420D62">
        <w:rPr>
          <w:rFonts w:eastAsia="Batang" w:hint="eastAsia"/>
          <w:lang w:eastAsia="ko-KR" w:bidi="mni-IN"/>
        </w:rPr>
        <w:t xml:space="preserve"> </w:t>
      </w:r>
      <w:r w:rsidRPr="00420D62">
        <w:rPr>
          <w:rFonts w:eastAsia="Batang"/>
          <w:lang w:eastAsia="ko-KR" w:bidi="mni-IN"/>
        </w:rPr>
        <w:t>than</w:t>
      </w:r>
      <w:r w:rsidRPr="00420D62">
        <w:rPr>
          <w:rFonts w:eastAsia="Batang" w:hint="eastAsia"/>
          <w:lang w:eastAsia="ko-KR" w:bidi="mni-IN"/>
        </w:rPr>
        <w:t xml:space="preserve"> </w:t>
      </w:r>
      <w:r w:rsidRPr="00420D62">
        <w:rPr>
          <w:rFonts w:eastAsia="Batang"/>
          <w:lang w:eastAsia="ko-KR" w:bidi="mni-IN"/>
        </w:rPr>
        <w:t>the</w:t>
      </w:r>
      <w:r w:rsidRPr="00420D62">
        <w:rPr>
          <w:rFonts w:eastAsia="Batang" w:hint="eastAsia"/>
          <w:lang w:eastAsia="ko-KR" w:bidi="mni-IN"/>
        </w:rPr>
        <w:t xml:space="preserve"> </w:t>
      </w:r>
      <w:r w:rsidRPr="00420D62">
        <w:rPr>
          <w:rFonts w:eastAsia="Batang"/>
          <w:lang w:eastAsia="ko-KR" w:bidi="mni-IN"/>
        </w:rPr>
        <w:t>same</w:t>
      </w:r>
      <w:r w:rsidRPr="00420D62">
        <w:rPr>
          <w:rFonts w:eastAsia="Batang" w:hint="eastAsia"/>
          <w:lang w:eastAsia="ko-KR" w:bidi="mni-IN"/>
        </w:rPr>
        <w:t xml:space="preserve"> </w:t>
      </w:r>
      <w:r w:rsidRPr="00420D62">
        <w:rPr>
          <w:rFonts w:eastAsia="Batang"/>
          <w:lang w:eastAsia="ko-KR" w:bidi="mni-IN"/>
        </w:rPr>
        <w:t>period</w:t>
      </w:r>
      <w:r w:rsidRPr="00420D62">
        <w:rPr>
          <w:rFonts w:eastAsia="Batang" w:hint="eastAsia"/>
          <w:lang w:eastAsia="ko-KR" w:bidi="mni-IN"/>
        </w:rPr>
        <w:t xml:space="preserve"> </w:t>
      </w:r>
      <w:r w:rsidRPr="00420D62">
        <w:rPr>
          <w:rFonts w:eastAsia="Batang"/>
          <w:lang w:eastAsia="ko-KR" w:bidi="mni-IN"/>
        </w:rPr>
        <w:t>last</w:t>
      </w:r>
      <w:r w:rsidRPr="00420D62">
        <w:rPr>
          <w:rFonts w:eastAsia="Batang" w:hint="eastAsia"/>
          <w:lang w:eastAsia="ko-KR" w:bidi="mni-IN"/>
        </w:rPr>
        <w:t xml:space="preserve"> </w:t>
      </w:r>
      <w:r w:rsidRPr="00420D62">
        <w:rPr>
          <w:rFonts w:eastAsia="Batang"/>
          <w:lang w:eastAsia="ko-KR" w:bidi="mni-IN"/>
        </w:rPr>
        <w:t>year</w:t>
      </w:r>
      <w:r w:rsidRPr="00420D62">
        <w:rPr>
          <w:rFonts w:eastAsia="Batang" w:hint="eastAsia"/>
          <w:lang w:eastAsia="ko-KR" w:bidi="mni-IN"/>
        </w:rPr>
        <w:t xml:space="preserve"> </w:t>
      </w:r>
      <w:r w:rsidRPr="00420D62">
        <w:rPr>
          <w:rFonts w:eastAsia="Batang"/>
          <w:lang w:eastAsia="ko-KR" w:bidi="mni-IN"/>
        </w:rPr>
        <w:t>due to stagnant demand in the smartphone market and continued aggressive pricing by Chinese brands. Sales</w:t>
      </w:r>
      <w:r w:rsidRPr="00420D62">
        <w:rPr>
          <w:rFonts w:eastAsia="Batang" w:hint="eastAsia"/>
          <w:lang w:eastAsia="ko-KR" w:bidi="mni-IN"/>
        </w:rPr>
        <w:t xml:space="preserve"> </w:t>
      </w:r>
      <w:r w:rsidRPr="00420D62">
        <w:rPr>
          <w:rFonts w:eastAsia="Batang"/>
          <w:lang w:eastAsia="ko-KR" w:bidi="mni-IN"/>
        </w:rPr>
        <w:t>increased 6.8 percent from the first quarter but the business united reported an operating loss of KRW 313 billion (USD 268.4 million) as a result of higher marketing investment to support the launch of new models and additional costs related to relocating smartphone</w:t>
      </w:r>
      <w:r w:rsidR="00F13239" w:rsidRPr="00420D62">
        <w:rPr>
          <w:rFonts w:eastAsia="Batang"/>
          <w:lang w:eastAsia="ko-KR" w:bidi="mni-IN"/>
        </w:rPr>
        <w:t xml:space="preserve"> </w:t>
      </w:r>
      <w:r w:rsidRPr="00420D62">
        <w:rPr>
          <w:rFonts w:eastAsia="Batang"/>
          <w:lang w:eastAsia="ko-KR" w:bidi="mni-IN"/>
        </w:rPr>
        <w:t>production to Vietnam. The introduction of competitive mass-tier smartphones and growing demand for 5G products are expected to contribute to improved performance in the third quarter.</w:t>
      </w:r>
    </w:p>
    <w:p w14:paraId="61DE7616" w14:textId="77777777" w:rsidR="00575CFB" w:rsidRPr="00420D62" w:rsidRDefault="00575CFB">
      <w:pPr>
        <w:widowControl w:val="0"/>
        <w:spacing w:line="360" w:lineRule="auto"/>
        <w:jc w:val="both"/>
        <w:rPr>
          <w:rFonts w:eastAsia="Malgun Gothic"/>
          <w:color w:val="0000FF"/>
          <w:lang w:eastAsia="ko-KR" w:bidi="mni-IN"/>
        </w:rPr>
      </w:pPr>
    </w:p>
    <w:p w14:paraId="2E650B53" w14:textId="1DE33B74" w:rsidR="00575CFB" w:rsidRPr="00420D62" w:rsidRDefault="00D36960">
      <w:pPr>
        <w:pBdr>
          <w:top w:val="nil"/>
          <w:left w:val="nil"/>
          <w:bottom w:val="nil"/>
          <w:right w:val="nil"/>
          <w:between w:val="nil"/>
        </w:pBdr>
        <w:shd w:val="solid" w:color="FFFFFF" w:fill="auto"/>
        <w:spacing w:line="360" w:lineRule="auto"/>
        <w:jc w:val="both"/>
        <w:rPr>
          <w:rFonts w:eastAsia="Calibri"/>
          <w:lang w:val="en-US" w:eastAsia="ko-KR" w:bidi="mni-IN"/>
        </w:rPr>
      </w:pPr>
      <w:r w:rsidRPr="00420D62">
        <w:rPr>
          <w:rFonts w:eastAsia="Calibri"/>
          <w:i/>
          <w:lang w:val="en-US" w:eastAsia="ko-KR" w:bidi="mni-IN"/>
        </w:rPr>
        <w:t>The LG Vehicle Component Solutions Company</w:t>
      </w:r>
      <w:r w:rsidRPr="00420D62">
        <w:rPr>
          <w:rFonts w:eastAsia="Calibri"/>
          <w:lang w:val="en-US" w:eastAsia="ko-KR" w:bidi="mni-IN"/>
        </w:rPr>
        <w:t xml:space="preserve"> posted quarterly revenues of KRW 1.42 trillion (USD 1.22 billion)</w:t>
      </w:r>
      <w:r w:rsidRPr="00420D62">
        <w:rPr>
          <w:rFonts w:eastAsia="Calibri" w:hint="eastAsia"/>
          <w:lang w:val="en-US" w:eastAsia="ko-KR" w:bidi="mni-IN"/>
        </w:rPr>
        <w:t xml:space="preserve">, </w:t>
      </w:r>
      <w:r w:rsidRPr="00420D62">
        <w:rPr>
          <w:rFonts w:eastAsia="Calibri"/>
          <w:lang w:val="en-US" w:eastAsia="ko-KR" w:bidi="mni-IN"/>
        </w:rPr>
        <w:t>an increase of 63 p</w:t>
      </w:r>
      <w:r w:rsidRPr="00420D62">
        <w:rPr>
          <w:rFonts w:eastAsia="Calibri" w:hint="eastAsia"/>
          <w:lang w:val="en-US" w:eastAsia="ko-KR" w:bidi="mni-IN"/>
        </w:rPr>
        <w:t xml:space="preserve">ercent </w:t>
      </w:r>
      <w:r w:rsidRPr="00420D62">
        <w:rPr>
          <w:rFonts w:eastAsia="Calibri"/>
          <w:lang w:val="en-US" w:eastAsia="ko-KR" w:bidi="mni-IN"/>
        </w:rPr>
        <w:t>from the second quarter last year. Strong sales of infotainment products and an increase in demand for electric</w:t>
      </w:r>
      <w:r w:rsidRPr="00420D62">
        <w:rPr>
          <w:rFonts w:eastAsia="Calibri" w:hint="eastAsia"/>
          <w:lang w:val="en-US" w:eastAsia="ko-KR" w:bidi="mni-IN"/>
        </w:rPr>
        <w:t xml:space="preserve"> </w:t>
      </w:r>
      <w:r w:rsidRPr="00420D62">
        <w:rPr>
          <w:rFonts w:eastAsia="Calibri"/>
          <w:lang w:val="en-US" w:eastAsia="ko-KR" w:bidi="mni-IN"/>
        </w:rPr>
        <w:t>vehicle components resulted in the stronger sales. An operating loss of KRW 55.80 billion (USD 47.8 million) was primarily due</w:t>
      </w:r>
      <w:r w:rsidRPr="00420D62">
        <w:rPr>
          <w:rFonts w:eastAsia="Calibri" w:hint="eastAsia"/>
          <w:lang w:val="en-US" w:eastAsia="ko-KR" w:bidi="mni-IN"/>
        </w:rPr>
        <w:t xml:space="preserve"> </w:t>
      </w:r>
      <w:r w:rsidRPr="00420D62">
        <w:rPr>
          <w:rFonts w:eastAsia="Calibri"/>
          <w:lang w:val="en-US" w:eastAsia="ko-KR" w:bidi="mni-IN"/>
        </w:rPr>
        <w:t>to</w:t>
      </w:r>
      <w:r w:rsidRPr="00420D62">
        <w:rPr>
          <w:rFonts w:eastAsia="Calibri" w:hint="eastAsia"/>
          <w:lang w:val="en-US" w:eastAsia="ko-KR" w:bidi="mni-IN"/>
        </w:rPr>
        <w:t xml:space="preserve"> </w:t>
      </w:r>
      <w:r w:rsidRPr="00420D62">
        <w:rPr>
          <w:rFonts w:eastAsia="Calibri"/>
          <w:lang w:val="en-US" w:eastAsia="ko-KR" w:bidi="mni-IN"/>
        </w:rPr>
        <w:t>initial production expenditures related to the ramp up of new</w:t>
      </w:r>
      <w:r w:rsidRPr="00420D62">
        <w:rPr>
          <w:rFonts w:eastAsia="Calibri" w:hint="eastAsia"/>
          <w:lang w:val="en-US" w:eastAsia="ko-KR" w:bidi="mni-IN"/>
        </w:rPr>
        <w:t xml:space="preserve"> </w:t>
      </w:r>
      <w:r w:rsidRPr="00420D62">
        <w:rPr>
          <w:rFonts w:eastAsia="Calibri"/>
          <w:lang w:val="en-US" w:eastAsia="ko-KR" w:bidi="mni-IN"/>
        </w:rPr>
        <w:t>projects</w:t>
      </w:r>
      <w:r w:rsidRPr="00420D62">
        <w:rPr>
          <w:rFonts w:eastAsia="Calibri" w:hint="eastAsia"/>
          <w:lang w:val="en-US" w:eastAsia="ko-KR" w:bidi="mni-IN"/>
        </w:rPr>
        <w:t xml:space="preserve"> </w:t>
      </w:r>
      <w:r w:rsidRPr="00420D62">
        <w:rPr>
          <w:rFonts w:eastAsia="Calibri"/>
          <w:lang w:val="en-US" w:eastAsia="ko-KR" w:bidi="mni-IN"/>
        </w:rPr>
        <w:t>and</w:t>
      </w:r>
      <w:r w:rsidRPr="00420D62">
        <w:rPr>
          <w:rFonts w:eastAsia="Calibri" w:hint="eastAsia"/>
          <w:lang w:val="en-US" w:eastAsia="ko-KR" w:bidi="mni-IN"/>
        </w:rPr>
        <w:t xml:space="preserve"> </w:t>
      </w:r>
      <w:r w:rsidRPr="00420D62">
        <w:rPr>
          <w:rFonts w:eastAsia="Calibri"/>
          <w:lang w:val="en-US" w:eastAsia="ko-KR" w:bidi="mni-IN"/>
        </w:rPr>
        <w:t xml:space="preserve">delays in setting up manufacturing of new applications such as center information displays (CID). In the quarters ahead, the company will focus on stabilizing the supply of components to major customers and prioritizing cost reductions related to new projects. </w:t>
      </w:r>
    </w:p>
    <w:p w14:paraId="7570471D" w14:textId="77777777" w:rsidR="00575CFB" w:rsidRPr="00420D62" w:rsidRDefault="00575CFB">
      <w:pPr>
        <w:pBdr>
          <w:top w:val="nil"/>
          <w:left w:val="nil"/>
          <w:bottom w:val="nil"/>
          <w:right w:val="nil"/>
          <w:between w:val="nil"/>
        </w:pBdr>
        <w:shd w:val="solid" w:color="FFFFFF" w:fill="auto"/>
        <w:spacing w:line="360" w:lineRule="auto"/>
        <w:jc w:val="both"/>
        <w:rPr>
          <w:rFonts w:eastAsia="Calibri"/>
          <w:lang w:val="en-US" w:eastAsia="ko-KR" w:bidi="mni-IN"/>
        </w:rPr>
      </w:pPr>
    </w:p>
    <w:p w14:paraId="6F652D2D" w14:textId="06C8ACEC" w:rsidR="00575CFB" w:rsidRPr="00420D62" w:rsidRDefault="00D36960">
      <w:pPr>
        <w:widowControl w:val="0"/>
        <w:spacing w:line="360" w:lineRule="auto"/>
        <w:jc w:val="both"/>
        <w:rPr>
          <w:rFonts w:eastAsia="Batang"/>
          <w:lang w:eastAsia="ko-KR" w:bidi="mni-IN"/>
        </w:rPr>
      </w:pPr>
      <w:r w:rsidRPr="00420D62">
        <w:rPr>
          <w:rFonts w:eastAsia="Batang"/>
          <w:i/>
          <w:lang w:eastAsia="ko-KR" w:bidi="mni-IN"/>
        </w:rPr>
        <w:t>The LG Business Solutions Company</w:t>
      </w:r>
      <w:r w:rsidRPr="00420D62">
        <w:rPr>
          <w:rFonts w:eastAsia="Batang"/>
          <w:lang w:eastAsia="ko-KR" w:bidi="mni-IN"/>
        </w:rPr>
        <w:t xml:space="preserve"> reported</w:t>
      </w:r>
      <w:r w:rsidRPr="00420D62">
        <w:rPr>
          <w:rFonts w:eastAsia="Batang" w:hint="eastAsia"/>
          <w:lang w:eastAsia="ko-KR" w:bidi="mni-IN"/>
        </w:rPr>
        <w:t xml:space="preserve"> </w:t>
      </w:r>
      <w:r w:rsidRPr="00420D62">
        <w:rPr>
          <w:rFonts w:eastAsia="Batang"/>
          <w:lang w:eastAsia="ko-KR" w:bidi="mni-IN"/>
        </w:rPr>
        <w:t>second</w:t>
      </w:r>
      <w:r w:rsidRPr="00420D62">
        <w:rPr>
          <w:rFonts w:eastAsia="Batang" w:hint="eastAsia"/>
          <w:lang w:eastAsia="ko-KR" w:bidi="mni-IN"/>
        </w:rPr>
        <w:t>-</w:t>
      </w:r>
      <w:r w:rsidRPr="00420D62">
        <w:rPr>
          <w:rFonts w:eastAsia="Batang"/>
          <w:lang w:eastAsia="ko-KR" w:bidi="mni-IN"/>
        </w:rPr>
        <w:t>quarter sales of KRW 675.5 billion (USD 579.29 million), 14.8 percent higher than the same quarter the previous year and 8 percent higher than the previous quarter due to greater demand for LED and OLED</w:t>
      </w:r>
      <w:r w:rsidRPr="00420D62">
        <w:rPr>
          <w:rFonts w:eastAsia="Batang" w:hint="eastAsia"/>
          <w:lang w:eastAsia="ko-KR" w:bidi="mni-IN"/>
        </w:rPr>
        <w:t xml:space="preserve"> </w:t>
      </w:r>
      <w:r w:rsidRPr="00420D62">
        <w:rPr>
          <w:rFonts w:eastAsia="Batang"/>
          <w:lang w:eastAsia="ko-KR" w:bidi="mni-IN"/>
        </w:rPr>
        <w:t>commercial display products and solar panels in Europe and the United States. Operating income of KRW 58.1 billion (USD 49.82 million) was 49 percent higher year-on-year and 4.7 percent higher quarter-on-quarter mostly through improved efficiencies in cost and productivity. Going forward, growth in both information displays and solar modules are expected to remain strong.</w:t>
      </w:r>
    </w:p>
    <w:p w14:paraId="17830B1D" w14:textId="77777777" w:rsidR="00575CFB" w:rsidRPr="00420D62" w:rsidRDefault="00575CFB">
      <w:pPr>
        <w:widowControl w:val="0"/>
        <w:spacing w:line="360" w:lineRule="auto"/>
        <w:jc w:val="both"/>
        <w:rPr>
          <w:rFonts w:eastAsia="Batang"/>
          <w:lang w:eastAsia="ko-KR" w:bidi="mni-IN"/>
        </w:rPr>
      </w:pPr>
    </w:p>
    <w:p w14:paraId="194E2371" w14:textId="77777777" w:rsidR="00575CFB" w:rsidRPr="00420D62" w:rsidRDefault="00D36960">
      <w:pPr>
        <w:widowControl w:val="0"/>
        <w:spacing w:line="360" w:lineRule="auto"/>
        <w:jc w:val="both"/>
        <w:rPr>
          <w:rFonts w:eastAsia="Calibri"/>
          <w:lang w:val="en-US" w:eastAsia="ko-KR" w:bidi="mni-IN"/>
        </w:rPr>
      </w:pPr>
      <w:r w:rsidRPr="00420D62">
        <w:rPr>
          <w:rFonts w:eastAsia="Malgun Gothic"/>
          <w:b/>
          <w:bCs/>
          <w:i/>
          <w:iCs/>
          <w:lang w:val="en-US" w:eastAsia="ko-KR"/>
        </w:rPr>
        <w:t xml:space="preserve">2019 </w:t>
      </w:r>
      <w:r w:rsidRPr="00420D62">
        <w:rPr>
          <w:rFonts w:eastAsia="Malgun Gothic"/>
          <w:b/>
          <w:bCs/>
          <w:i/>
          <w:iCs/>
          <w:lang w:eastAsia="ko-KR"/>
        </w:rPr>
        <w:t>1</w:t>
      </w:r>
      <w:r w:rsidRPr="00420D62">
        <w:rPr>
          <w:rFonts w:eastAsia="Malgun Gothic" w:hint="eastAsia"/>
          <w:b/>
          <w:bCs/>
          <w:i/>
          <w:iCs/>
          <w:lang w:eastAsia="ko-KR"/>
        </w:rPr>
        <w:t>Q</w:t>
      </w:r>
      <w:r w:rsidRPr="00420D62">
        <w:rPr>
          <w:rFonts w:eastAsia="Malgun Gothic"/>
          <w:b/>
          <w:bCs/>
          <w:i/>
          <w:iCs/>
          <w:lang w:val="en-US" w:eastAsia="ko-KR"/>
        </w:rPr>
        <w:t xml:space="preserve"> Exchange Rates Explained </w:t>
      </w:r>
    </w:p>
    <w:p w14:paraId="65B25999" w14:textId="77777777" w:rsidR="00575CFB" w:rsidRPr="00420D62" w:rsidRDefault="00D36960">
      <w:pPr>
        <w:widowControl w:val="0"/>
        <w:spacing w:line="360" w:lineRule="auto"/>
        <w:jc w:val="both"/>
        <w:rPr>
          <w:rFonts w:eastAsia="Malgun Gothic"/>
          <w:lang w:eastAsia="ko-KR"/>
        </w:rPr>
      </w:pPr>
      <w:r w:rsidRPr="00420D62">
        <w:rPr>
          <w:rFonts w:eastAsia="Malgun Gothic"/>
          <w:lang w:val="en-US" w:eastAsia="ko-KR"/>
        </w:rPr>
        <w:t xml:space="preserve">LG Electronics’ unaudited quarterly earnings results are based on IFRS (International </w:t>
      </w:r>
      <w:r w:rsidRPr="00420D62">
        <w:rPr>
          <w:rFonts w:eastAsia="Malgun Gothic"/>
          <w:lang w:val="en-US" w:eastAsia="ko-KR"/>
        </w:rPr>
        <w:lastRenderedPageBreak/>
        <w:t>Financial Reporting Standards) for the three-month period ending June</w:t>
      </w:r>
      <w:r w:rsidRPr="00420D62">
        <w:rPr>
          <w:rFonts w:eastAsia="Malgun Gothic"/>
          <w:lang w:eastAsia="ko-KR"/>
        </w:rPr>
        <w:t xml:space="preserve"> </w:t>
      </w:r>
      <w:r w:rsidRPr="00420D62">
        <w:rPr>
          <w:rFonts w:eastAsia="Malgun Gothic"/>
          <w:lang w:val="en-US" w:eastAsia="ko-KR"/>
        </w:rPr>
        <w:t>3</w:t>
      </w:r>
      <w:r w:rsidRPr="00420D62">
        <w:rPr>
          <w:rFonts w:eastAsia="Malgun Gothic"/>
          <w:lang w:eastAsia="ko-KR"/>
        </w:rPr>
        <w:t>0</w:t>
      </w:r>
      <w:r w:rsidRPr="00420D62">
        <w:rPr>
          <w:rFonts w:eastAsia="Malgun Gothic"/>
          <w:lang w:val="en-US" w:eastAsia="ko-KR"/>
        </w:rPr>
        <w:t xml:space="preserve">, 2019. Amounts in Korean won (KRW) are translated into U.S. dollars (USD) at the average rate of the three-month period of the corresponding quarter — KRW </w:t>
      </w:r>
      <w:r w:rsidRPr="00420D62">
        <w:rPr>
          <w:rFonts w:eastAsia="Malgun Gothic"/>
          <w:lang w:eastAsia="ko-KR"/>
        </w:rPr>
        <w:t>1,166.09</w:t>
      </w:r>
      <w:r w:rsidRPr="00420D62">
        <w:rPr>
          <w:rFonts w:eastAsia="Malgun Gothic"/>
          <w:lang w:val="en-US" w:eastAsia="ko-KR"/>
        </w:rPr>
        <w:t xml:space="preserve"> per USD</w:t>
      </w:r>
      <w:r w:rsidRPr="00420D62">
        <w:rPr>
          <w:rFonts w:eastAsia="Malgun Gothic"/>
          <w:lang w:eastAsia="ko-KR"/>
        </w:rPr>
        <w:t>.</w:t>
      </w:r>
    </w:p>
    <w:p w14:paraId="06244197" w14:textId="77777777" w:rsidR="00575CFB" w:rsidRPr="00420D62" w:rsidRDefault="00575CFB">
      <w:pPr>
        <w:widowControl w:val="0"/>
        <w:spacing w:line="360" w:lineRule="auto"/>
        <w:jc w:val="both"/>
        <w:rPr>
          <w:rFonts w:eastAsia="Malgun Gothic"/>
          <w:lang w:eastAsia="ko-KR"/>
        </w:rPr>
      </w:pPr>
    </w:p>
    <w:p w14:paraId="37F4ECC3" w14:textId="77777777" w:rsidR="00575CFB" w:rsidRPr="00420D62" w:rsidRDefault="00D36960">
      <w:pPr>
        <w:widowControl w:val="0"/>
        <w:spacing w:line="360" w:lineRule="auto"/>
        <w:jc w:val="both"/>
        <w:rPr>
          <w:rFonts w:eastAsia="Malgun Gothic"/>
          <w:lang w:val="en-US" w:eastAsia="ko-KR"/>
        </w:rPr>
      </w:pPr>
      <w:r w:rsidRPr="00420D62">
        <w:rPr>
          <w:rFonts w:eastAsia="Malgun Gothic"/>
          <w:b/>
          <w:bCs/>
          <w:i/>
          <w:iCs/>
          <w:lang w:val="en-US" w:eastAsia="ko-KR"/>
        </w:rPr>
        <w:t xml:space="preserve">Earnings Conference and Conference Call </w:t>
      </w:r>
    </w:p>
    <w:p w14:paraId="4A2BC370" w14:textId="77777777" w:rsidR="00575CFB" w:rsidRPr="00420D62" w:rsidRDefault="00D36960">
      <w:pPr>
        <w:widowControl w:val="0"/>
        <w:spacing w:line="360" w:lineRule="auto"/>
        <w:ind w:right="-96"/>
        <w:jc w:val="both"/>
        <w:rPr>
          <w:rFonts w:eastAsia="Malgun Gothic"/>
          <w:lang w:val="en-US" w:eastAsia="ko-KR"/>
        </w:rPr>
      </w:pPr>
      <w:r w:rsidRPr="00420D62">
        <w:rPr>
          <w:rFonts w:eastAsia="Malgun Gothic"/>
          <w:lang w:val="en-US" w:eastAsia="ko-KR"/>
        </w:rPr>
        <w:t>LG Electronics will hold an English language conference call on July 31, 2019 at 09:00 Korea Standard Time (00:00 GMT/UTC). Participants for the English conference call are instructed to call +82 31 810 3061 and enter the passcode 9084#. The corresponding presentation file will be available for download at the LG Electronics website (www.lg.com/global/ir/reports/earning-release.jsp) at approximately 16:00 on July 30, 2019. Visit http://pin.teletogether.com/eng and pre-register with the passcode provided. For those unable to participate, an audio recording of the news conference will be available for a period of 30 days after the conclusion of the call. To access the recording, dial +82 31 931 3100 and enter the passcode 142950# when prompted.</w:t>
      </w:r>
    </w:p>
    <w:p w14:paraId="0BF58E49" w14:textId="77777777" w:rsidR="00575CFB" w:rsidRPr="00420D62" w:rsidRDefault="00575CFB">
      <w:pPr>
        <w:widowControl w:val="0"/>
        <w:spacing w:line="348" w:lineRule="auto"/>
        <w:ind w:right="-96"/>
        <w:jc w:val="both"/>
        <w:rPr>
          <w:rFonts w:eastAsia="Malgun Gothic"/>
          <w:bCs/>
          <w:lang w:eastAsia="ko-KR" w:bidi="mni-IN"/>
        </w:rPr>
      </w:pPr>
    </w:p>
    <w:p w14:paraId="66603DE4" w14:textId="77777777" w:rsidR="00575CFB" w:rsidRPr="00420D62" w:rsidRDefault="00D36960">
      <w:pPr>
        <w:widowControl w:val="0"/>
        <w:spacing w:line="348" w:lineRule="auto"/>
        <w:ind w:right="-96"/>
        <w:jc w:val="center"/>
        <w:rPr>
          <w:rFonts w:eastAsia="Malgun Gothic"/>
          <w:bCs/>
          <w:lang w:eastAsia="ko-KR" w:bidi="mni-IN"/>
        </w:rPr>
      </w:pPr>
      <w:r w:rsidRPr="00420D62">
        <w:rPr>
          <w:rFonts w:eastAsia="Times New Roman"/>
          <w:lang w:eastAsia="ko-KR"/>
        </w:rPr>
        <w:t># # #</w:t>
      </w:r>
    </w:p>
    <w:p w14:paraId="15333696" w14:textId="77777777" w:rsidR="00575CFB" w:rsidRPr="00420D62" w:rsidRDefault="00575CFB">
      <w:pPr>
        <w:widowControl w:val="0"/>
        <w:jc w:val="both"/>
        <w:rPr>
          <w:rFonts w:eastAsia="Times New Roman"/>
          <w:b/>
          <w:bCs/>
          <w:color w:val="C5003D"/>
          <w:sz w:val="18"/>
          <w:szCs w:val="18"/>
        </w:rPr>
      </w:pPr>
    </w:p>
    <w:p w14:paraId="68C1DB67" w14:textId="77777777" w:rsidR="00575CFB" w:rsidRPr="00420D62" w:rsidRDefault="00575CFB">
      <w:pPr>
        <w:widowControl w:val="0"/>
        <w:jc w:val="both"/>
        <w:rPr>
          <w:rFonts w:eastAsia="Calibri"/>
          <w:b/>
          <w:color w:val="CC0066"/>
          <w:sz w:val="18"/>
          <w:szCs w:val="18"/>
          <w:lang w:val="en-US" w:eastAsia="ko-KR"/>
        </w:rPr>
      </w:pPr>
    </w:p>
    <w:p w14:paraId="700AE01F" w14:textId="77777777" w:rsidR="00575CFB" w:rsidRPr="00420D62" w:rsidRDefault="00D36960">
      <w:pPr>
        <w:widowControl w:val="0"/>
        <w:rPr>
          <w:rFonts w:eastAsia="Calibri"/>
          <w:b/>
          <w:bCs/>
          <w:color w:val="C5003D"/>
          <w:sz w:val="18"/>
          <w:szCs w:val="18"/>
        </w:rPr>
      </w:pPr>
      <w:r w:rsidRPr="00420D62">
        <w:rPr>
          <w:rFonts w:eastAsia="Times New Roman"/>
          <w:b/>
          <w:bCs/>
          <w:color w:val="C5003D"/>
          <w:sz w:val="18"/>
          <w:szCs w:val="18"/>
        </w:rPr>
        <w:t>About LG Electronics, Inc.</w:t>
      </w:r>
    </w:p>
    <w:p w14:paraId="6C450011" w14:textId="77777777" w:rsidR="00575CFB" w:rsidRPr="00420D62" w:rsidRDefault="00D36960">
      <w:pPr>
        <w:widowControl w:val="0"/>
        <w:ind w:right="-96"/>
        <w:jc w:val="both"/>
        <w:rPr>
          <w:rFonts w:eastAsia="Malgun Gothic"/>
          <w:sz w:val="18"/>
          <w:szCs w:val="18"/>
          <w:lang w:val="en-US"/>
        </w:rPr>
      </w:pPr>
      <w:r w:rsidRPr="00420D62">
        <w:rPr>
          <w:rFonts w:eastAsia="Malgun Gothic"/>
          <w:sz w:val="18"/>
          <w:szCs w:val="18"/>
          <w:lang w:val="en-US"/>
        </w:rPr>
        <w:t xml:space="preserve">LG Electronics Inc. is a global innovator in technology and manufacturing with operations in 140 locations and a workforce of over 70,000 around the world. With 2018 global sales of USD 54.4 billion, LG is composed of five companies – Home Appliance &amp; Air Solution, Home Entertainment, Mobile Communications, Vehicle Component Solutions and Business Solutions. LG is a world-leading producer of TVs, refrigerators, air conditioners, washing machines and mobile devices, including premium LG SIGNATURE and LG </w:t>
      </w:r>
      <w:proofErr w:type="spellStart"/>
      <w:r w:rsidRPr="00420D62">
        <w:rPr>
          <w:rFonts w:eastAsia="Malgun Gothic"/>
          <w:sz w:val="18"/>
          <w:szCs w:val="18"/>
          <w:lang w:val="en-US"/>
        </w:rPr>
        <w:t>ThinQ</w:t>
      </w:r>
      <w:proofErr w:type="spellEnd"/>
      <w:r w:rsidRPr="00420D62">
        <w:rPr>
          <w:rFonts w:eastAsia="Malgun Gothic"/>
          <w:sz w:val="18"/>
          <w:szCs w:val="18"/>
          <w:lang w:val="en-US"/>
        </w:rPr>
        <w:t xml:space="preserve"> products featuring artificial intelligence. For the latest LG news, go to </w:t>
      </w:r>
      <w:hyperlink r:id="rId10" w:history="1">
        <w:r w:rsidRPr="00420D62">
          <w:rPr>
            <w:rStyle w:val="Hyperlink"/>
            <w:rFonts w:eastAsia="Malgun Gothic"/>
            <w:color w:val="auto"/>
            <w:sz w:val="18"/>
            <w:szCs w:val="18"/>
            <w:u w:val="none"/>
            <w:lang w:val="en-US"/>
          </w:rPr>
          <w:t>www.LGnewsroom.com</w:t>
        </w:r>
      </w:hyperlink>
      <w:r w:rsidRPr="00420D62">
        <w:rPr>
          <w:rFonts w:eastAsia="Malgun Gothic"/>
          <w:sz w:val="18"/>
          <w:szCs w:val="18"/>
          <w:lang w:val="en-US"/>
        </w:rPr>
        <w:t>.</w:t>
      </w:r>
    </w:p>
    <w:p w14:paraId="2E20814A" w14:textId="77777777" w:rsidR="00575CFB" w:rsidRPr="00420D62" w:rsidRDefault="00575CFB">
      <w:pPr>
        <w:widowControl w:val="0"/>
        <w:ind w:right="-96"/>
        <w:jc w:val="both"/>
        <w:rPr>
          <w:rFonts w:eastAsia="Malgun Gothic"/>
          <w:bCs/>
          <w:sz w:val="18"/>
          <w:szCs w:val="18"/>
          <w:lang w:val="en-US" w:eastAsia="ko-KR" w:bidi="mni-IN"/>
        </w:rPr>
      </w:pPr>
    </w:p>
    <w:p w14:paraId="300CCA20" w14:textId="77777777" w:rsidR="00575CFB" w:rsidRPr="00420D62" w:rsidRDefault="00575CFB">
      <w:pPr>
        <w:widowControl w:val="0"/>
        <w:ind w:right="-96"/>
        <w:jc w:val="both"/>
        <w:rPr>
          <w:rFonts w:eastAsia="Malgun Gothic"/>
          <w:bCs/>
          <w:sz w:val="18"/>
          <w:szCs w:val="18"/>
          <w:lang w:eastAsia="ko-KR" w:bidi="mni-IN"/>
        </w:rPr>
      </w:pPr>
    </w:p>
    <w:p w14:paraId="75B30A15" w14:textId="77777777" w:rsidR="00575CFB" w:rsidRPr="00420D62" w:rsidRDefault="00D36960">
      <w:pPr>
        <w:keepNext/>
        <w:keepLines/>
        <w:ind w:right="-96"/>
        <w:jc w:val="both"/>
        <w:rPr>
          <w:rFonts w:eastAsia="Malgun Gothic"/>
          <w:bCs/>
          <w:i/>
          <w:sz w:val="18"/>
          <w:szCs w:val="18"/>
          <w:lang w:eastAsia="ko-KR" w:bidi="mni-IN"/>
        </w:rPr>
      </w:pPr>
      <w:r w:rsidRPr="00420D62">
        <w:rPr>
          <w:rFonts w:eastAsia="Malgun Gothic"/>
          <w:bCs/>
          <w:i/>
          <w:sz w:val="18"/>
          <w:szCs w:val="18"/>
          <w:lang w:eastAsia="ko-KR" w:bidi="mni-IN"/>
        </w:rPr>
        <w:t>Media Contacts:</w:t>
      </w:r>
    </w:p>
    <w:p w14:paraId="7096CD60" w14:textId="77777777" w:rsidR="00575CFB" w:rsidRPr="00420D62" w:rsidRDefault="00575CFB">
      <w:pPr>
        <w:keepNext/>
        <w:keepLines/>
        <w:ind w:right="-96"/>
        <w:jc w:val="both"/>
        <w:rPr>
          <w:rFonts w:eastAsia="Malgun Gothic"/>
          <w:bCs/>
          <w:sz w:val="18"/>
          <w:szCs w:val="18"/>
          <w:lang w:eastAsia="ko-KR" w:bidi="mni-IN"/>
        </w:rPr>
      </w:pPr>
    </w:p>
    <w:p w14:paraId="6451BE8E" w14:textId="77777777" w:rsidR="00575CFB" w:rsidRPr="00420D62" w:rsidRDefault="00D36960">
      <w:pPr>
        <w:keepNext/>
        <w:keepLines/>
        <w:tabs>
          <w:tab w:val="left" w:pos="3969"/>
        </w:tabs>
        <w:ind w:right="-96"/>
        <w:jc w:val="both"/>
        <w:rPr>
          <w:rFonts w:eastAsia="Malgun Gothic"/>
          <w:bCs/>
          <w:sz w:val="18"/>
          <w:szCs w:val="18"/>
          <w:lang w:eastAsia="ko-KR" w:bidi="mni-IN"/>
        </w:rPr>
      </w:pPr>
      <w:r w:rsidRPr="00420D62">
        <w:rPr>
          <w:rFonts w:eastAsia="Malgun Gothic"/>
          <w:bCs/>
          <w:sz w:val="18"/>
          <w:szCs w:val="18"/>
          <w:lang w:eastAsia="ko-KR" w:bidi="mni-IN"/>
        </w:rPr>
        <w:t>LG Electronics, Inc.</w:t>
      </w:r>
      <w:r w:rsidRPr="00420D62">
        <w:rPr>
          <w:rFonts w:eastAsia="Malgun Gothic"/>
          <w:bCs/>
          <w:sz w:val="18"/>
          <w:szCs w:val="18"/>
          <w:lang w:eastAsia="ko-KR" w:bidi="mni-IN"/>
        </w:rPr>
        <w:tab/>
        <w:t>LG Electronics, Inc.</w:t>
      </w:r>
    </w:p>
    <w:p w14:paraId="2F082FF8" w14:textId="77777777" w:rsidR="00575CFB" w:rsidRPr="00420D62" w:rsidRDefault="00D36960">
      <w:pPr>
        <w:keepNext/>
        <w:keepLines/>
        <w:tabs>
          <w:tab w:val="left" w:pos="3969"/>
        </w:tabs>
        <w:ind w:right="-96"/>
        <w:jc w:val="both"/>
        <w:rPr>
          <w:rFonts w:eastAsia="Malgun Gothic"/>
          <w:bCs/>
          <w:sz w:val="18"/>
          <w:szCs w:val="18"/>
          <w:lang w:eastAsia="ko-KR" w:bidi="mni-IN"/>
        </w:rPr>
      </w:pPr>
      <w:r w:rsidRPr="00420D62">
        <w:rPr>
          <w:rFonts w:eastAsia="Malgun Gothic"/>
          <w:bCs/>
          <w:sz w:val="18"/>
          <w:szCs w:val="18"/>
          <w:lang w:eastAsia="ko-KR" w:bidi="mni-IN"/>
        </w:rPr>
        <w:t>Ken Hong</w:t>
      </w:r>
      <w:r w:rsidRPr="00420D62">
        <w:rPr>
          <w:rFonts w:eastAsia="Malgun Gothic"/>
          <w:bCs/>
          <w:sz w:val="18"/>
          <w:szCs w:val="18"/>
          <w:lang w:eastAsia="ko-KR" w:bidi="mni-IN"/>
        </w:rPr>
        <w:tab/>
      </w:r>
      <w:proofErr w:type="spellStart"/>
      <w:r w:rsidRPr="00420D62">
        <w:rPr>
          <w:rFonts w:eastAsia="Malgun Gothic"/>
          <w:bCs/>
          <w:sz w:val="18"/>
          <w:szCs w:val="18"/>
          <w:lang w:eastAsia="ko-KR" w:bidi="mni-IN"/>
        </w:rPr>
        <w:t>Juah</w:t>
      </w:r>
      <w:proofErr w:type="spellEnd"/>
      <w:r w:rsidRPr="00420D62">
        <w:rPr>
          <w:rFonts w:eastAsia="Malgun Gothic"/>
          <w:bCs/>
          <w:sz w:val="18"/>
          <w:szCs w:val="18"/>
          <w:lang w:eastAsia="ko-KR" w:bidi="mni-IN"/>
        </w:rPr>
        <w:t xml:space="preserve"> Kim</w:t>
      </w:r>
    </w:p>
    <w:p w14:paraId="68250386" w14:textId="77777777" w:rsidR="00575CFB" w:rsidRPr="00420D62" w:rsidRDefault="00D36960">
      <w:pPr>
        <w:keepNext/>
        <w:keepLines/>
        <w:tabs>
          <w:tab w:val="left" w:pos="3969"/>
        </w:tabs>
        <w:ind w:right="-96"/>
        <w:jc w:val="both"/>
        <w:rPr>
          <w:rFonts w:eastAsia="Malgun Gothic"/>
          <w:bCs/>
          <w:sz w:val="18"/>
          <w:szCs w:val="18"/>
          <w:lang w:eastAsia="ko-KR" w:bidi="mni-IN"/>
        </w:rPr>
      </w:pPr>
      <w:r w:rsidRPr="00420D62">
        <w:rPr>
          <w:rFonts w:eastAsia="Malgun Gothic"/>
          <w:bCs/>
          <w:sz w:val="18"/>
          <w:szCs w:val="18"/>
          <w:lang w:eastAsia="ko-KR" w:bidi="mni-IN"/>
        </w:rPr>
        <w:t>+82 2 3777 3626</w:t>
      </w:r>
      <w:r w:rsidRPr="00420D62">
        <w:rPr>
          <w:rFonts w:eastAsia="Malgun Gothic"/>
          <w:bCs/>
          <w:sz w:val="18"/>
          <w:szCs w:val="18"/>
          <w:lang w:eastAsia="ko-KR" w:bidi="mni-IN"/>
        </w:rPr>
        <w:tab/>
        <w:t xml:space="preserve">+82 2 3777 </w:t>
      </w:r>
      <w:r w:rsidRPr="00420D62">
        <w:rPr>
          <w:rFonts w:eastAsia="Malgun Gothic" w:hint="eastAsia"/>
          <w:bCs/>
          <w:sz w:val="18"/>
          <w:szCs w:val="18"/>
          <w:lang w:eastAsia="ko-KR" w:bidi="mni-IN"/>
        </w:rPr>
        <w:t>3981</w:t>
      </w:r>
    </w:p>
    <w:p w14:paraId="6F0521FD" w14:textId="77777777" w:rsidR="00575CFB" w:rsidRPr="00420D62" w:rsidRDefault="00D36960">
      <w:pPr>
        <w:keepNext/>
        <w:keepLines/>
        <w:tabs>
          <w:tab w:val="left" w:pos="3969"/>
        </w:tabs>
        <w:ind w:right="-96"/>
        <w:jc w:val="both"/>
        <w:rPr>
          <w:rFonts w:eastAsia="Malgun Gothic"/>
          <w:bCs/>
          <w:sz w:val="18"/>
          <w:szCs w:val="18"/>
          <w:lang w:eastAsia="ko-KR" w:bidi="mni-IN"/>
        </w:rPr>
      </w:pPr>
      <w:r w:rsidRPr="00420D62">
        <w:rPr>
          <w:rFonts w:eastAsia="Malgun Gothic"/>
          <w:bCs/>
          <w:sz w:val="18"/>
          <w:szCs w:val="18"/>
          <w:lang w:eastAsia="ko-KR" w:bidi="mni-IN"/>
        </w:rPr>
        <w:t>ken.hong@lge.com</w:t>
      </w:r>
      <w:r w:rsidRPr="00420D62">
        <w:rPr>
          <w:rFonts w:eastAsia="Malgun Gothic"/>
          <w:bCs/>
          <w:sz w:val="18"/>
          <w:szCs w:val="18"/>
          <w:lang w:eastAsia="ko-KR" w:bidi="mni-IN"/>
        </w:rPr>
        <w:tab/>
      </w:r>
      <w:r w:rsidRPr="00420D62">
        <w:rPr>
          <w:rFonts w:eastAsia="Malgun Gothic" w:hint="eastAsia"/>
          <w:bCs/>
          <w:sz w:val="18"/>
          <w:szCs w:val="18"/>
          <w:lang w:eastAsia="ko-KR" w:bidi="mni-IN"/>
        </w:rPr>
        <w:t>juah.kim</w:t>
      </w:r>
      <w:r w:rsidRPr="00420D62">
        <w:rPr>
          <w:rFonts w:eastAsia="Malgun Gothic"/>
          <w:bCs/>
          <w:sz w:val="18"/>
          <w:szCs w:val="18"/>
          <w:lang w:eastAsia="ko-KR" w:bidi="mni-IN"/>
        </w:rPr>
        <w:t>@lge.com</w:t>
      </w:r>
    </w:p>
    <w:p w14:paraId="32F5DFD8" w14:textId="77777777" w:rsidR="00575CFB" w:rsidRDefault="00D36960">
      <w:pPr>
        <w:keepNext/>
        <w:keepLines/>
        <w:tabs>
          <w:tab w:val="left" w:pos="3969"/>
        </w:tabs>
        <w:ind w:right="-96"/>
        <w:jc w:val="both"/>
        <w:rPr>
          <w:rFonts w:eastAsia="Malgun Gothic"/>
          <w:bCs/>
          <w:sz w:val="18"/>
          <w:szCs w:val="18"/>
          <w:lang w:eastAsia="ko-KR" w:bidi="mni-IN"/>
        </w:rPr>
      </w:pPr>
      <w:r w:rsidRPr="00420D62">
        <w:rPr>
          <w:rFonts w:eastAsia="Malgun Gothic"/>
          <w:bCs/>
          <w:sz w:val="18"/>
          <w:szCs w:val="18"/>
          <w:lang w:eastAsia="ko-KR" w:bidi="mni-IN"/>
        </w:rPr>
        <w:t>www.LGnewsroom.com</w:t>
      </w:r>
      <w:r w:rsidRPr="00420D62">
        <w:rPr>
          <w:rFonts w:eastAsia="Malgun Gothic"/>
          <w:bCs/>
          <w:sz w:val="18"/>
          <w:szCs w:val="18"/>
          <w:lang w:eastAsia="ko-KR" w:bidi="mni-IN"/>
        </w:rPr>
        <w:tab/>
        <w:t>www.LGnewsroom.c</w:t>
      </w:r>
      <w:r>
        <w:rPr>
          <w:rFonts w:eastAsia="Malgun Gothic"/>
          <w:bCs/>
          <w:sz w:val="18"/>
          <w:szCs w:val="18"/>
          <w:lang w:eastAsia="ko-KR" w:bidi="mni-IN"/>
        </w:rPr>
        <w:t>om</w:t>
      </w:r>
    </w:p>
    <w:sectPr w:rsidR="00575CFB">
      <w:headerReference w:type="default" r:id="rId11"/>
      <w:footerReference w:type="default" r:id="rId12"/>
      <w:endnotePr>
        <w:numFmt w:val="decimal"/>
      </w:endnotePr>
      <w:pgSz w:w="11907" w:h="16840"/>
      <w:pgMar w:top="2268"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894A1" w14:textId="77777777" w:rsidR="00AC735E" w:rsidRDefault="00AC735E">
      <w:r>
        <w:separator/>
      </w:r>
    </w:p>
  </w:endnote>
  <w:endnote w:type="continuationSeparator" w:id="0">
    <w:p w14:paraId="3B12C764" w14:textId="77777777" w:rsidR="00AC735E" w:rsidRDefault="00AC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4ED6" w14:textId="77777777" w:rsidR="00575CFB" w:rsidRDefault="00D36960">
    <w:pPr>
      <w:pStyle w:val="Footer"/>
      <w:ind w:right="360"/>
    </w:pPr>
    <w:r>
      <w:rPr>
        <w:noProof/>
      </w:rPr>
      <mc:AlternateContent>
        <mc:Choice Requires="wps">
          <w:drawing>
            <wp:anchor distT="0" distB="0" distL="0" distR="0" simplePos="0" relativeHeight="251658241" behindDoc="0" locked="0" layoutInCell="0" hidden="0" allowOverlap="1" wp14:anchorId="4F21DAEC" wp14:editId="60D87496">
              <wp:simplePos x="0" y="0"/>
              <wp:positionH relativeFrom="margin">
                <wp:align>right</wp:align>
              </wp:positionH>
              <wp:positionV relativeFrom="paragraph">
                <wp:posOffset>-224790</wp:posOffset>
              </wp:positionV>
              <wp:extent cx="114300" cy="231140"/>
              <wp:effectExtent l="0" t="0" r="0" b="0"/>
              <wp:wrapSquare wrapText="bothSides"/>
              <wp:docPr id="1" name="Textbox 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5_IZU+XR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4gAAIAAAAAAAAAADAAAAAQAAAAAAAAAAAAAAAgAAAJ7+//+0AAAAbAEAAAAAAAAqJwAALjwAACgAAAAIAAAAAwAAAAEAAAA="/>
                        </a:ext>
                      </a:extLst>
                    </wps:cNvSpPr>
                    <wps:spPr>
                      <a:xfrm>
                        <a:off x="0" y="0"/>
                        <a:ext cx="114300" cy="231140"/>
                      </a:xfrm>
                      <a:prstGeom prst="rect">
                        <a:avLst/>
                      </a:prstGeom>
                      <a:noFill/>
                      <a:ln w="12700">
                        <a:noFill/>
                      </a:ln>
                    </wps:spPr>
                    <wps:txbx>
                      <w:txbxContent>
                        <w:p w14:paraId="6AFD8B10" w14:textId="77777777" w:rsidR="00575CFB" w:rsidRDefault="00D3696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420D62">
                            <w:rPr>
                              <w:rStyle w:val="PageNumber"/>
                              <w:noProof/>
                            </w:rPr>
                            <w:t>1</w:t>
                          </w:r>
                          <w:r>
                            <w:rPr>
                              <w:rStyle w:val="PageNumber"/>
                            </w:rPr>
                            <w:fldChar w:fldCharType="end"/>
                          </w:r>
                        </w:p>
                      </w:txbxContent>
                    </wps:txbx>
                    <wps:bodyPr spcFirstLastPara="1" vertOverflow="clip" horzOverflow="clip" wrap="none" lIns="0" tIns="0" rIns="0" bIns="0" upright="1">
                      <a:prstTxWarp prst="textNoShape">
                        <a:avLst/>
                      </a:prstTxWarp>
                      <a:noAutofit/>
                    </wps:bodyPr>
                  </wps:wsp>
                </a:graphicData>
              </a:graphic>
            </wp:anchor>
          </w:drawing>
        </mc:Choice>
        <mc:Fallback>
          <w:pict>
            <v:rect w14:anchorId="4F21DAEC" id="Textbox 2" o:spid="_x0000_s1026" style="position:absolute;left:0;text-align:left;margin-left:-42.2pt;margin-top:-17.7pt;width:9pt;height:18.2pt;z-index:251658241;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" o:allowincell="f" filled="f" stroked="f" strokeweight="1pt">
              <v:textbox inset="0,0,0,0">
                <w:txbxContent>
                  <w:p w14:paraId="6AFD8B10" w14:textId="77777777" w:rsidR="00575CFB" w:rsidRDefault="00D36960">
                    <w:pPr>
                      <w:pStyle w:val="a4"/>
                      <w:rPr>
                        <w:rStyle w:val="a7"/>
                      </w:rPr>
                    </w:pPr>
                    <w:r>
                      <w:rPr>
                        <w:rStyle w:val="a7"/>
                      </w:rPr>
                      <w:fldChar w:fldCharType="begin"/>
                    </w:r>
                    <w:r>
                      <w:rPr>
                        <w:rStyle w:val="a7"/>
                      </w:rPr>
                      <w:instrText xml:space="preserve"> PAGE </w:instrText>
                    </w:r>
                    <w:r>
                      <w:rPr>
                        <w:rStyle w:val="a7"/>
                      </w:rPr>
                      <w:fldChar w:fldCharType="separate"/>
                    </w:r>
                    <w:r w:rsidR="00420D62">
                      <w:rPr>
                        <w:rStyle w:val="a7"/>
                        <w:noProof/>
                      </w:rPr>
                      <w:t>1</w:t>
                    </w:r>
                    <w:r>
                      <w:rPr>
                        <w:rStyle w:val="a7"/>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154F7" w14:textId="77777777" w:rsidR="00AC735E" w:rsidRDefault="00AC735E">
      <w:r>
        <w:separator/>
      </w:r>
    </w:p>
  </w:footnote>
  <w:footnote w:type="continuationSeparator" w:id="0">
    <w:p w14:paraId="3158035F" w14:textId="77777777" w:rsidR="00AC735E" w:rsidRDefault="00AC7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46B0" w14:textId="77777777" w:rsidR="00575CFB" w:rsidRDefault="00D36960">
    <w:pPr>
      <w:pStyle w:val="Header"/>
      <w:jc w:val="right"/>
      <w:rPr>
        <w:rFonts w:ascii="Trebuchet MS" w:hAnsi="Trebuchet MS"/>
        <w:b/>
        <w:color w:val="808080"/>
        <w:sz w:val="18"/>
        <w:szCs w:val="18"/>
      </w:rPr>
    </w:pPr>
    <w:r>
      <w:rPr>
        <w:noProof/>
      </w:rPr>
      <w:drawing>
        <wp:anchor distT="0" distB="0" distL="114300" distR="114300" simplePos="0" relativeHeight="251658242" behindDoc="0" locked="0" layoutInCell="0" hidden="0" allowOverlap="1" wp14:anchorId="7CFBE437" wp14:editId="666F1913">
          <wp:simplePos x="0" y="0"/>
          <wp:positionH relativeFrom="column">
            <wp:posOffset>-521970</wp:posOffset>
          </wp:positionH>
          <wp:positionV relativeFrom="paragraph">
            <wp:posOffset>-60960</wp:posOffset>
          </wp:positionV>
          <wp:extent cx="1049655" cy="479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IZU+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CAAAAAAAAAAAAAAAAIAAADK/P//AAAAAAIAAACg////dQYAAPMCAAAAAAAAbwMAAHACAAAoAAAACAAAAAEAAAABAAAA"/>
                      </a:ext>
                    </a:extLst>
                  </pic:cNvPicPr>
                </pic:nvPicPr>
                <pic:blipFill>
                  <a:blip r:embed="rId1"/>
                  <a:stretch>
                    <a:fillRect/>
                  </a:stretch>
                </pic:blipFill>
                <pic:spPr>
                  <a:xfrm>
                    <a:off x="0" y="0"/>
                    <a:ext cx="1049655" cy="479425"/>
                  </a:xfrm>
                  <a:prstGeom prst="rect">
                    <a:avLst/>
                  </a:prstGeom>
                  <a:noFill/>
                  <a:ln w="12700">
                    <a:noFill/>
                  </a:ln>
                </pic:spPr>
              </pic:pic>
            </a:graphicData>
          </a:graphic>
        </wp:anchor>
      </w:drawing>
    </w:r>
  </w:p>
  <w:p w14:paraId="4926AF45" w14:textId="77777777" w:rsidR="00575CFB" w:rsidRDefault="00D36960">
    <w:pPr>
      <w:pStyle w:val="Header"/>
      <w:ind w:right="-142"/>
      <w:jc w:val="right"/>
      <w:rPr>
        <w:rFonts w:ascii="Trebuchet MS" w:hAnsi="Trebuchet MS"/>
        <w:b/>
        <w:color w:val="808080"/>
        <w:sz w:val="18"/>
        <w:szCs w:val="18"/>
      </w:rPr>
    </w:pPr>
    <w:r>
      <w:rPr>
        <w:rFonts w:ascii="Trebuchet MS" w:hAnsi="Trebuchet MS"/>
        <w:b/>
        <w:color w:val="808080"/>
        <w:sz w:val="18"/>
        <w:szCs w:val="18"/>
      </w:rPr>
      <w:t>www.</w:t>
    </w:r>
    <w:r>
      <w:rPr>
        <w:rFonts w:ascii="Trebuchet MS" w:hAnsi="Trebuchet MS" w:hint="eastAsia"/>
        <w:b/>
        <w:color w:val="808080"/>
        <w:sz w:val="18"/>
        <w:szCs w:val="18"/>
      </w:rPr>
      <w:t>LG</w:t>
    </w:r>
    <w:r>
      <w:rPr>
        <w:rFonts w:ascii="Trebuchet MS" w:hAnsi="Trebuchet MS"/>
        <w:b/>
        <w:color w:val="808080"/>
        <w:sz w:val="18"/>
        <w:szCs w:val="18"/>
      </w:rPr>
      <w:t>.com</w:t>
    </w:r>
  </w:p>
  <w:p w14:paraId="6C1EC208" w14:textId="77777777" w:rsidR="00575CFB" w:rsidRDefault="00575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2E9B"/>
    <w:multiLevelType w:val="hybridMultilevel"/>
    <w:tmpl w:val="78A247C2"/>
    <w:lvl w:ilvl="0" w:tplc="3F5AEA9A">
      <w:numFmt w:val="none"/>
      <w:lvlText w:val=""/>
      <w:lvlJc w:val="left"/>
      <w:pPr>
        <w:tabs>
          <w:tab w:val="num" w:pos="360"/>
        </w:tabs>
        <w:ind w:left="360" w:hanging="360"/>
      </w:pPr>
    </w:lvl>
    <w:lvl w:ilvl="1" w:tplc="CEB6BB42">
      <w:numFmt w:val="none"/>
      <w:lvlText w:val=""/>
      <w:lvlJc w:val="left"/>
      <w:pPr>
        <w:tabs>
          <w:tab w:val="num" w:pos="360"/>
        </w:tabs>
        <w:ind w:left="360" w:hanging="360"/>
      </w:pPr>
    </w:lvl>
    <w:lvl w:ilvl="2" w:tplc="7A80077C">
      <w:numFmt w:val="none"/>
      <w:lvlText w:val=""/>
      <w:lvlJc w:val="left"/>
      <w:pPr>
        <w:tabs>
          <w:tab w:val="num" w:pos="360"/>
        </w:tabs>
        <w:ind w:left="360" w:hanging="360"/>
      </w:pPr>
    </w:lvl>
    <w:lvl w:ilvl="3" w:tplc="763C7E2E">
      <w:numFmt w:val="none"/>
      <w:lvlText w:val=""/>
      <w:lvlJc w:val="left"/>
      <w:pPr>
        <w:tabs>
          <w:tab w:val="num" w:pos="360"/>
        </w:tabs>
        <w:ind w:left="360" w:hanging="360"/>
      </w:pPr>
    </w:lvl>
    <w:lvl w:ilvl="4" w:tplc="2508EFB8">
      <w:numFmt w:val="none"/>
      <w:lvlText w:val=""/>
      <w:lvlJc w:val="left"/>
      <w:pPr>
        <w:tabs>
          <w:tab w:val="num" w:pos="360"/>
        </w:tabs>
        <w:ind w:left="360" w:hanging="360"/>
      </w:pPr>
    </w:lvl>
    <w:lvl w:ilvl="5" w:tplc="2A80FC22">
      <w:numFmt w:val="none"/>
      <w:lvlText w:val=""/>
      <w:lvlJc w:val="left"/>
      <w:pPr>
        <w:tabs>
          <w:tab w:val="num" w:pos="360"/>
        </w:tabs>
        <w:ind w:left="360" w:hanging="360"/>
      </w:pPr>
    </w:lvl>
    <w:lvl w:ilvl="6" w:tplc="4044FD2A">
      <w:numFmt w:val="none"/>
      <w:lvlText w:val=""/>
      <w:lvlJc w:val="left"/>
      <w:pPr>
        <w:tabs>
          <w:tab w:val="num" w:pos="360"/>
        </w:tabs>
        <w:ind w:left="360" w:hanging="360"/>
      </w:pPr>
    </w:lvl>
    <w:lvl w:ilvl="7" w:tplc="C0A4D7E6">
      <w:numFmt w:val="none"/>
      <w:lvlText w:val=""/>
      <w:lvlJc w:val="left"/>
      <w:pPr>
        <w:tabs>
          <w:tab w:val="num" w:pos="360"/>
        </w:tabs>
        <w:ind w:left="360" w:hanging="360"/>
      </w:pPr>
    </w:lvl>
    <w:lvl w:ilvl="8" w:tplc="1C02011E">
      <w:numFmt w:val="none"/>
      <w:lvlText w:val=""/>
      <w:lvlJc w:val="left"/>
      <w:pPr>
        <w:tabs>
          <w:tab w:val="num" w:pos="360"/>
        </w:tabs>
        <w:ind w:left="360" w:hanging="360"/>
      </w:pPr>
    </w:lvl>
  </w:abstractNum>
  <w:abstractNum w:abstractNumId="1" w15:restartNumberingAfterBreak="0">
    <w:nsid w:val="25822AA0"/>
    <w:multiLevelType w:val="hybridMultilevel"/>
    <w:tmpl w:val="EE4EA45A"/>
    <w:name w:val="Numbered list 1"/>
    <w:lvl w:ilvl="0" w:tplc="A1B2A084">
      <w:numFmt w:val="bullet"/>
      <w:lvlText w:val="-"/>
      <w:lvlJc w:val="left"/>
      <w:pPr>
        <w:ind w:left="0" w:firstLine="0"/>
      </w:pPr>
      <w:rPr>
        <w:rFonts w:ascii="Times New Roman" w:eastAsia="Times New Roman" w:hAnsi="Times New Roman"/>
        <w:i/>
      </w:rPr>
    </w:lvl>
    <w:lvl w:ilvl="1" w:tplc="66FC6B3A">
      <w:numFmt w:val="bullet"/>
      <w:lvlText w:val=""/>
      <w:lvlJc w:val="left"/>
      <w:pPr>
        <w:ind w:left="400" w:firstLine="0"/>
      </w:pPr>
      <w:rPr>
        <w:rFonts w:ascii="Wingdings" w:hAnsi="Wingdings"/>
      </w:rPr>
    </w:lvl>
    <w:lvl w:ilvl="2" w:tplc="FC5C239C">
      <w:numFmt w:val="bullet"/>
      <w:lvlText w:val=""/>
      <w:lvlJc w:val="left"/>
      <w:pPr>
        <w:ind w:left="800" w:firstLine="0"/>
      </w:pPr>
      <w:rPr>
        <w:rFonts w:ascii="Wingdings" w:hAnsi="Wingdings"/>
      </w:rPr>
    </w:lvl>
    <w:lvl w:ilvl="3" w:tplc="95BCC9D6">
      <w:numFmt w:val="bullet"/>
      <w:lvlText w:val=""/>
      <w:lvlJc w:val="left"/>
      <w:pPr>
        <w:ind w:left="1200" w:firstLine="0"/>
      </w:pPr>
      <w:rPr>
        <w:rFonts w:ascii="Wingdings" w:hAnsi="Wingdings"/>
      </w:rPr>
    </w:lvl>
    <w:lvl w:ilvl="4" w:tplc="90C43C76">
      <w:numFmt w:val="bullet"/>
      <w:lvlText w:val=""/>
      <w:lvlJc w:val="left"/>
      <w:pPr>
        <w:ind w:left="1600" w:firstLine="0"/>
      </w:pPr>
      <w:rPr>
        <w:rFonts w:ascii="Wingdings" w:hAnsi="Wingdings"/>
      </w:rPr>
    </w:lvl>
    <w:lvl w:ilvl="5" w:tplc="DEE826B0">
      <w:numFmt w:val="bullet"/>
      <w:lvlText w:val=""/>
      <w:lvlJc w:val="left"/>
      <w:pPr>
        <w:ind w:left="2000" w:firstLine="0"/>
      </w:pPr>
      <w:rPr>
        <w:rFonts w:ascii="Wingdings" w:hAnsi="Wingdings"/>
      </w:rPr>
    </w:lvl>
    <w:lvl w:ilvl="6" w:tplc="7662FC7C">
      <w:numFmt w:val="bullet"/>
      <w:lvlText w:val=""/>
      <w:lvlJc w:val="left"/>
      <w:pPr>
        <w:ind w:left="2400" w:firstLine="0"/>
      </w:pPr>
      <w:rPr>
        <w:rFonts w:ascii="Wingdings" w:hAnsi="Wingdings"/>
      </w:rPr>
    </w:lvl>
    <w:lvl w:ilvl="7" w:tplc="D9705BCC">
      <w:numFmt w:val="bullet"/>
      <w:lvlText w:val=""/>
      <w:lvlJc w:val="left"/>
      <w:pPr>
        <w:ind w:left="2800" w:firstLine="0"/>
      </w:pPr>
      <w:rPr>
        <w:rFonts w:ascii="Wingdings" w:hAnsi="Wingdings"/>
      </w:rPr>
    </w:lvl>
    <w:lvl w:ilvl="8" w:tplc="1AB27A8C">
      <w:numFmt w:val="bullet"/>
      <w:lvlText w:val=""/>
      <w:lvlJc w:val="left"/>
      <w:pPr>
        <w:ind w:left="3200" w:firstLine="0"/>
      </w:pPr>
      <w:rPr>
        <w:rFonts w:ascii="Wingdings" w:hAnsi="Wingdings"/>
      </w:rPr>
    </w:lvl>
  </w:abstractNum>
  <w:abstractNum w:abstractNumId="2" w15:restartNumberingAfterBreak="0">
    <w:nsid w:val="35331E1F"/>
    <w:multiLevelType w:val="singleLevel"/>
    <w:tmpl w:val="AA66B81E"/>
    <w:name w:val="Bullet 3"/>
    <w:lvl w:ilvl="0">
      <w:numFmt w:val="bullet"/>
      <w:lvlText w:val=""/>
      <w:lvlJc w:val="left"/>
      <w:pPr>
        <w:ind w:left="0" w:firstLine="0"/>
      </w:pPr>
      <w:rPr>
        <w:rFonts w:ascii="Wingdings" w:eastAsia="Wingdings" w:hAnsi="Wingdings" w:cs="Wingdings"/>
      </w:rPr>
    </w:lvl>
  </w:abstractNum>
  <w:abstractNum w:abstractNumId="3" w15:restartNumberingAfterBreak="0">
    <w:nsid w:val="5A4C5343"/>
    <w:multiLevelType w:val="hybridMultilevel"/>
    <w:tmpl w:val="FEBE6490"/>
    <w:name w:val="Numbered list 4"/>
    <w:lvl w:ilvl="0" w:tplc="5930DE94">
      <w:numFmt w:val="none"/>
      <w:lvlText w:val=""/>
      <w:lvlJc w:val="left"/>
      <w:pPr>
        <w:ind w:left="0" w:firstLine="0"/>
      </w:pPr>
    </w:lvl>
    <w:lvl w:ilvl="1" w:tplc="77E629F2">
      <w:numFmt w:val="none"/>
      <w:lvlText w:val=""/>
      <w:lvlJc w:val="left"/>
      <w:pPr>
        <w:ind w:left="0" w:firstLine="0"/>
      </w:pPr>
    </w:lvl>
    <w:lvl w:ilvl="2" w:tplc="7062C224">
      <w:numFmt w:val="none"/>
      <w:lvlText w:val=""/>
      <w:lvlJc w:val="left"/>
      <w:pPr>
        <w:ind w:left="0" w:firstLine="0"/>
      </w:pPr>
    </w:lvl>
    <w:lvl w:ilvl="3" w:tplc="566E37B0">
      <w:numFmt w:val="none"/>
      <w:lvlText w:val=""/>
      <w:lvlJc w:val="left"/>
      <w:pPr>
        <w:ind w:left="0" w:firstLine="0"/>
      </w:pPr>
    </w:lvl>
    <w:lvl w:ilvl="4" w:tplc="ACF0FA9C">
      <w:numFmt w:val="none"/>
      <w:lvlText w:val=""/>
      <w:lvlJc w:val="left"/>
      <w:pPr>
        <w:ind w:left="0" w:firstLine="0"/>
      </w:pPr>
    </w:lvl>
    <w:lvl w:ilvl="5" w:tplc="F8EE5748">
      <w:numFmt w:val="none"/>
      <w:lvlText w:val=""/>
      <w:lvlJc w:val="left"/>
      <w:pPr>
        <w:ind w:left="0" w:firstLine="0"/>
      </w:pPr>
    </w:lvl>
    <w:lvl w:ilvl="6" w:tplc="D7F803C2">
      <w:numFmt w:val="none"/>
      <w:lvlText w:val=""/>
      <w:lvlJc w:val="left"/>
      <w:pPr>
        <w:ind w:left="0" w:firstLine="0"/>
      </w:pPr>
    </w:lvl>
    <w:lvl w:ilvl="7" w:tplc="9F564834">
      <w:numFmt w:val="none"/>
      <w:lvlText w:val=""/>
      <w:lvlJc w:val="left"/>
      <w:pPr>
        <w:ind w:left="0" w:firstLine="0"/>
      </w:pPr>
    </w:lvl>
    <w:lvl w:ilvl="8" w:tplc="69545482">
      <w:numFmt w:val="none"/>
      <w:lvlText w:val=""/>
      <w:lvlJc w:val="left"/>
      <w:pPr>
        <w:ind w:left="0" w:firstLine="0"/>
      </w:pPr>
    </w:lvl>
  </w:abstractNum>
  <w:abstractNum w:abstractNumId="4" w15:restartNumberingAfterBreak="0">
    <w:nsid w:val="74245718"/>
    <w:multiLevelType w:val="hybridMultilevel"/>
    <w:tmpl w:val="E3C6B6CA"/>
    <w:name w:val="Numbered list 2"/>
    <w:lvl w:ilvl="0" w:tplc="10D6486A">
      <w:numFmt w:val="bullet"/>
      <w:lvlText w:val=""/>
      <w:lvlJc w:val="left"/>
      <w:pPr>
        <w:ind w:left="400" w:firstLine="0"/>
      </w:pPr>
      <w:rPr>
        <w:rFonts w:ascii="Wingdings" w:hAnsi="Wingdings"/>
      </w:rPr>
    </w:lvl>
    <w:lvl w:ilvl="1" w:tplc="8C88E7E2">
      <w:numFmt w:val="bullet"/>
      <w:lvlText w:val=""/>
      <w:lvlJc w:val="left"/>
      <w:pPr>
        <w:ind w:left="800" w:firstLine="0"/>
      </w:pPr>
      <w:rPr>
        <w:rFonts w:ascii="Wingdings" w:hAnsi="Wingdings"/>
      </w:rPr>
    </w:lvl>
    <w:lvl w:ilvl="2" w:tplc="4DA2D978">
      <w:numFmt w:val="bullet"/>
      <w:lvlText w:val=""/>
      <w:lvlJc w:val="left"/>
      <w:pPr>
        <w:ind w:left="1200" w:firstLine="0"/>
      </w:pPr>
      <w:rPr>
        <w:rFonts w:ascii="Wingdings" w:hAnsi="Wingdings"/>
      </w:rPr>
    </w:lvl>
    <w:lvl w:ilvl="3" w:tplc="5BA89670">
      <w:numFmt w:val="bullet"/>
      <w:lvlText w:val=""/>
      <w:lvlJc w:val="left"/>
      <w:pPr>
        <w:ind w:left="1600" w:firstLine="0"/>
      </w:pPr>
      <w:rPr>
        <w:rFonts w:ascii="Wingdings" w:hAnsi="Wingdings"/>
      </w:rPr>
    </w:lvl>
    <w:lvl w:ilvl="4" w:tplc="B4387E38">
      <w:numFmt w:val="bullet"/>
      <w:lvlText w:val=""/>
      <w:lvlJc w:val="left"/>
      <w:pPr>
        <w:ind w:left="2000" w:firstLine="0"/>
      </w:pPr>
      <w:rPr>
        <w:rFonts w:ascii="Wingdings" w:hAnsi="Wingdings"/>
      </w:rPr>
    </w:lvl>
    <w:lvl w:ilvl="5" w:tplc="CDE439A0">
      <w:numFmt w:val="bullet"/>
      <w:lvlText w:val=""/>
      <w:lvlJc w:val="left"/>
      <w:pPr>
        <w:ind w:left="2400" w:firstLine="0"/>
      </w:pPr>
      <w:rPr>
        <w:rFonts w:ascii="Wingdings" w:hAnsi="Wingdings"/>
      </w:rPr>
    </w:lvl>
    <w:lvl w:ilvl="6" w:tplc="015C9714">
      <w:numFmt w:val="bullet"/>
      <w:lvlText w:val=""/>
      <w:lvlJc w:val="left"/>
      <w:pPr>
        <w:ind w:left="2800" w:firstLine="0"/>
      </w:pPr>
      <w:rPr>
        <w:rFonts w:ascii="Wingdings" w:hAnsi="Wingdings"/>
      </w:rPr>
    </w:lvl>
    <w:lvl w:ilvl="7" w:tplc="65A25CBC">
      <w:numFmt w:val="bullet"/>
      <w:lvlText w:val=""/>
      <w:lvlJc w:val="left"/>
      <w:pPr>
        <w:ind w:left="3200" w:firstLine="0"/>
      </w:pPr>
      <w:rPr>
        <w:rFonts w:ascii="Wingdings" w:hAnsi="Wingdings"/>
      </w:rPr>
    </w:lvl>
    <w:lvl w:ilvl="8" w:tplc="189C799C">
      <w:numFmt w:val="bullet"/>
      <w:lvlText w:val=""/>
      <w:lvlJc w:val="left"/>
      <w:pPr>
        <w:ind w:left="3600" w:firstLine="0"/>
      </w:pPr>
      <w:rPr>
        <w:rFonts w:ascii="Wingdings" w:hAnsi="Wingdings"/>
      </w:rPr>
    </w:lvl>
  </w:abstractNum>
  <w:abstractNum w:abstractNumId="5" w15:restartNumberingAfterBreak="0">
    <w:nsid w:val="75D962CB"/>
    <w:multiLevelType w:val="hybridMultilevel"/>
    <w:tmpl w:val="B126A8BC"/>
    <w:name w:val="Numbered list 3"/>
    <w:lvl w:ilvl="0" w:tplc="DF02D328">
      <w:numFmt w:val="none"/>
      <w:lvlText w:val=""/>
      <w:lvlJc w:val="left"/>
      <w:pPr>
        <w:ind w:left="0" w:firstLine="0"/>
      </w:pPr>
    </w:lvl>
    <w:lvl w:ilvl="1" w:tplc="485A0BF0">
      <w:numFmt w:val="none"/>
      <w:lvlText w:val=""/>
      <w:lvlJc w:val="left"/>
      <w:pPr>
        <w:ind w:left="0" w:firstLine="0"/>
      </w:pPr>
    </w:lvl>
    <w:lvl w:ilvl="2" w:tplc="30A0F6E4">
      <w:numFmt w:val="none"/>
      <w:lvlText w:val=""/>
      <w:lvlJc w:val="left"/>
      <w:pPr>
        <w:ind w:left="0" w:firstLine="0"/>
      </w:pPr>
    </w:lvl>
    <w:lvl w:ilvl="3" w:tplc="0A9084FE">
      <w:numFmt w:val="none"/>
      <w:lvlText w:val=""/>
      <w:lvlJc w:val="left"/>
      <w:pPr>
        <w:ind w:left="0" w:firstLine="0"/>
      </w:pPr>
    </w:lvl>
    <w:lvl w:ilvl="4" w:tplc="700AACA4">
      <w:numFmt w:val="none"/>
      <w:lvlText w:val=""/>
      <w:lvlJc w:val="left"/>
      <w:pPr>
        <w:ind w:left="0" w:firstLine="0"/>
      </w:pPr>
    </w:lvl>
    <w:lvl w:ilvl="5" w:tplc="A7F04CD0">
      <w:numFmt w:val="none"/>
      <w:lvlText w:val=""/>
      <w:lvlJc w:val="left"/>
      <w:pPr>
        <w:ind w:left="0" w:firstLine="0"/>
      </w:pPr>
    </w:lvl>
    <w:lvl w:ilvl="6" w:tplc="4C2EE6DE">
      <w:numFmt w:val="none"/>
      <w:lvlText w:val=""/>
      <w:lvlJc w:val="left"/>
      <w:pPr>
        <w:ind w:left="0" w:firstLine="0"/>
      </w:pPr>
    </w:lvl>
    <w:lvl w:ilvl="7" w:tplc="4E16349A">
      <w:numFmt w:val="none"/>
      <w:lvlText w:val=""/>
      <w:lvlJc w:val="left"/>
      <w:pPr>
        <w:ind w:left="0" w:firstLine="0"/>
      </w:pPr>
    </w:lvl>
    <w:lvl w:ilvl="8" w:tplc="63A045AE">
      <w:numFmt w:val="none"/>
      <w:lvlText w:val=""/>
      <w:lvlJc w:val="left"/>
      <w:pPr>
        <w:ind w:left="0" w:firstLine="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autoHyphenation/>
  <w:drawingGridHorizontalSpacing w:val="283"/>
  <w:drawingGridVerticalSpacing w:val="283"/>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FB"/>
    <w:rsid w:val="001512B5"/>
    <w:rsid w:val="00420D62"/>
    <w:rsid w:val="004A7756"/>
    <w:rsid w:val="00575CFB"/>
    <w:rsid w:val="00584AFD"/>
    <w:rsid w:val="005D4105"/>
    <w:rsid w:val="00932BBE"/>
    <w:rsid w:val="00AC735E"/>
    <w:rsid w:val="00D36960"/>
    <w:rsid w:val="00DC4618"/>
    <w:rsid w:val="00F132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57F2A"/>
  <w15:docId w15:val="{10A1CE6B-3DED-41B7-871B-2F6E70DD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SimSun" w:hAnsi="Times New Roman"/>
      <w:sz w:val="24"/>
      <w:szCs w:val="24"/>
      <w:lang w:val="en-CA" w:eastAsia="zh-CN"/>
    </w:rPr>
  </w:style>
  <w:style w:type="paragraph" w:styleId="Heading2">
    <w:name w:val="heading 2"/>
    <w:basedOn w:val="Normal"/>
    <w:qFormat/>
    <w:pPr>
      <w:outlineLvl w:val="1"/>
    </w:pPr>
    <w:rPr>
      <w:rFonts w:ascii="Gulim" w:eastAsia="Malgun Gothic" w:hAnsi="Gulim" w:cs="Gulim"/>
      <w:b/>
      <w:bCs/>
      <w:color w:val="212634"/>
      <w:sz w:val="21"/>
      <w:szCs w:val="21"/>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320"/>
        <w:tab w:val="right" w:pos="8640"/>
      </w:tabs>
    </w:pPr>
    <w:rPr>
      <w:rFonts w:ascii="Times" w:eastAsia="Malgun Gothic" w:hAnsi="Times"/>
      <w:szCs w:val="20"/>
      <w:lang w:val="en-US" w:eastAsia="ko-KR"/>
    </w:rPr>
  </w:style>
  <w:style w:type="paragraph" w:styleId="Footer">
    <w:name w:val="footer"/>
    <w:basedOn w:val="Normal"/>
    <w:qFormat/>
    <w:pPr>
      <w:widowControl w:val="0"/>
      <w:tabs>
        <w:tab w:val="center" w:pos="4252"/>
        <w:tab w:val="right" w:pos="8504"/>
      </w:tabs>
      <w:spacing w:line="360" w:lineRule="atLeast"/>
      <w:jc w:val="both"/>
    </w:pPr>
    <w:rPr>
      <w:rFonts w:eastAsia="Malgun Gothic"/>
      <w:sz w:val="20"/>
      <w:szCs w:val="20"/>
      <w:lang w:val="en-US" w:eastAsia="ko-KR"/>
    </w:rPr>
  </w:style>
  <w:style w:type="paragraph" w:styleId="BodyText">
    <w:name w:val="Body Text"/>
    <w:basedOn w:val="Normal"/>
    <w:qFormat/>
    <w:pPr>
      <w:widowControl w:val="0"/>
      <w:suppressAutoHyphens/>
      <w:spacing w:after="120"/>
    </w:pPr>
    <w:rPr>
      <w:rFonts w:eastAsia="Malgun Gothic"/>
      <w:kern w:val="1"/>
      <w:lang w:val="en-US"/>
    </w:rPr>
  </w:style>
  <w:style w:type="paragraph" w:styleId="BalloonText">
    <w:name w:val="Balloon Text"/>
    <w:basedOn w:val="Normal"/>
    <w:qFormat/>
    <w:rPr>
      <w:rFonts w:ascii="Malgun Gothic" w:eastAsia="Malgun Gothic" w:hAnsi="Malgun Gothic"/>
      <w:sz w:val="18"/>
      <w:szCs w:val="18"/>
    </w:rPr>
  </w:style>
  <w:style w:type="paragraph" w:customStyle="1" w:styleId="1">
    <w:name w:val="메모 텍스트1"/>
    <w:basedOn w:val="Normal"/>
    <w:qFormat/>
  </w:style>
  <w:style w:type="paragraph" w:customStyle="1" w:styleId="10">
    <w:name w:val="메모 주제1"/>
    <w:basedOn w:val="1"/>
    <w:next w:val="1"/>
    <w:qFormat/>
    <w:rPr>
      <w:b/>
      <w:bCs/>
    </w:rPr>
  </w:style>
  <w:style w:type="paragraph" w:customStyle="1" w:styleId="11">
    <w:name w:val="수정1"/>
    <w:qFormat/>
    <w:rPr>
      <w:rFonts w:eastAsia="SimSun"/>
      <w:sz w:val="24"/>
      <w:szCs w:val="24"/>
      <w:lang w:val="en-CA" w:eastAsia="zh-CN"/>
    </w:rPr>
  </w:style>
  <w:style w:type="paragraph" w:customStyle="1" w:styleId="2">
    <w:name w:val="메모 텍스트2"/>
    <w:basedOn w:val="Normal"/>
    <w:qFormat/>
  </w:style>
  <w:style w:type="paragraph" w:customStyle="1" w:styleId="20">
    <w:name w:val="메모 주제2"/>
    <w:basedOn w:val="2"/>
    <w:next w:val="2"/>
    <w:qFormat/>
    <w:rPr>
      <w:b/>
      <w:bCs/>
    </w:rPr>
  </w:style>
  <w:style w:type="paragraph" w:customStyle="1" w:styleId="CommentText1">
    <w:name w:val="Comment Text1"/>
    <w:basedOn w:val="Normal"/>
    <w:qFormat/>
    <w:rPr>
      <w:sz w:val="20"/>
      <w:szCs w:val="20"/>
    </w:rPr>
  </w:style>
  <w:style w:type="paragraph" w:customStyle="1" w:styleId="CommentSubject1">
    <w:name w:val="Comment Subject1"/>
    <w:basedOn w:val="CommentText1"/>
    <w:next w:val="CommentText1"/>
    <w:qFormat/>
    <w:rPr>
      <w:b/>
      <w:bCs/>
    </w:rPr>
  </w:style>
  <w:style w:type="character" w:customStyle="1" w:styleId="Heading2Char">
    <w:name w:val="Heading 2 Char"/>
    <w:rPr>
      <w:rFonts w:ascii="Gulim" w:hAnsi="Gulim" w:cs="Gulim"/>
      <w:b/>
      <w:bCs/>
      <w:color w:val="212634"/>
      <w:kern w:val="0"/>
      <w:sz w:val="21"/>
      <w:szCs w:val="21"/>
    </w:rPr>
  </w:style>
  <w:style w:type="character" w:customStyle="1" w:styleId="HeaderChar">
    <w:name w:val="Header Char"/>
    <w:rPr>
      <w:rFonts w:ascii="Times" w:hAnsi="Times" w:cs="Times New Roman"/>
      <w:kern w:val="0"/>
      <w:sz w:val="20"/>
      <w:szCs w:val="20"/>
    </w:rPr>
  </w:style>
  <w:style w:type="character" w:customStyle="1" w:styleId="FooterChar">
    <w:name w:val="Footer Char"/>
    <w:rPr>
      <w:rFonts w:ascii="Times New Roman" w:hAnsi="Times New Roman" w:cs="Times New Roman"/>
      <w:kern w:val="0"/>
      <w:sz w:val="20"/>
      <w:szCs w:val="20"/>
    </w:rPr>
  </w:style>
  <w:style w:type="character" w:styleId="PageNumber">
    <w:name w:val="page number"/>
    <w:rPr>
      <w:rFonts w:cs="Times New Roman"/>
    </w:rPr>
  </w:style>
  <w:style w:type="character" w:customStyle="1" w:styleId="BodyTextChar">
    <w:name w:val="Body Text Char"/>
    <w:rPr>
      <w:rFonts w:ascii="Times New Roman" w:hAnsi="Times New Roman" w:cs="Times New Roman"/>
      <w:kern w:val="1"/>
      <w:sz w:val="24"/>
      <w:szCs w:val="24"/>
      <w:lang w:eastAsia="zh-CN"/>
    </w:rPr>
  </w:style>
  <w:style w:type="character" w:customStyle="1" w:styleId="BalloonTextChar">
    <w:name w:val="Balloon Text Char"/>
    <w:rPr>
      <w:rFonts w:ascii="Malgun Gothic" w:eastAsia="Malgun Gothic" w:hAnsi="Malgun Gothic" w:cs="Times New Roman"/>
      <w:kern w:val="0"/>
      <w:sz w:val="18"/>
      <w:szCs w:val="18"/>
      <w:lang w:val="en-CA" w:eastAsia="zh-CN"/>
    </w:rPr>
  </w:style>
  <w:style w:type="character" w:customStyle="1" w:styleId="12">
    <w:name w:val="메모 참조1"/>
    <w:rPr>
      <w:rFonts w:cs="Times New Roman"/>
      <w:sz w:val="18"/>
      <w:szCs w:val="18"/>
    </w:rPr>
  </w:style>
  <w:style w:type="character" w:customStyle="1" w:styleId="CommentTextChar">
    <w:name w:val="Comment Text Char"/>
    <w:rPr>
      <w:rFonts w:ascii="Times New Roman" w:eastAsia="SimSun" w:hAnsi="Times New Roman" w:cs="Times New Roman"/>
      <w:kern w:val="0"/>
      <w:sz w:val="24"/>
      <w:szCs w:val="24"/>
      <w:lang w:val="en-CA" w:eastAsia="zh-CN"/>
    </w:rPr>
  </w:style>
  <w:style w:type="character" w:customStyle="1" w:styleId="CommentSubjectChar">
    <w:name w:val="Comment Subject Char"/>
    <w:rPr>
      <w:rFonts w:ascii="Times New Roman" w:eastAsia="SimSun" w:hAnsi="Times New Roman" w:cs="Times New Roman"/>
      <w:b/>
      <w:bCs/>
      <w:kern w:val="0"/>
      <w:sz w:val="24"/>
      <w:szCs w:val="24"/>
      <w:lang w:val="en-CA" w:eastAsia="zh-CN"/>
    </w:rPr>
  </w:style>
  <w:style w:type="character" w:styleId="Hyperlink">
    <w:name w:val="Hyperlink"/>
    <w:rPr>
      <w:rFonts w:cs="Times New Roman"/>
      <w:color w:val="0000FF"/>
      <w:u w:val="single"/>
    </w:rPr>
  </w:style>
  <w:style w:type="character" w:customStyle="1" w:styleId="EmailStyle31">
    <w:name w:val="EmailStyle31"/>
    <w:rPr>
      <w:rFonts w:ascii="Malgun Gothic" w:eastAsia="Malgun Gothic" w:hAnsi="Malgun Gothic" w:cs="Times New Roman"/>
      <w:color w:val="auto"/>
      <w:sz w:val="24"/>
      <w:szCs w:val="24"/>
      <w:u w:val="none"/>
    </w:rPr>
  </w:style>
  <w:style w:type="character" w:customStyle="1" w:styleId="21">
    <w:name w:val="메모 참조2"/>
    <w:basedOn w:val="DefaultParagraphFont"/>
    <w:rPr>
      <w:sz w:val="18"/>
      <w:szCs w:val="18"/>
    </w:rPr>
  </w:style>
  <w:style w:type="character" w:customStyle="1" w:styleId="Char">
    <w:name w:val="메모 텍스트 Char"/>
    <w:basedOn w:val="DefaultParagraphFont"/>
    <w:rPr>
      <w:rFonts w:ascii="Times New Roman" w:eastAsia="SimSun" w:hAnsi="Times New Roman"/>
      <w:sz w:val="24"/>
      <w:szCs w:val="24"/>
      <w:lang w:val="en-CA" w:eastAsia="zh-CN"/>
    </w:rPr>
  </w:style>
  <w:style w:type="character" w:customStyle="1" w:styleId="Char0">
    <w:name w:val="메모 주제 Char"/>
    <w:basedOn w:val="Char"/>
    <w:rPr>
      <w:rFonts w:ascii="Times New Roman" w:eastAsia="SimSun" w:hAnsi="Times New Roman"/>
      <w:b/>
      <w:bCs/>
      <w:sz w:val="24"/>
      <w:szCs w:val="24"/>
      <w:lang w:val="en-CA" w:eastAsia="zh-CN"/>
    </w:rPr>
  </w:style>
  <w:style w:type="character" w:customStyle="1" w:styleId="tlid-translation">
    <w:name w:val="tlid-translation"/>
    <w:basedOn w:val="DefaultParagraphFont"/>
  </w:style>
  <w:style w:type="paragraph" w:styleId="CommentText">
    <w:name w:val="annotation text"/>
    <w:basedOn w:val="Normal"/>
    <w:link w:val="CommentTextChar1"/>
    <w:uiPriority w:val="99"/>
  </w:style>
  <w:style w:type="character" w:customStyle="1" w:styleId="CommentTextChar1">
    <w:name w:val="Comment Text Char1"/>
    <w:basedOn w:val="DefaultParagraphFont"/>
    <w:link w:val="CommentText"/>
    <w:uiPriority w:val="99"/>
    <w:rPr>
      <w:rFonts w:ascii="Times New Roman" w:eastAsia="SimSun" w:hAnsi="Times New Roman"/>
      <w:sz w:val="24"/>
      <w:szCs w:val="24"/>
      <w:lang w:val="en-CA" w:eastAsia="zh-CN"/>
    </w:rPr>
  </w:style>
  <w:style w:type="character" w:styleId="CommentReference">
    <w:name w:val="annotation reference"/>
    <w:basedOn w:val="DefaultParagraphFont"/>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Gnewsroo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굴림"/>
        <a:ea typeface="맑은 고딕"/>
        <a:cs typeface="굴림"/>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7D5347FAF4C41A6942C360AE29510" ma:contentTypeVersion="10" ma:contentTypeDescription="Create a new document." ma:contentTypeScope="" ma:versionID="951c4a6c0a83401efc6cd4f752f47e66">
  <xsd:schema xmlns:xsd="http://www.w3.org/2001/XMLSchema" xmlns:xs="http://www.w3.org/2001/XMLSchema" xmlns:p="http://schemas.microsoft.com/office/2006/metadata/properties" xmlns:ns2="12ed0c50-0eb2-4188-b3e3-a71a971a3f46" xmlns:ns3="e10abab1-e055-4f25-a638-acf20d059f0b" targetNamespace="http://schemas.microsoft.com/office/2006/metadata/properties" ma:root="true" ma:fieldsID="06e608ea574e9238ff43098447b9b013" ns2:_="" ns3:_="">
    <xsd:import namespace="12ed0c50-0eb2-4188-b3e3-a71a971a3f46"/>
    <xsd:import namespace="e10abab1-e055-4f25-a638-acf20d059f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d0c50-0eb2-4188-b3e3-a71a971a3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abab1-e055-4f25-a638-acf20d059f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B4661-6579-43B1-825F-ABB146F31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d0c50-0eb2-4188-b3e3-a71a971a3f46"/>
    <ds:schemaRef ds:uri="e10abab1-e055-4f25-a638-acf20d059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D66B6-0E43-472E-A387-A5F66B9915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46212D-AEB9-444D-B576-001BB33B7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5229</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TAYLOR/LGEUS Public Relations Team(john.taylor@lge.com)</dc:creator>
  <cp:keywords/>
  <dc:description/>
  <cp:lastModifiedBy>Asmus, Caroline</cp:lastModifiedBy>
  <cp:revision>3</cp:revision>
  <cp:lastPrinted>2019-07-31T08:12:00Z</cp:lastPrinted>
  <dcterms:created xsi:type="dcterms:W3CDTF">2019-07-31T08:12:00Z</dcterms:created>
  <dcterms:modified xsi:type="dcterms:W3CDTF">2019-07-31T08:12:00Z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0x0101008EB7D5347FAF4C41A6942C360AE29510</vt:lpwstr>
  </property>
</Properties>
</file>