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8" w:rsidRPr="00B058E3" w:rsidRDefault="003E5918" w:rsidP="003E5918">
      <w:pPr>
        <w:pStyle w:val="VisaDocumentname"/>
        <w:rPr>
          <w:rFonts w:cs="Segoe UI"/>
          <w:color w:val="0023A0"/>
          <w:lang w:val="pl-PL"/>
        </w:rPr>
      </w:pPr>
      <w:r w:rsidRPr="003E5918">
        <w:rPr>
          <w:rFonts w:cs="Segoe UI"/>
          <w:noProof/>
          <w:color w:val="0023A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40A776B9" wp14:editId="73827AEF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B76" w:rsidRPr="00B058E3">
        <w:rPr>
          <w:rFonts w:cs="Segoe UI"/>
          <w:color w:val="0023A0"/>
          <w:lang w:val="pl-PL"/>
        </w:rPr>
        <w:t>INFORMACJA PRASOWA</w:t>
      </w:r>
    </w:p>
    <w:p w:rsidR="009E16F7" w:rsidRPr="00E674A6" w:rsidRDefault="00323966" w:rsidP="00323966">
      <w:pPr>
        <w:pStyle w:val="VisaHeadline"/>
        <w:jc w:val="center"/>
        <w:rPr>
          <w:rFonts w:cs="Segoe UI"/>
          <w:b/>
          <w:bCs/>
          <w:iCs/>
          <w:sz w:val="20"/>
          <w:lang w:val="pl-PL"/>
        </w:rPr>
      </w:pPr>
      <w:r w:rsidRPr="00323966">
        <w:rPr>
          <w:lang w:val="pl-PL"/>
        </w:rPr>
        <w:t>Gotówka odchodzi w przeszłość</w:t>
      </w:r>
    </w:p>
    <w:p w:rsidR="00323966" w:rsidRDefault="00323966" w:rsidP="00323966">
      <w:p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</w:p>
    <w:p w:rsidR="00323966" w:rsidRDefault="00323966" w:rsidP="003239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323966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Technologie zbliżeniowe i mobilne współtworzą nowe zwyczaje zaku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powe w okresie przedświątecznym</w:t>
      </w:r>
    </w:p>
    <w:p w:rsidR="00B058E3" w:rsidRPr="00B07B55" w:rsidRDefault="003E5918" w:rsidP="00B058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 w:rsidRPr="003E5918">
        <w:rPr>
          <w:rFonts w:ascii="Segoe UI" w:hAnsi="Segoe UI" w:cs="Segoe UI"/>
          <w:b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28D7E38F" wp14:editId="7D41BBB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966" w:rsidRDefault="004C7C16" w:rsidP="00327B4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986FA9">
        <w:rPr>
          <w:rFonts w:ascii="Segoe UI" w:hAnsi="Segoe UI" w:cs="Segoe UI"/>
          <w:b/>
          <w:noProof/>
          <w:lang w:val="pl-PL" w:eastAsia="pl-PL"/>
        </w:rPr>
        <w:t>21</w:t>
      </w:r>
      <w:r w:rsidR="00457B07">
        <w:rPr>
          <w:rFonts w:ascii="Segoe UI" w:hAnsi="Segoe UI" w:cs="Segoe UI"/>
          <w:b/>
          <w:noProof/>
          <w:lang w:val="pl-PL" w:eastAsia="pl-PL"/>
        </w:rPr>
        <w:t xml:space="preserve"> grudnia</w:t>
      </w:r>
      <w:r w:rsidR="00D444CA">
        <w:rPr>
          <w:rFonts w:ascii="Segoe UI" w:hAnsi="Segoe UI" w:cs="Segoe UI"/>
          <w:b/>
          <w:noProof/>
          <w:lang w:val="pl-PL" w:eastAsia="pl-PL"/>
        </w:rPr>
        <w:t xml:space="preserve"> 2016 r.</w:t>
      </w:r>
      <w:r w:rsidR="003E5918" w:rsidRPr="00B058E3">
        <w:rPr>
          <w:rFonts w:ascii="Segoe UI" w:hAnsi="Segoe UI" w:cs="Segoe UI"/>
          <w:lang w:val="pl-PL"/>
        </w:rPr>
        <w:t xml:space="preserve"> </w:t>
      </w:r>
      <w:r w:rsidR="009E16F7" w:rsidRPr="00B058E3">
        <w:rPr>
          <w:rFonts w:ascii="Segoe UI" w:hAnsi="Segoe UI" w:cs="Segoe UI"/>
          <w:lang w:val="pl-PL"/>
        </w:rPr>
        <w:t>–</w:t>
      </w:r>
      <w:r w:rsidR="009E16F7">
        <w:rPr>
          <w:rFonts w:ascii="Segoe UI" w:hAnsi="Segoe UI" w:cs="Segoe UI"/>
          <w:lang w:val="pl-PL"/>
        </w:rPr>
        <w:t xml:space="preserve"> </w:t>
      </w:r>
      <w:r w:rsidR="00323966" w:rsidRPr="00323966">
        <w:rPr>
          <w:rFonts w:ascii="Segoe UI" w:hAnsi="Segoe UI" w:cs="Segoe UI"/>
          <w:lang w:val="pl-PL"/>
        </w:rPr>
        <w:t xml:space="preserve">Czy to w sklepie internetowym czy tradycyjnym, zarówno przy zakupie prezentów, jak i produktów na świąteczne dania, kupujący coraz częściej rezygnują z gotówki, wybierając szybkość i wygodę, jaką zapewniają karty zbliżeniowe i nowe metody płatności.  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b/>
          <w:lang w:val="pl-PL"/>
        </w:rPr>
      </w:pPr>
      <w:r w:rsidRPr="00323966">
        <w:rPr>
          <w:rFonts w:ascii="Segoe UI" w:hAnsi="Segoe UI" w:cs="Segoe UI"/>
          <w:b/>
          <w:lang w:val="pl-PL"/>
        </w:rPr>
        <w:t xml:space="preserve">Upowszechnienie płatności zbliżeniowych </w:t>
      </w:r>
    </w:p>
    <w:p w:rsidR="00323966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 xml:space="preserve">W Europie wydano dotąd 165 mln kart zbliżeniowych, z których można korzystać w 3,4 mln terminali płatniczych przystosowanych do akceptacji płatności w technologii NFC. Jak wskazują wyniki niedawnych badań zleconych przez Visa (Digital </w:t>
      </w:r>
      <w:proofErr w:type="spellStart"/>
      <w:r w:rsidRPr="00323966">
        <w:rPr>
          <w:rFonts w:ascii="Segoe UI" w:hAnsi="Segoe UI" w:cs="Segoe UI"/>
          <w:lang w:val="pl-PL"/>
        </w:rPr>
        <w:t>Payments</w:t>
      </w:r>
      <w:proofErr w:type="spellEnd"/>
      <w:r w:rsidRPr="00323966">
        <w:rPr>
          <w:rFonts w:ascii="Segoe UI" w:hAnsi="Segoe UI" w:cs="Segoe UI"/>
          <w:lang w:val="pl-PL"/>
        </w:rPr>
        <w:t xml:space="preserve"> </w:t>
      </w:r>
      <w:proofErr w:type="spellStart"/>
      <w:r w:rsidRPr="00323966">
        <w:rPr>
          <w:rFonts w:ascii="Segoe UI" w:hAnsi="Segoe UI" w:cs="Segoe UI"/>
          <w:lang w:val="pl-PL"/>
        </w:rPr>
        <w:t>Study</w:t>
      </w:r>
      <w:proofErr w:type="spellEnd"/>
      <w:r w:rsidR="007E4FC2">
        <w:rPr>
          <w:rFonts w:ascii="Segoe UI" w:hAnsi="Segoe UI" w:cs="Segoe UI"/>
          <w:lang w:val="pl-PL"/>
        </w:rPr>
        <w:t xml:space="preserve"> </w:t>
      </w:r>
      <w:r w:rsidR="007E4FC2" w:rsidRPr="00323966">
        <w:rPr>
          <w:rFonts w:ascii="Segoe UI" w:hAnsi="Segoe UI" w:cs="Segoe UI"/>
          <w:lang w:val="pl-PL"/>
        </w:rPr>
        <w:t>2016</w:t>
      </w:r>
      <w:r w:rsidRPr="00323966">
        <w:rPr>
          <w:rFonts w:ascii="Segoe UI" w:hAnsi="Segoe UI" w:cs="Segoe UI"/>
          <w:lang w:val="pl-PL"/>
        </w:rPr>
        <w:t xml:space="preserve">), odsetek </w:t>
      </w:r>
      <w:bookmarkStart w:id="0" w:name="_GoBack"/>
      <w:bookmarkEnd w:id="0"/>
      <w:r w:rsidRPr="00323966">
        <w:rPr>
          <w:rFonts w:ascii="Segoe UI" w:hAnsi="Segoe UI" w:cs="Segoe UI"/>
          <w:lang w:val="pl-PL"/>
        </w:rPr>
        <w:t>użytkowników kart zbliżeniowych wzrósł z 36% w 2015 r. do 52% w 2016 r. Tendencja ta nie ogranicza się jednak do osób młodych, obeznanych z nowymi technologiami, lecz występuje we wszystkich grupach wiekowych – przy czym naj</w:t>
      </w:r>
      <w:r w:rsidR="00D667CC">
        <w:rPr>
          <w:rFonts w:ascii="Segoe UI" w:hAnsi="Segoe UI" w:cs="Segoe UI"/>
          <w:lang w:val="pl-PL"/>
        </w:rPr>
        <w:t xml:space="preserve">większy wzrost odsetka użytkowników kart zbliżeniowych </w:t>
      </w:r>
      <w:r w:rsidRPr="00323966">
        <w:rPr>
          <w:rFonts w:ascii="Segoe UI" w:hAnsi="Segoe UI" w:cs="Segoe UI"/>
          <w:lang w:val="pl-PL"/>
        </w:rPr>
        <w:t>odnotowano w grupie 55-64 lat.</w:t>
      </w:r>
    </w:p>
    <w:p w:rsidR="00323966" w:rsidRDefault="00323966" w:rsidP="00323966">
      <w:pPr>
        <w:pStyle w:val="Tekstkomentarza"/>
        <w:jc w:val="center"/>
        <w:rPr>
          <w:rFonts w:ascii="Segoe UI" w:hAnsi="Segoe UI" w:cs="Segoe UI"/>
          <w:lang w:val="pl-PL"/>
        </w:rPr>
      </w:pPr>
      <w:r w:rsidRPr="00FD6090">
        <w:rPr>
          <w:noProof/>
          <w:lang w:val="pl-PL" w:eastAsia="pl-PL"/>
        </w:rPr>
        <w:drawing>
          <wp:inline distT="0" distB="0" distL="0" distR="0" wp14:anchorId="2EF15319" wp14:editId="7B0DC1DE">
            <wp:extent cx="4781550" cy="2876550"/>
            <wp:effectExtent l="0" t="0" r="19050" b="1905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b/>
          <w:lang w:val="pl-PL"/>
        </w:rPr>
      </w:pPr>
      <w:r w:rsidRPr="00323966">
        <w:rPr>
          <w:rFonts w:ascii="Segoe UI" w:hAnsi="Segoe UI" w:cs="Segoe UI"/>
          <w:b/>
          <w:lang w:val="pl-PL"/>
        </w:rPr>
        <w:t xml:space="preserve">Technologia zbliżeniowa wprowadza nowe sposoby płatności 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>Upowszechnienie kart zbliżeniowych wywiera również istotny wpływ na popularyzację innych metod płatności. W całej Europie użytkownicy takich kart częściej korzystają z urządzeń mobilnych przy płaceniu w sklepach tradycyjnych (52% użytkowników kart zbliżeniowych wobec 32% pozostałych użytkowników kart), przy dokonywaniu zakupów poprzez aplikację detalisty (49% wobec 31%) lub przy zapłacie za posiłek (50% wobec 30%).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 xml:space="preserve">Odnosząc korzyści z płatności zbliżeniowych, konsumenci jednocześnie poznają zalety innych nowych sposobów płacenia. Wg badania Visa w 2016 r. mobilnymi aplikacjami płatniczymi posługiwało się już 44% respondentów, wobec 38% w ubiegłym roku. Niemal połowa (46%) zgadza się z opinią, że dzięki </w:t>
      </w:r>
      <w:r w:rsidRPr="00323966">
        <w:rPr>
          <w:rFonts w:ascii="Segoe UI" w:hAnsi="Segoe UI" w:cs="Segoe UI"/>
          <w:lang w:val="pl-PL"/>
        </w:rPr>
        <w:lastRenderedPageBreak/>
        <w:t xml:space="preserve">możliwości dokonywania płatności za pośrednictwem urządzenia mobilnego lub ubieralnego łatwiej jest kupić potrzebny artykuł. 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 xml:space="preserve">Ta dodatkowa wygoda przyczynia się również do upowszechnienia usług portfela elektronicznego w różnych kanałach zakupowych. Konsumenci europejscy zainteresowani są stosowaniem portfeli elektronicznych przy zakupach bezpośrednich (37%), w aplikacji (51%) i w </w:t>
      </w:r>
      <w:proofErr w:type="spellStart"/>
      <w:r w:rsidRPr="00323966">
        <w:rPr>
          <w:rFonts w:ascii="Segoe UI" w:hAnsi="Segoe UI" w:cs="Segoe UI"/>
          <w:lang w:val="pl-PL"/>
        </w:rPr>
        <w:t>internecie</w:t>
      </w:r>
      <w:proofErr w:type="spellEnd"/>
      <w:r w:rsidRPr="00323966">
        <w:rPr>
          <w:rFonts w:ascii="Segoe UI" w:hAnsi="Segoe UI" w:cs="Segoe UI"/>
          <w:lang w:val="pl-PL"/>
        </w:rPr>
        <w:t xml:space="preserve"> (56%). Wśród uzyskiwanych korzyści najczęściej wymieniana jest większa wygoda (61%) oraz możliwość płacenia w dowolnym czasie i miejscu (59%).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b/>
          <w:lang w:val="pl-PL"/>
        </w:rPr>
      </w:pPr>
      <w:r w:rsidRPr="00323966">
        <w:rPr>
          <w:rFonts w:ascii="Segoe UI" w:hAnsi="Segoe UI" w:cs="Segoe UI"/>
          <w:b/>
          <w:lang w:val="pl-PL"/>
        </w:rPr>
        <w:t>Kupujący łączą zakupy tradycyjne z internetowymi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>Badanie Visa wykazało również, że konsumenci – zwłaszcza przy zakupach o wysokiej wartości – korzystają jednocześnie z internetowych i tradycyjnych kanałów sprzedaży. 70% europejskich konsumentów przyznaje się do praktyki określanej angielskim terminem „</w:t>
      </w:r>
      <w:proofErr w:type="spellStart"/>
      <w:r w:rsidRPr="00323966">
        <w:rPr>
          <w:rFonts w:ascii="Segoe UI" w:hAnsi="Segoe UI" w:cs="Segoe UI"/>
          <w:lang w:val="pl-PL"/>
        </w:rPr>
        <w:t>showrooming</w:t>
      </w:r>
      <w:proofErr w:type="spellEnd"/>
      <w:r w:rsidRPr="00323966">
        <w:rPr>
          <w:rFonts w:ascii="Segoe UI" w:hAnsi="Segoe UI" w:cs="Segoe UI"/>
          <w:lang w:val="pl-PL"/>
        </w:rPr>
        <w:t>”, czyli poprzedzania zakupu online wizytą w sklepie tradycyjnym w celu zapoznania się z towarem. Niemal tyle samo (66%) stosuje „</w:t>
      </w:r>
      <w:proofErr w:type="spellStart"/>
      <w:r w:rsidRPr="00323966">
        <w:rPr>
          <w:rFonts w:ascii="Segoe UI" w:hAnsi="Segoe UI" w:cs="Segoe UI"/>
          <w:lang w:val="pl-PL"/>
        </w:rPr>
        <w:t>webrooming</w:t>
      </w:r>
      <w:proofErr w:type="spellEnd"/>
      <w:r w:rsidRPr="00323966">
        <w:rPr>
          <w:rFonts w:ascii="Segoe UI" w:hAnsi="Segoe UI" w:cs="Segoe UI"/>
          <w:lang w:val="pl-PL"/>
        </w:rPr>
        <w:t>” – najpierw szuka najlepszych ofert cenowych online, a dopiero potem kupuje dany produkt w sklepie.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>Pomimo wzrostu sprzedaży internetowej w okresie przedświątecznym handel tradycyjny pozostaje istotnym elementem zwyczajów zakupowych konsumentów. 60% kupujących wciąż docenia możliwość porozmawiania ze sprzedawcą i bezpośredniego przyjrzenia się potencjalnemu upominkowi.</w:t>
      </w:r>
    </w:p>
    <w:p w:rsidR="00323966" w:rsidRPr="00323966" w:rsidRDefault="00E825CC" w:rsidP="00323966">
      <w:pPr>
        <w:pStyle w:val="Tekstkomentarza"/>
        <w:rPr>
          <w:rFonts w:ascii="Segoe UI" w:hAnsi="Segoe UI" w:cs="Segoe UI"/>
          <w:lang w:val="pl-PL"/>
        </w:rPr>
      </w:pPr>
      <w:r w:rsidRPr="00E825CC">
        <w:rPr>
          <w:rFonts w:ascii="Segoe UI" w:hAnsi="Segoe UI" w:cs="Segoe UI"/>
          <w:lang w:val="pl-PL"/>
        </w:rPr>
        <w:t>Jakub Kiwior, dyrektor ds. rozwoju biznesu i marketingu w regionie Europy Środkowo-Wschodniej, Visa</w:t>
      </w:r>
      <w:r w:rsidR="00323966" w:rsidRPr="00323966">
        <w:rPr>
          <w:rFonts w:ascii="Segoe UI" w:hAnsi="Segoe UI" w:cs="Segoe UI"/>
          <w:lang w:val="pl-PL"/>
        </w:rPr>
        <w:t>, powiedział: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 xml:space="preserve">„Rosnąca popularność kart zbliżeniowych wśród europejskich konsumentów skutkuje stopniowym upowszechnianiem się płatności mobilnych i innych płatności cyfrowych. W nadchodzącym okresie przedświątecznym za prezenty gwiazdkowe, ozdoby na choinkę czy produkty na dania wigilijne płacić będziemy na wiele różnych sposobów.  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 xml:space="preserve">Konsumenci mają obecnie do dyspozycji mnóstwo nowych metod płacenia, na przykład z wykorzystaniem urządzeń mobilnych. Przekłada się to na szeroki wybór szybkich, łatwych i bezpiecznych sposobów dokonywania zakupów w sklepach tradycyjnych. </w:t>
      </w:r>
    </w:p>
    <w:p w:rsidR="00323966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>W obecnym sezonie świątecznym sukces detalisty zależy więc od tego, czy udostępnił kupującym preferowane przez nich metody płatności”.</w:t>
      </w:r>
    </w:p>
    <w:p w:rsidR="00894AEC" w:rsidRPr="00894AEC" w:rsidRDefault="00894AEC" w:rsidP="00323966">
      <w:pPr>
        <w:pStyle w:val="Tekstkomentarza"/>
        <w:rPr>
          <w:rFonts w:ascii="Segoe UI" w:hAnsi="Segoe UI" w:cs="Segoe UI"/>
          <w:b/>
          <w:lang w:val="pl-PL"/>
        </w:rPr>
      </w:pPr>
      <w:r w:rsidRPr="00894AEC">
        <w:rPr>
          <w:rFonts w:ascii="Segoe UI" w:hAnsi="Segoe UI" w:cs="Segoe UI"/>
          <w:b/>
          <w:lang w:val="pl-PL"/>
        </w:rPr>
        <w:t>Polacy oswojeni z innowacjami</w:t>
      </w:r>
    </w:p>
    <w:p w:rsidR="00894AEC" w:rsidRDefault="00894AEC" w:rsidP="00323966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W Polsce już ponad 60% wszystkich płatności Visa stanowią płatności zbliżeniowe</w:t>
      </w:r>
      <w:r w:rsidR="00724907">
        <w:rPr>
          <w:rFonts w:ascii="Segoe UI" w:hAnsi="Segoe UI" w:cs="Segoe UI"/>
          <w:lang w:val="pl-PL"/>
        </w:rPr>
        <w:t xml:space="preserve">. Ich powszechność zbudowała solidny fundament </w:t>
      </w:r>
      <w:r>
        <w:rPr>
          <w:rFonts w:ascii="Segoe UI" w:hAnsi="Segoe UI" w:cs="Segoe UI"/>
          <w:lang w:val="pl-PL"/>
        </w:rPr>
        <w:t>pod rozwój na lok</w:t>
      </w:r>
      <w:r w:rsidR="00724907">
        <w:rPr>
          <w:rFonts w:ascii="Segoe UI" w:hAnsi="Segoe UI" w:cs="Segoe UI"/>
          <w:lang w:val="pl-PL"/>
        </w:rPr>
        <w:t xml:space="preserve">alnym rynku zbliżeniowych płatności mobilnych Visa, które </w:t>
      </w:r>
      <w:r w:rsidR="00602AD8">
        <w:rPr>
          <w:rFonts w:ascii="Segoe UI" w:hAnsi="Segoe UI" w:cs="Segoe UI"/>
          <w:lang w:val="pl-PL"/>
        </w:rPr>
        <w:t xml:space="preserve">wdrożyły lub wdrażają </w:t>
      </w:r>
      <w:r w:rsidR="00724907">
        <w:rPr>
          <w:rFonts w:ascii="Segoe UI" w:hAnsi="Segoe UI" w:cs="Segoe UI"/>
          <w:lang w:val="pl-PL"/>
        </w:rPr>
        <w:t xml:space="preserve">banki wydające łącznie ponad 80% kart Visa w kraju. Zbliżeniowo – kartą lub smartfonem – można zapłacić w </w:t>
      </w:r>
      <w:r w:rsidR="00960468">
        <w:rPr>
          <w:rFonts w:ascii="Segoe UI" w:hAnsi="Segoe UI" w:cs="Segoe UI"/>
          <w:lang w:val="pl-PL"/>
        </w:rPr>
        <w:t>ponad 86</w:t>
      </w:r>
      <w:r w:rsidR="00724907">
        <w:rPr>
          <w:rFonts w:ascii="Segoe UI" w:hAnsi="Segoe UI" w:cs="Segoe UI"/>
          <w:lang w:val="pl-PL"/>
        </w:rPr>
        <w:t>% terminali w Polsce, a do końca przyszłego roku będzie to możliwe we wszystkich terminalach.</w:t>
      </w:r>
    </w:p>
    <w:p w:rsidR="00844530" w:rsidRDefault="00724907" w:rsidP="00323966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Wśród nowych rozwiązań, z których</w:t>
      </w:r>
      <w:r w:rsidRPr="00724907">
        <w:rPr>
          <w:rFonts w:ascii="Segoe UI" w:hAnsi="Segoe UI" w:cs="Segoe UI"/>
          <w:lang w:val="pl-PL"/>
        </w:rPr>
        <w:t xml:space="preserve"> niebawem </w:t>
      </w:r>
      <w:r>
        <w:rPr>
          <w:rFonts w:ascii="Segoe UI" w:hAnsi="Segoe UI" w:cs="Segoe UI"/>
          <w:lang w:val="pl-PL"/>
        </w:rPr>
        <w:t xml:space="preserve">również </w:t>
      </w:r>
      <w:r w:rsidRPr="00724907">
        <w:rPr>
          <w:rFonts w:ascii="Segoe UI" w:hAnsi="Segoe UI" w:cs="Segoe UI"/>
          <w:lang w:val="pl-PL"/>
        </w:rPr>
        <w:t xml:space="preserve">skorzystają konsumenci w Polsce </w:t>
      </w:r>
      <w:r>
        <w:rPr>
          <w:rFonts w:ascii="Segoe UI" w:hAnsi="Segoe UI" w:cs="Segoe UI"/>
          <w:lang w:val="pl-PL"/>
        </w:rPr>
        <w:t xml:space="preserve">jest Visa </w:t>
      </w:r>
      <w:proofErr w:type="spellStart"/>
      <w:r>
        <w:rPr>
          <w:rFonts w:ascii="Segoe UI" w:hAnsi="Segoe UI" w:cs="Segoe UI"/>
          <w:lang w:val="pl-PL"/>
        </w:rPr>
        <w:t>Checkout</w:t>
      </w:r>
      <w:proofErr w:type="spellEnd"/>
      <w:r>
        <w:rPr>
          <w:rFonts w:ascii="Segoe UI" w:hAnsi="Segoe UI" w:cs="Segoe UI"/>
          <w:lang w:val="pl-PL"/>
        </w:rPr>
        <w:t xml:space="preserve"> – </w:t>
      </w:r>
      <w:r w:rsidRPr="00724907">
        <w:rPr>
          <w:rFonts w:ascii="Segoe UI" w:hAnsi="Segoe UI" w:cs="Segoe UI"/>
          <w:lang w:val="pl-PL"/>
        </w:rPr>
        <w:t xml:space="preserve">usługa, która znacznie uprości płacenie kartami za zakupy w sieci, w szczególności z urządzeń mobilnych. </w:t>
      </w:r>
    </w:p>
    <w:p w:rsidR="00844530" w:rsidRDefault="00724907" w:rsidP="00323966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Polacy mogą być również spokojni o dalszy rozwój innowacji. Visa wspólnie z bankami uruchomi inkubator innowacji, któr</w:t>
      </w:r>
      <w:r w:rsidR="005E2C44">
        <w:rPr>
          <w:rFonts w:ascii="Segoe UI" w:hAnsi="Segoe UI" w:cs="Segoe UI"/>
          <w:lang w:val="pl-PL"/>
        </w:rPr>
        <w:t>ego celem będzie pomoc</w:t>
      </w:r>
      <w:r>
        <w:rPr>
          <w:rFonts w:ascii="Segoe UI" w:hAnsi="Segoe UI" w:cs="Segoe UI"/>
          <w:lang w:val="pl-PL"/>
        </w:rPr>
        <w:t xml:space="preserve"> w przyspieszeniu</w:t>
      </w:r>
      <w:r w:rsidRPr="00724907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rozwoju obrotu bezgotówkowego oraz cyfryzacji całej gospodarki</w:t>
      </w:r>
      <w:r w:rsidRPr="00724907">
        <w:rPr>
          <w:rFonts w:ascii="Segoe UI" w:hAnsi="Segoe UI" w:cs="Segoe UI"/>
          <w:lang w:val="pl-PL"/>
        </w:rPr>
        <w:t xml:space="preserve">. </w:t>
      </w:r>
      <w:r w:rsidR="00817C0E">
        <w:rPr>
          <w:rFonts w:ascii="Segoe UI" w:hAnsi="Segoe UI" w:cs="Segoe UI"/>
          <w:lang w:val="pl-PL"/>
        </w:rPr>
        <w:t xml:space="preserve">Inkubator będzie wspomagał tworzenie rozwiązań odpowiadających potrzebom </w:t>
      </w:r>
      <w:r w:rsidR="00817C0E">
        <w:rPr>
          <w:rFonts w:ascii="Segoe UI" w:hAnsi="Segoe UI" w:cs="Segoe UI"/>
          <w:lang w:val="pl-PL"/>
        </w:rPr>
        <w:lastRenderedPageBreak/>
        <w:t xml:space="preserve">polskiego </w:t>
      </w:r>
      <w:r w:rsidR="00F4727A">
        <w:rPr>
          <w:rFonts w:ascii="Segoe UI" w:hAnsi="Segoe UI" w:cs="Segoe UI"/>
          <w:lang w:val="pl-PL"/>
        </w:rPr>
        <w:t xml:space="preserve">rynku </w:t>
      </w:r>
      <w:r w:rsidR="00646C8C">
        <w:rPr>
          <w:rFonts w:ascii="Segoe UI" w:hAnsi="Segoe UI" w:cs="Segoe UI"/>
          <w:lang w:val="pl-PL"/>
        </w:rPr>
        <w:t xml:space="preserve">w takich obszarach jak akceptacja i wydawnictwo nowej generacji, smart </w:t>
      </w:r>
      <w:proofErr w:type="spellStart"/>
      <w:r w:rsidR="00646C8C">
        <w:rPr>
          <w:rFonts w:ascii="Segoe UI" w:hAnsi="Segoe UI" w:cs="Segoe UI"/>
          <w:lang w:val="pl-PL"/>
        </w:rPr>
        <w:t>cities</w:t>
      </w:r>
      <w:proofErr w:type="spellEnd"/>
      <w:r w:rsidR="00646C8C">
        <w:rPr>
          <w:rFonts w:ascii="Segoe UI" w:hAnsi="Segoe UI" w:cs="Segoe UI"/>
          <w:lang w:val="pl-PL"/>
        </w:rPr>
        <w:t xml:space="preserve"> (tzw. inteligentne miasta), płatności w transporcie</w:t>
      </w:r>
      <w:r w:rsidR="005E6DF7">
        <w:rPr>
          <w:rFonts w:ascii="Segoe UI" w:hAnsi="Segoe UI" w:cs="Segoe UI"/>
          <w:lang w:val="pl-PL"/>
        </w:rPr>
        <w:t xml:space="preserve"> czy</w:t>
      </w:r>
      <w:r w:rsidR="00646C8C">
        <w:rPr>
          <w:rFonts w:ascii="Segoe UI" w:hAnsi="Segoe UI" w:cs="Segoe UI"/>
          <w:lang w:val="pl-PL"/>
        </w:rPr>
        <w:t xml:space="preserve"> </w:t>
      </w:r>
      <w:proofErr w:type="spellStart"/>
      <w:r w:rsidR="00646C8C">
        <w:rPr>
          <w:rFonts w:ascii="Segoe UI" w:hAnsi="Segoe UI" w:cs="Segoe UI"/>
          <w:lang w:val="pl-PL"/>
        </w:rPr>
        <w:t>internet</w:t>
      </w:r>
      <w:proofErr w:type="spellEnd"/>
      <w:r w:rsidR="00646C8C">
        <w:rPr>
          <w:rFonts w:ascii="Segoe UI" w:hAnsi="Segoe UI" w:cs="Segoe UI"/>
          <w:lang w:val="pl-PL"/>
        </w:rPr>
        <w:t xml:space="preserve"> rzeczy</w:t>
      </w:r>
      <w:r w:rsidR="00210089">
        <w:rPr>
          <w:rFonts w:ascii="Segoe UI" w:hAnsi="Segoe UI" w:cs="Segoe UI"/>
          <w:lang w:val="pl-PL"/>
        </w:rPr>
        <w:t>.</w:t>
      </w:r>
    </w:p>
    <w:p w:rsidR="00986FA9" w:rsidRPr="00894AEC" w:rsidRDefault="00986FA9" w:rsidP="00323966">
      <w:pPr>
        <w:pStyle w:val="Tekstkomentarza"/>
        <w:rPr>
          <w:rFonts w:ascii="Segoe UI" w:hAnsi="Segoe UI" w:cs="Segoe UI"/>
          <w:lang w:val="pl-PL"/>
        </w:rPr>
      </w:pPr>
    </w:p>
    <w:p w:rsidR="00C4240E" w:rsidRPr="00741BC2" w:rsidRDefault="00C4240E" w:rsidP="00C4240E">
      <w:pPr>
        <w:spacing w:line="247" w:lineRule="auto"/>
        <w:jc w:val="center"/>
        <w:rPr>
          <w:rFonts w:cs="Segoe UI"/>
          <w:lang w:val="pt-PT"/>
        </w:rPr>
      </w:pPr>
      <w:r w:rsidRPr="00741BC2">
        <w:rPr>
          <w:rFonts w:cs="Segoe UI"/>
          <w:lang w:val="pt-PT"/>
        </w:rPr>
        <w:t>###</w:t>
      </w:r>
    </w:p>
    <w:p w:rsidR="00323966" w:rsidRPr="00965990" w:rsidRDefault="00323966" w:rsidP="00323966">
      <w:pPr>
        <w:pStyle w:val="Tekstkomentarza"/>
        <w:rPr>
          <w:rFonts w:ascii="Segoe UI" w:hAnsi="Segoe UI" w:cs="Segoe UI"/>
          <w:b/>
          <w:lang w:val="en-GB"/>
        </w:rPr>
      </w:pPr>
    </w:p>
    <w:p w:rsidR="00323966" w:rsidRPr="00323966" w:rsidRDefault="00323966" w:rsidP="00323966">
      <w:pPr>
        <w:pStyle w:val="Tekstkomentarza"/>
        <w:rPr>
          <w:rFonts w:ascii="Segoe UI" w:hAnsi="Segoe UI" w:cs="Segoe UI"/>
          <w:b/>
          <w:lang w:val="en-GB"/>
        </w:rPr>
      </w:pPr>
      <w:r w:rsidRPr="00323966">
        <w:rPr>
          <w:rFonts w:ascii="Segoe UI" w:hAnsi="Segoe UI" w:cs="Segoe UI"/>
          <w:b/>
          <w:lang w:val="en-GB"/>
        </w:rPr>
        <w:t xml:space="preserve">O </w:t>
      </w:r>
      <w:proofErr w:type="spellStart"/>
      <w:r w:rsidRPr="00323966">
        <w:rPr>
          <w:rFonts w:ascii="Segoe UI" w:hAnsi="Segoe UI" w:cs="Segoe UI"/>
          <w:b/>
          <w:lang w:val="en-GB"/>
        </w:rPr>
        <w:t>badaniu</w:t>
      </w:r>
      <w:proofErr w:type="spellEnd"/>
      <w:r w:rsidRPr="00323966">
        <w:rPr>
          <w:rFonts w:ascii="Segoe UI" w:hAnsi="Segoe UI" w:cs="Segoe UI"/>
          <w:b/>
          <w:lang w:val="en-GB"/>
        </w:rPr>
        <w:t xml:space="preserve"> Digital Payments Study 2016</w:t>
      </w:r>
    </w:p>
    <w:p w:rsidR="00C4240E" w:rsidRDefault="00323966" w:rsidP="00323966">
      <w:pPr>
        <w:pStyle w:val="Tekstkomentarza"/>
        <w:rPr>
          <w:rFonts w:ascii="Segoe UI" w:hAnsi="Segoe UI" w:cs="Segoe UI"/>
          <w:lang w:val="pl-PL"/>
        </w:rPr>
      </w:pPr>
      <w:r w:rsidRPr="00323966">
        <w:rPr>
          <w:rFonts w:ascii="Segoe UI" w:hAnsi="Segoe UI" w:cs="Segoe UI"/>
          <w:lang w:val="pl-PL"/>
        </w:rPr>
        <w:t xml:space="preserve">Badanie Digital </w:t>
      </w:r>
      <w:proofErr w:type="spellStart"/>
      <w:r w:rsidRPr="00323966">
        <w:rPr>
          <w:rFonts w:ascii="Segoe UI" w:hAnsi="Segoe UI" w:cs="Segoe UI"/>
          <w:lang w:val="pl-PL"/>
        </w:rPr>
        <w:t>Payments</w:t>
      </w:r>
      <w:proofErr w:type="spellEnd"/>
      <w:r w:rsidRPr="00323966">
        <w:rPr>
          <w:rFonts w:ascii="Segoe UI" w:hAnsi="Segoe UI" w:cs="Segoe UI"/>
          <w:lang w:val="pl-PL"/>
        </w:rPr>
        <w:t xml:space="preserve"> </w:t>
      </w:r>
      <w:proofErr w:type="spellStart"/>
      <w:r w:rsidRPr="00323966">
        <w:rPr>
          <w:rFonts w:ascii="Segoe UI" w:hAnsi="Segoe UI" w:cs="Segoe UI"/>
          <w:lang w:val="pl-PL"/>
        </w:rPr>
        <w:t>Study</w:t>
      </w:r>
      <w:proofErr w:type="spellEnd"/>
      <w:r w:rsidRPr="00323966">
        <w:rPr>
          <w:rFonts w:ascii="Segoe UI" w:hAnsi="Segoe UI" w:cs="Segoe UI"/>
          <w:lang w:val="pl-PL"/>
        </w:rPr>
        <w:t xml:space="preserve"> 2016 zostało przeprowadzone przez agencję </w:t>
      </w:r>
      <w:proofErr w:type="spellStart"/>
      <w:r w:rsidRPr="00323966">
        <w:rPr>
          <w:rFonts w:ascii="Segoe UI" w:hAnsi="Segoe UI" w:cs="Segoe UI"/>
          <w:lang w:val="pl-PL"/>
        </w:rPr>
        <w:t>Populus</w:t>
      </w:r>
      <w:proofErr w:type="spellEnd"/>
      <w:r w:rsidRPr="00323966">
        <w:rPr>
          <w:rFonts w:ascii="Segoe UI" w:hAnsi="Segoe UI" w:cs="Segoe UI"/>
          <w:lang w:val="pl-PL"/>
        </w:rPr>
        <w:t xml:space="preserve"> na zlecenie Visa w sierpniu i wrześniu 2016 r. w 19 krajach: Austrii, Belgii, Danii, Finlandii, Francji, Hiszpanii, Holandii, Irlandii, Izraelu, Niemczech, Norwegii, Polsce, Rumunii, Słowenii, Szwajcarii, Szwecji, Turcji, Wielkiej Brytanii i Włoszech. Próba konsumentów uczestniczących w badaniu to 36 843 osób ogółem – około 2 tys. respondentów w każdym kraju.</w:t>
      </w:r>
    </w:p>
    <w:p w:rsidR="00323966" w:rsidRPr="00323966" w:rsidRDefault="00323966" w:rsidP="00323966">
      <w:pPr>
        <w:pStyle w:val="Tekstkomentarza"/>
        <w:rPr>
          <w:rFonts w:ascii="Segoe UI" w:hAnsi="Segoe UI" w:cs="Segoe UI"/>
          <w:lang w:val="pl-PL"/>
        </w:rPr>
      </w:pPr>
    </w:p>
    <w:p w:rsidR="00757B76" w:rsidRPr="00703D3E" w:rsidRDefault="00757B76" w:rsidP="00355B89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pt-PT" w:eastAsia="ko-KR"/>
        </w:rPr>
      </w:pPr>
      <w:r w:rsidRPr="00703D3E"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  <w:t>O Visa Inc.</w:t>
      </w:r>
    </w:p>
    <w:p w:rsidR="00762295" w:rsidRPr="00355B89" w:rsidRDefault="00762295" w:rsidP="00762295">
      <w:pPr>
        <w:rPr>
          <w:lang w:val="pl-PL"/>
        </w:rPr>
      </w:pPr>
      <w:r w:rsidRPr="00844530">
        <w:rPr>
          <w:rFonts w:ascii="Segoe UI" w:hAnsi="Segoe UI" w:cs="Segoe UI"/>
          <w:sz w:val="20"/>
          <w:szCs w:val="20"/>
          <w:lang w:val="en-GB"/>
        </w:rPr>
        <w:t xml:space="preserve">Visa Inc. </w:t>
      </w:r>
      <w:r w:rsidRPr="00355B89">
        <w:rPr>
          <w:rFonts w:ascii="Segoe UI" w:hAnsi="Segoe UI" w:cs="Segoe UI"/>
          <w:sz w:val="20"/>
          <w:szCs w:val="20"/>
          <w:lang w:val="pl-PL"/>
        </w:rPr>
        <w:t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VisaNet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</w:t>
      </w:r>
      <w:r>
        <w:rPr>
          <w:rFonts w:ascii="Segoe UI" w:hAnsi="Segoe UI" w:cs="Segoe UI"/>
          <w:sz w:val="20"/>
          <w:szCs w:val="20"/>
          <w:lang w:val="pl-PL"/>
        </w:rPr>
        <w:t>formacji znajduje się na stronach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11" w:history="1">
        <w:r w:rsidRPr="00466CB6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r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2" w:anchor="_blank" w:history="1">
        <w:r w:rsidRPr="00355B89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355B89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>.</w:t>
      </w:r>
    </w:p>
    <w:p w:rsidR="009D05DE" w:rsidRDefault="009D05DE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:rsidR="003E5918" w:rsidRPr="00531613" w:rsidRDefault="00757B76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 w:rsidRPr="00531613">
        <w:rPr>
          <w:rFonts w:ascii="Segoe UI" w:hAnsi="Segoe UI" w:cs="Segoe UI"/>
          <w:b/>
          <w:sz w:val="20"/>
          <w:szCs w:val="20"/>
          <w:lang w:val="pl-PL"/>
        </w:rPr>
        <w:t>Kontakt</w:t>
      </w:r>
      <w:r w:rsidR="003E5918" w:rsidRPr="00531613">
        <w:rPr>
          <w:rFonts w:ascii="Segoe UI" w:hAnsi="Segoe UI" w:cs="Segoe UI"/>
          <w:b/>
          <w:sz w:val="20"/>
          <w:szCs w:val="20"/>
          <w:lang w:val="pl-PL"/>
        </w:rPr>
        <w:t xml:space="preserve">: </w:t>
      </w:r>
    </w:p>
    <w:p w:rsidR="00757B76" w:rsidRPr="00355B89" w:rsidRDefault="00757B76" w:rsidP="00355B89">
      <w:pPr>
        <w:rPr>
          <w:rFonts w:ascii="Segoe UI" w:hAnsi="Segoe UI" w:cs="Segoe UI"/>
          <w:sz w:val="20"/>
          <w:szCs w:val="18"/>
          <w:lang w:val="pl-PL"/>
        </w:rPr>
      </w:pPr>
      <w:r w:rsidRPr="00355B89">
        <w:rPr>
          <w:rFonts w:ascii="Segoe UI" w:hAnsi="Segoe UI" w:cs="Segoe UI"/>
          <w:sz w:val="20"/>
          <w:szCs w:val="18"/>
          <w:lang w:val="pl-PL"/>
        </w:rPr>
        <w:t>Maciej Gajewski, Message House Agencja PR</w:t>
      </w:r>
    </w:p>
    <w:p w:rsidR="00757B76" w:rsidRPr="00531613" w:rsidRDefault="00757B76" w:rsidP="00355B89">
      <w:pPr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>tel. 22 119 78 45</w:t>
      </w:r>
    </w:p>
    <w:p w:rsidR="003E5918" w:rsidRPr="00531613" w:rsidRDefault="00757B76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3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4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 </w:t>
      </w:r>
    </w:p>
    <w:sectPr w:rsidR="003E5918" w:rsidRPr="00531613" w:rsidSect="008174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B3" w:rsidRDefault="00FA49B3" w:rsidP="00FA49B3">
      <w:pPr>
        <w:spacing w:after="0" w:line="240" w:lineRule="auto"/>
      </w:pPr>
      <w:r>
        <w:separator/>
      </w:r>
    </w:p>
  </w:endnote>
  <w:endnote w:type="continuationSeparator" w:id="0">
    <w:p w:rsidR="00FA49B3" w:rsidRDefault="00FA49B3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B3" w:rsidRDefault="00FA49B3" w:rsidP="00FA49B3">
      <w:pPr>
        <w:spacing w:after="0" w:line="240" w:lineRule="auto"/>
      </w:pPr>
      <w:r>
        <w:separator/>
      </w:r>
    </w:p>
  </w:footnote>
  <w:footnote w:type="continuationSeparator" w:id="0">
    <w:p w:rsidR="00FA49B3" w:rsidRDefault="00FA49B3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45F5"/>
    <w:rsid w:val="00005EB0"/>
    <w:rsid w:val="000064E9"/>
    <w:rsid w:val="00007098"/>
    <w:rsid w:val="00016750"/>
    <w:rsid w:val="000227B5"/>
    <w:rsid w:val="000252CE"/>
    <w:rsid w:val="000255C1"/>
    <w:rsid w:val="0003369E"/>
    <w:rsid w:val="00036726"/>
    <w:rsid w:val="0003743A"/>
    <w:rsid w:val="0004035F"/>
    <w:rsid w:val="0004732F"/>
    <w:rsid w:val="00047B9D"/>
    <w:rsid w:val="00050D3C"/>
    <w:rsid w:val="000550A0"/>
    <w:rsid w:val="00056BE8"/>
    <w:rsid w:val="00056DFE"/>
    <w:rsid w:val="00060691"/>
    <w:rsid w:val="00061699"/>
    <w:rsid w:val="00072587"/>
    <w:rsid w:val="00074E2F"/>
    <w:rsid w:val="00082B98"/>
    <w:rsid w:val="00083814"/>
    <w:rsid w:val="0009597C"/>
    <w:rsid w:val="000A06D7"/>
    <w:rsid w:val="000A29DF"/>
    <w:rsid w:val="000A7323"/>
    <w:rsid w:val="000B0BFC"/>
    <w:rsid w:val="000B24CD"/>
    <w:rsid w:val="000B516A"/>
    <w:rsid w:val="000C0F4F"/>
    <w:rsid w:val="000C2D7B"/>
    <w:rsid w:val="000C3E9C"/>
    <w:rsid w:val="000C76FA"/>
    <w:rsid w:val="000D28D5"/>
    <w:rsid w:val="000D58AE"/>
    <w:rsid w:val="000E2064"/>
    <w:rsid w:val="000E3FC0"/>
    <w:rsid w:val="000E47A5"/>
    <w:rsid w:val="000F1C90"/>
    <w:rsid w:val="000F49E3"/>
    <w:rsid w:val="00102D2F"/>
    <w:rsid w:val="001058B0"/>
    <w:rsid w:val="001063D1"/>
    <w:rsid w:val="00123392"/>
    <w:rsid w:val="00141F5E"/>
    <w:rsid w:val="00147B7F"/>
    <w:rsid w:val="0015048D"/>
    <w:rsid w:val="001525FA"/>
    <w:rsid w:val="00152675"/>
    <w:rsid w:val="0015639E"/>
    <w:rsid w:val="001575AC"/>
    <w:rsid w:val="001748AA"/>
    <w:rsid w:val="001757C9"/>
    <w:rsid w:val="00183D76"/>
    <w:rsid w:val="001870CD"/>
    <w:rsid w:val="001A3583"/>
    <w:rsid w:val="001A5A2D"/>
    <w:rsid w:val="001C2C03"/>
    <w:rsid w:val="001C4FCC"/>
    <w:rsid w:val="001C5CD3"/>
    <w:rsid w:val="001C61C9"/>
    <w:rsid w:val="001D2865"/>
    <w:rsid w:val="001D3BB8"/>
    <w:rsid w:val="001E721F"/>
    <w:rsid w:val="001E7275"/>
    <w:rsid w:val="001F7B5D"/>
    <w:rsid w:val="00210089"/>
    <w:rsid w:val="00210141"/>
    <w:rsid w:val="00230C7D"/>
    <w:rsid w:val="002325E6"/>
    <w:rsid w:val="00233F73"/>
    <w:rsid w:val="00240799"/>
    <w:rsid w:val="002515E7"/>
    <w:rsid w:val="00260E29"/>
    <w:rsid w:val="002663D9"/>
    <w:rsid w:val="00281CF0"/>
    <w:rsid w:val="00283D07"/>
    <w:rsid w:val="00291865"/>
    <w:rsid w:val="00292D56"/>
    <w:rsid w:val="00295642"/>
    <w:rsid w:val="002A6643"/>
    <w:rsid w:val="002B41CB"/>
    <w:rsid w:val="002B5B78"/>
    <w:rsid w:val="002C1685"/>
    <w:rsid w:val="002E79F8"/>
    <w:rsid w:val="002F225D"/>
    <w:rsid w:val="002F482B"/>
    <w:rsid w:val="00323966"/>
    <w:rsid w:val="00323D4D"/>
    <w:rsid w:val="00325DF5"/>
    <w:rsid w:val="00327B4D"/>
    <w:rsid w:val="0033005D"/>
    <w:rsid w:val="00332D30"/>
    <w:rsid w:val="00332F72"/>
    <w:rsid w:val="00355B89"/>
    <w:rsid w:val="00357737"/>
    <w:rsid w:val="00363161"/>
    <w:rsid w:val="0036766D"/>
    <w:rsid w:val="00370E80"/>
    <w:rsid w:val="003834A5"/>
    <w:rsid w:val="00383FD0"/>
    <w:rsid w:val="0038523E"/>
    <w:rsid w:val="003929E7"/>
    <w:rsid w:val="00397672"/>
    <w:rsid w:val="003C34C7"/>
    <w:rsid w:val="003C6A72"/>
    <w:rsid w:val="003D76BE"/>
    <w:rsid w:val="003E5918"/>
    <w:rsid w:val="003F243B"/>
    <w:rsid w:val="003F6DC1"/>
    <w:rsid w:val="003F7FE6"/>
    <w:rsid w:val="004003AD"/>
    <w:rsid w:val="004074D2"/>
    <w:rsid w:val="00410B4B"/>
    <w:rsid w:val="00415401"/>
    <w:rsid w:val="00416BD8"/>
    <w:rsid w:val="00425B62"/>
    <w:rsid w:val="00425C42"/>
    <w:rsid w:val="00447F43"/>
    <w:rsid w:val="00456C42"/>
    <w:rsid w:val="00457B07"/>
    <w:rsid w:val="004621FC"/>
    <w:rsid w:val="004837C2"/>
    <w:rsid w:val="00484F40"/>
    <w:rsid w:val="00487591"/>
    <w:rsid w:val="00490A84"/>
    <w:rsid w:val="004916D3"/>
    <w:rsid w:val="00491C96"/>
    <w:rsid w:val="00491FFA"/>
    <w:rsid w:val="00492E80"/>
    <w:rsid w:val="004940AB"/>
    <w:rsid w:val="004975B6"/>
    <w:rsid w:val="004A3AA4"/>
    <w:rsid w:val="004B0C02"/>
    <w:rsid w:val="004B457A"/>
    <w:rsid w:val="004B61C0"/>
    <w:rsid w:val="004C4E19"/>
    <w:rsid w:val="004C7C16"/>
    <w:rsid w:val="004D5ED1"/>
    <w:rsid w:val="004E2126"/>
    <w:rsid w:val="004E22BC"/>
    <w:rsid w:val="004F6E0B"/>
    <w:rsid w:val="00502862"/>
    <w:rsid w:val="005100A1"/>
    <w:rsid w:val="00516AA5"/>
    <w:rsid w:val="00517747"/>
    <w:rsid w:val="005259C3"/>
    <w:rsid w:val="00531613"/>
    <w:rsid w:val="00532785"/>
    <w:rsid w:val="00534345"/>
    <w:rsid w:val="00542A1C"/>
    <w:rsid w:val="00551B8E"/>
    <w:rsid w:val="00573BD6"/>
    <w:rsid w:val="0057427A"/>
    <w:rsid w:val="00574CC3"/>
    <w:rsid w:val="00575B9C"/>
    <w:rsid w:val="005769BB"/>
    <w:rsid w:val="00576EF7"/>
    <w:rsid w:val="00582FA6"/>
    <w:rsid w:val="00583E45"/>
    <w:rsid w:val="005842B5"/>
    <w:rsid w:val="00586643"/>
    <w:rsid w:val="00587728"/>
    <w:rsid w:val="005938D4"/>
    <w:rsid w:val="00594F90"/>
    <w:rsid w:val="005954AF"/>
    <w:rsid w:val="0059748D"/>
    <w:rsid w:val="005A292A"/>
    <w:rsid w:val="005A7002"/>
    <w:rsid w:val="005B4043"/>
    <w:rsid w:val="005C1965"/>
    <w:rsid w:val="005C38F7"/>
    <w:rsid w:val="005C6B14"/>
    <w:rsid w:val="005C70ED"/>
    <w:rsid w:val="005D36C6"/>
    <w:rsid w:val="005D530D"/>
    <w:rsid w:val="005D59D2"/>
    <w:rsid w:val="005D650D"/>
    <w:rsid w:val="005D79F0"/>
    <w:rsid w:val="005E13A9"/>
    <w:rsid w:val="005E2C44"/>
    <w:rsid w:val="005E3F28"/>
    <w:rsid w:val="005E43C4"/>
    <w:rsid w:val="005E6DF7"/>
    <w:rsid w:val="005E7826"/>
    <w:rsid w:val="0060019A"/>
    <w:rsid w:val="00602AD8"/>
    <w:rsid w:val="0060626D"/>
    <w:rsid w:val="00611792"/>
    <w:rsid w:val="00611A54"/>
    <w:rsid w:val="006203BB"/>
    <w:rsid w:val="00624F4A"/>
    <w:rsid w:val="006301C0"/>
    <w:rsid w:val="00646C8C"/>
    <w:rsid w:val="006570FE"/>
    <w:rsid w:val="0066017F"/>
    <w:rsid w:val="00663066"/>
    <w:rsid w:val="006678E3"/>
    <w:rsid w:val="0068097E"/>
    <w:rsid w:val="0069256D"/>
    <w:rsid w:val="006971F7"/>
    <w:rsid w:val="006A0489"/>
    <w:rsid w:val="006A1DA2"/>
    <w:rsid w:val="006A369A"/>
    <w:rsid w:val="006A3A14"/>
    <w:rsid w:val="006A7AD7"/>
    <w:rsid w:val="006B1291"/>
    <w:rsid w:val="006C00AC"/>
    <w:rsid w:val="006D2F5C"/>
    <w:rsid w:val="006D3EC0"/>
    <w:rsid w:val="006E2FC8"/>
    <w:rsid w:val="006F0539"/>
    <w:rsid w:val="006F05AD"/>
    <w:rsid w:val="00703D3E"/>
    <w:rsid w:val="007065FC"/>
    <w:rsid w:val="00707B8A"/>
    <w:rsid w:val="00710CBE"/>
    <w:rsid w:val="0071171C"/>
    <w:rsid w:val="00724907"/>
    <w:rsid w:val="00741BC2"/>
    <w:rsid w:val="00742863"/>
    <w:rsid w:val="00757B76"/>
    <w:rsid w:val="007601D8"/>
    <w:rsid w:val="00762295"/>
    <w:rsid w:val="00762A59"/>
    <w:rsid w:val="007665B0"/>
    <w:rsid w:val="007714E9"/>
    <w:rsid w:val="007731D2"/>
    <w:rsid w:val="00787A25"/>
    <w:rsid w:val="00791AD8"/>
    <w:rsid w:val="00792953"/>
    <w:rsid w:val="007933F1"/>
    <w:rsid w:val="00797C14"/>
    <w:rsid w:val="007A362C"/>
    <w:rsid w:val="007A482F"/>
    <w:rsid w:val="007A7250"/>
    <w:rsid w:val="007B36E9"/>
    <w:rsid w:val="007B58F9"/>
    <w:rsid w:val="007B7732"/>
    <w:rsid w:val="007C49A9"/>
    <w:rsid w:val="007C57D4"/>
    <w:rsid w:val="007D2EE7"/>
    <w:rsid w:val="007D42EB"/>
    <w:rsid w:val="007D7400"/>
    <w:rsid w:val="007E4FC2"/>
    <w:rsid w:val="007F0B4F"/>
    <w:rsid w:val="007F2239"/>
    <w:rsid w:val="007F3C08"/>
    <w:rsid w:val="008007DE"/>
    <w:rsid w:val="008042C6"/>
    <w:rsid w:val="00806547"/>
    <w:rsid w:val="00806EBC"/>
    <w:rsid w:val="00812790"/>
    <w:rsid w:val="008150BC"/>
    <w:rsid w:val="00817444"/>
    <w:rsid w:val="00817C0E"/>
    <w:rsid w:val="00820AFA"/>
    <w:rsid w:val="0082460C"/>
    <w:rsid w:val="0082653E"/>
    <w:rsid w:val="008315FC"/>
    <w:rsid w:val="00834F48"/>
    <w:rsid w:val="00840605"/>
    <w:rsid w:val="0084207D"/>
    <w:rsid w:val="00844530"/>
    <w:rsid w:val="00850650"/>
    <w:rsid w:val="008629C6"/>
    <w:rsid w:val="00870944"/>
    <w:rsid w:val="00876F40"/>
    <w:rsid w:val="00886007"/>
    <w:rsid w:val="00887B08"/>
    <w:rsid w:val="00890B42"/>
    <w:rsid w:val="00892B9D"/>
    <w:rsid w:val="00894AEC"/>
    <w:rsid w:val="008A1FE6"/>
    <w:rsid w:val="008C0D10"/>
    <w:rsid w:val="008D0756"/>
    <w:rsid w:val="008D0815"/>
    <w:rsid w:val="008D1422"/>
    <w:rsid w:val="008D2265"/>
    <w:rsid w:val="008E06EA"/>
    <w:rsid w:val="008E6469"/>
    <w:rsid w:val="0090241A"/>
    <w:rsid w:val="009027D3"/>
    <w:rsid w:val="009046ED"/>
    <w:rsid w:val="00913F3C"/>
    <w:rsid w:val="00914A1D"/>
    <w:rsid w:val="00917794"/>
    <w:rsid w:val="009211AD"/>
    <w:rsid w:val="0093786B"/>
    <w:rsid w:val="009412CF"/>
    <w:rsid w:val="009425FF"/>
    <w:rsid w:val="00944675"/>
    <w:rsid w:val="00944E4D"/>
    <w:rsid w:val="00947524"/>
    <w:rsid w:val="00950CA2"/>
    <w:rsid w:val="00951838"/>
    <w:rsid w:val="00960468"/>
    <w:rsid w:val="00965990"/>
    <w:rsid w:val="00967791"/>
    <w:rsid w:val="00973C5D"/>
    <w:rsid w:val="00973E44"/>
    <w:rsid w:val="00984FC5"/>
    <w:rsid w:val="00985622"/>
    <w:rsid w:val="00985A4E"/>
    <w:rsid w:val="009866DF"/>
    <w:rsid w:val="00986FA9"/>
    <w:rsid w:val="009A1AE2"/>
    <w:rsid w:val="009A3D1E"/>
    <w:rsid w:val="009B0A9B"/>
    <w:rsid w:val="009B0CAF"/>
    <w:rsid w:val="009B27FC"/>
    <w:rsid w:val="009B4F51"/>
    <w:rsid w:val="009B73A0"/>
    <w:rsid w:val="009C160E"/>
    <w:rsid w:val="009C1CB2"/>
    <w:rsid w:val="009D05DE"/>
    <w:rsid w:val="009E16F7"/>
    <w:rsid w:val="009E2C12"/>
    <w:rsid w:val="009E2DD8"/>
    <w:rsid w:val="009E65EE"/>
    <w:rsid w:val="009F175C"/>
    <w:rsid w:val="00A04EF7"/>
    <w:rsid w:val="00A1491C"/>
    <w:rsid w:val="00A17895"/>
    <w:rsid w:val="00A25780"/>
    <w:rsid w:val="00A26935"/>
    <w:rsid w:val="00A366ED"/>
    <w:rsid w:val="00A46BA9"/>
    <w:rsid w:val="00A51068"/>
    <w:rsid w:val="00A567F1"/>
    <w:rsid w:val="00A602F1"/>
    <w:rsid w:val="00A64D08"/>
    <w:rsid w:val="00A6767C"/>
    <w:rsid w:val="00A70953"/>
    <w:rsid w:val="00A727EA"/>
    <w:rsid w:val="00A73287"/>
    <w:rsid w:val="00A7436F"/>
    <w:rsid w:val="00A760C1"/>
    <w:rsid w:val="00A8299E"/>
    <w:rsid w:val="00A84510"/>
    <w:rsid w:val="00A87288"/>
    <w:rsid w:val="00A93AAB"/>
    <w:rsid w:val="00A96C35"/>
    <w:rsid w:val="00AA5C90"/>
    <w:rsid w:val="00AB2492"/>
    <w:rsid w:val="00AB5AE0"/>
    <w:rsid w:val="00AC12F0"/>
    <w:rsid w:val="00AC44F4"/>
    <w:rsid w:val="00AD038F"/>
    <w:rsid w:val="00AD468E"/>
    <w:rsid w:val="00AF53CF"/>
    <w:rsid w:val="00AF5BA3"/>
    <w:rsid w:val="00B020F4"/>
    <w:rsid w:val="00B058E3"/>
    <w:rsid w:val="00B062C4"/>
    <w:rsid w:val="00B07B55"/>
    <w:rsid w:val="00B10DB6"/>
    <w:rsid w:val="00B1764B"/>
    <w:rsid w:val="00B17A78"/>
    <w:rsid w:val="00B21C23"/>
    <w:rsid w:val="00B338A9"/>
    <w:rsid w:val="00B340F6"/>
    <w:rsid w:val="00B3722C"/>
    <w:rsid w:val="00B44FA6"/>
    <w:rsid w:val="00B45665"/>
    <w:rsid w:val="00B50FAB"/>
    <w:rsid w:val="00B554BF"/>
    <w:rsid w:val="00B60DD3"/>
    <w:rsid w:val="00B70A74"/>
    <w:rsid w:val="00B81F60"/>
    <w:rsid w:val="00B83341"/>
    <w:rsid w:val="00B83BD7"/>
    <w:rsid w:val="00B86F65"/>
    <w:rsid w:val="00BB04B1"/>
    <w:rsid w:val="00BB1DE0"/>
    <w:rsid w:val="00BB28FC"/>
    <w:rsid w:val="00BB2EF8"/>
    <w:rsid w:val="00BB3AC5"/>
    <w:rsid w:val="00BB78A8"/>
    <w:rsid w:val="00BF2F2C"/>
    <w:rsid w:val="00BF3977"/>
    <w:rsid w:val="00BF7805"/>
    <w:rsid w:val="00C0169B"/>
    <w:rsid w:val="00C03A15"/>
    <w:rsid w:val="00C03FA7"/>
    <w:rsid w:val="00C07E4B"/>
    <w:rsid w:val="00C10E39"/>
    <w:rsid w:val="00C1125D"/>
    <w:rsid w:val="00C120AD"/>
    <w:rsid w:val="00C2686E"/>
    <w:rsid w:val="00C275B3"/>
    <w:rsid w:val="00C3785A"/>
    <w:rsid w:val="00C40F6C"/>
    <w:rsid w:val="00C4240E"/>
    <w:rsid w:val="00C426BF"/>
    <w:rsid w:val="00C45A33"/>
    <w:rsid w:val="00C47860"/>
    <w:rsid w:val="00C4790D"/>
    <w:rsid w:val="00C47C9D"/>
    <w:rsid w:val="00C55A92"/>
    <w:rsid w:val="00C64789"/>
    <w:rsid w:val="00C6482C"/>
    <w:rsid w:val="00C837A2"/>
    <w:rsid w:val="00C876CE"/>
    <w:rsid w:val="00C93874"/>
    <w:rsid w:val="00CA5BA0"/>
    <w:rsid w:val="00CB004D"/>
    <w:rsid w:val="00CB5BCA"/>
    <w:rsid w:val="00CB7BAE"/>
    <w:rsid w:val="00CC0204"/>
    <w:rsid w:val="00CC589E"/>
    <w:rsid w:val="00CD201F"/>
    <w:rsid w:val="00CE0540"/>
    <w:rsid w:val="00CE3B66"/>
    <w:rsid w:val="00CF0BF6"/>
    <w:rsid w:val="00CF3B15"/>
    <w:rsid w:val="00CF6A6C"/>
    <w:rsid w:val="00D002B8"/>
    <w:rsid w:val="00D07331"/>
    <w:rsid w:val="00D13BA0"/>
    <w:rsid w:val="00D15589"/>
    <w:rsid w:val="00D3519C"/>
    <w:rsid w:val="00D43F3A"/>
    <w:rsid w:val="00D4433B"/>
    <w:rsid w:val="00D444CA"/>
    <w:rsid w:val="00D45596"/>
    <w:rsid w:val="00D56C92"/>
    <w:rsid w:val="00D57477"/>
    <w:rsid w:val="00D60B93"/>
    <w:rsid w:val="00D667CC"/>
    <w:rsid w:val="00D80FED"/>
    <w:rsid w:val="00D81BE1"/>
    <w:rsid w:val="00D85AC5"/>
    <w:rsid w:val="00D90370"/>
    <w:rsid w:val="00D92AD4"/>
    <w:rsid w:val="00D92C58"/>
    <w:rsid w:val="00D9423B"/>
    <w:rsid w:val="00DA13CE"/>
    <w:rsid w:val="00DA4BF4"/>
    <w:rsid w:val="00DB2078"/>
    <w:rsid w:val="00DB6570"/>
    <w:rsid w:val="00DB670C"/>
    <w:rsid w:val="00DB769F"/>
    <w:rsid w:val="00DC664C"/>
    <w:rsid w:val="00DD111D"/>
    <w:rsid w:val="00DE0266"/>
    <w:rsid w:val="00DE30E3"/>
    <w:rsid w:val="00DE374A"/>
    <w:rsid w:val="00DF48C1"/>
    <w:rsid w:val="00DF5A4A"/>
    <w:rsid w:val="00DF759F"/>
    <w:rsid w:val="00E07823"/>
    <w:rsid w:val="00E07B6F"/>
    <w:rsid w:val="00E14856"/>
    <w:rsid w:val="00E155C5"/>
    <w:rsid w:val="00E279C7"/>
    <w:rsid w:val="00E3281B"/>
    <w:rsid w:val="00E4619D"/>
    <w:rsid w:val="00E57E3F"/>
    <w:rsid w:val="00E64110"/>
    <w:rsid w:val="00E6739A"/>
    <w:rsid w:val="00E674A6"/>
    <w:rsid w:val="00E71239"/>
    <w:rsid w:val="00E763BB"/>
    <w:rsid w:val="00E825CC"/>
    <w:rsid w:val="00E91C74"/>
    <w:rsid w:val="00E94BF6"/>
    <w:rsid w:val="00E97523"/>
    <w:rsid w:val="00EA366F"/>
    <w:rsid w:val="00EA4896"/>
    <w:rsid w:val="00EA6237"/>
    <w:rsid w:val="00EB2BC7"/>
    <w:rsid w:val="00EC09D5"/>
    <w:rsid w:val="00EC0C0C"/>
    <w:rsid w:val="00EC1799"/>
    <w:rsid w:val="00EC2892"/>
    <w:rsid w:val="00EC2A14"/>
    <w:rsid w:val="00EC5B03"/>
    <w:rsid w:val="00EC7E21"/>
    <w:rsid w:val="00ED3E01"/>
    <w:rsid w:val="00EF11A8"/>
    <w:rsid w:val="00EF1C0D"/>
    <w:rsid w:val="00EF2A8D"/>
    <w:rsid w:val="00EF7227"/>
    <w:rsid w:val="00F01521"/>
    <w:rsid w:val="00F11E1C"/>
    <w:rsid w:val="00F16F95"/>
    <w:rsid w:val="00F308C9"/>
    <w:rsid w:val="00F34A9C"/>
    <w:rsid w:val="00F40A80"/>
    <w:rsid w:val="00F4245D"/>
    <w:rsid w:val="00F4727A"/>
    <w:rsid w:val="00F4727B"/>
    <w:rsid w:val="00F50A07"/>
    <w:rsid w:val="00F66935"/>
    <w:rsid w:val="00F70FBA"/>
    <w:rsid w:val="00F749A3"/>
    <w:rsid w:val="00F8596A"/>
    <w:rsid w:val="00F936CF"/>
    <w:rsid w:val="00FA29BB"/>
    <w:rsid w:val="00FA49B3"/>
    <w:rsid w:val="00FA5C8E"/>
    <w:rsid w:val="00FA67DF"/>
    <w:rsid w:val="00FB0A01"/>
    <w:rsid w:val="00FB4A8E"/>
    <w:rsid w:val="00FB775A"/>
    <w:rsid w:val="00FC01D1"/>
    <w:rsid w:val="00FC1DA2"/>
    <w:rsid w:val="00FD2547"/>
    <w:rsid w:val="00FD263F"/>
    <w:rsid w:val="00FD3ADF"/>
    <w:rsid w:val="00FE166F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13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3C"/>
    <w:rPr>
      <w:b/>
      <w:bCs/>
      <w:sz w:val="20"/>
      <w:szCs w:val="20"/>
    </w:rPr>
  </w:style>
  <w:style w:type="paragraph" w:customStyle="1" w:styleId="VisaBody">
    <w:name w:val="Visa Body"/>
    <w:link w:val="VisaBodyCharChar"/>
    <w:rsid w:val="00CC589E"/>
    <w:pPr>
      <w:spacing w:line="360" w:lineRule="auto"/>
    </w:pPr>
    <w:rPr>
      <w:rFonts w:ascii="Arial" w:eastAsia="MS Mincho" w:hAnsi="Arial" w:cs="Arial"/>
      <w:bCs/>
      <w:szCs w:val="20"/>
      <w:lang w:val="en-GB"/>
    </w:rPr>
  </w:style>
  <w:style w:type="character" w:customStyle="1" w:styleId="VisaBodyCharChar">
    <w:name w:val="Visa Body Char Char"/>
    <w:link w:val="VisaBody"/>
    <w:rsid w:val="00CC589E"/>
    <w:rPr>
      <w:rFonts w:ascii="Arial" w:eastAsia="MS Mincho" w:hAnsi="Arial" w:cs="Arial"/>
      <w:bCs/>
      <w:szCs w:val="20"/>
      <w:lang w:val="en-GB"/>
    </w:rPr>
  </w:style>
  <w:style w:type="paragraph" w:styleId="Poprawka">
    <w:name w:val="Revision"/>
    <w:hidden/>
    <w:uiPriority w:val="99"/>
    <w:semiHidden/>
    <w:rsid w:val="00323D4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9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9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13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3C"/>
    <w:rPr>
      <w:b/>
      <w:bCs/>
      <w:sz w:val="20"/>
      <w:szCs w:val="20"/>
    </w:rPr>
  </w:style>
  <w:style w:type="paragraph" w:customStyle="1" w:styleId="VisaBody">
    <w:name w:val="Visa Body"/>
    <w:link w:val="VisaBodyCharChar"/>
    <w:rsid w:val="00CC589E"/>
    <w:pPr>
      <w:spacing w:line="360" w:lineRule="auto"/>
    </w:pPr>
    <w:rPr>
      <w:rFonts w:ascii="Arial" w:eastAsia="MS Mincho" w:hAnsi="Arial" w:cs="Arial"/>
      <w:bCs/>
      <w:szCs w:val="20"/>
      <w:lang w:val="en-GB"/>
    </w:rPr>
  </w:style>
  <w:style w:type="character" w:customStyle="1" w:styleId="VisaBodyCharChar">
    <w:name w:val="Visa Body Char Char"/>
    <w:link w:val="VisaBody"/>
    <w:rsid w:val="00CC589E"/>
    <w:rPr>
      <w:rFonts w:ascii="Arial" w:eastAsia="MS Mincho" w:hAnsi="Arial" w:cs="Arial"/>
      <w:bCs/>
      <w:szCs w:val="20"/>
      <w:lang w:val="en-GB"/>
    </w:rPr>
  </w:style>
  <w:style w:type="paragraph" w:styleId="Poprawka">
    <w:name w:val="Revision"/>
    <w:hidden/>
    <w:uiPriority w:val="99"/>
    <w:semiHidden/>
    <w:rsid w:val="00323D4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9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gajewski@messagehous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sion.visaeurop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aeurop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iuro@messagehouse.p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livelonfiles\SectorsShares\Financial%20&amp;%20Professional%20services\2016\1.%20Clients\Visa\DBU\Projects\Mobile%20Money%202016\Toolkit%20creation\Factsheets\UK\Graph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Wzrost odsetka użytkowników kart zbliżeniowych od 2015 r. 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'Contacless Europe'!$B$12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'Contacless Europe'!$C$11:$H$11</c:f>
              <c:strCache>
                <c:ptCount val="6"/>
                <c:pt idx="0">
                  <c:v>Average</c:v>
                </c:pt>
                <c:pt idx="1">
                  <c:v>  18-24</c:v>
                </c:pt>
                <c:pt idx="2">
                  <c:v>  25-34</c:v>
                </c:pt>
                <c:pt idx="3">
                  <c:v>  35-44</c:v>
                </c:pt>
                <c:pt idx="4">
                  <c:v>  45-54</c:v>
                </c:pt>
                <c:pt idx="5">
                  <c:v>  55-64</c:v>
                </c:pt>
              </c:strCache>
            </c:strRef>
          </c:cat>
          <c:val>
            <c:numRef>
              <c:f>'Contacless Europe'!$C$12:$H$12</c:f>
              <c:numCache>
                <c:formatCode>0%</c:formatCode>
                <c:ptCount val="6"/>
                <c:pt idx="0">
                  <c:v>0.36</c:v>
                </c:pt>
                <c:pt idx="1">
                  <c:v>0.38</c:v>
                </c:pt>
                <c:pt idx="2">
                  <c:v>0.44</c:v>
                </c:pt>
                <c:pt idx="3">
                  <c:v>0.37</c:v>
                </c:pt>
                <c:pt idx="4">
                  <c:v>0.33</c:v>
                </c:pt>
                <c:pt idx="5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'Contacless Europe'!$B$13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'Contacless Europe'!$C$11:$H$11</c:f>
              <c:strCache>
                <c:ptCount val="6"/>
                <c:pt idx="0">
                  <c:v>Average</c:v>
                </c:pt>
                <c:pt idx="1">
                  <c:v>  18-24</c:v>
                </c:pt>
                <c:pt idx="2">
                  <c:v>  25-34</c:v>
                </c:pt>
                <c:pt idx="3">
                  <c:v>  35-44</c:v>
                </c:pt>
                <c:pt idx="4">
                  <c:v>  45-54</c:v>
                </c:pt>
                <c:pt idx="5">
                  <c:v>  55-64</c:v>
                </c:pt>
              </c:strCache>
            </c:strRef>
          </c:cat>
          <c:val>
            <c:numRef>
              <c:f>'Contacless Europe'!$C$13:$H$13</c:f>
              <c:numCache>
                <c:formatCode>0%</c:formatCode>
                <c:ptCount val="6"/>
                <c:pt idx="0">
                  <c:v>0.52</c:v>
                </c:pt>
                <c:pt idx="1">
                  <c:v>0.52</c:v>
                </c:pt>
                <c:pt idx="2">
                  <c:v>0.56999999999999995</c:v>
                </c:pt>
                <c:pt idx="3">
                  <c:v>0.52</c:v>
                </c:pt>
                <c:pt idx="4">
                  <c:v>0.5</c:v>
                </c:pt>
                <c:pt idx="5">
                  <c:v>0.46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936960"/>
        <c:axId val="38938496"/>
      </c:barChart>
      <c:catAx>
        <c:axId val="3893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8938496"/>
        <c:crosses val="autoZero"/>
        <c:auto val="1"/>
        <c:lblAlgn val="ctr"/>
        <c:lblOffset val="100"/>
        <c:noMultiLvlLbl val="0"/>
      </c:catAx>
      <c:valAx>
        <c:axId val="3893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Odsetek</a:t>
                </a:r>
                <a:r>
                  <a:rPr lang="pl-PL" baseline="0"/>
                  <a:t> osób płacących zbliżeniowo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2.063489645999279E-2"/>
              <c:y val="0.2023662480903885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893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F2A3-EC11-48A9-8031-63909C8A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1013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Jakub Waszczuk</cp:lastModifiedBy>
  <cp:revision>6</cp:revision>
  <cp:lastPrinted>2016-12-21T08:25:00Z</cp:lastPrinted>
  <dcterms:created xsi:type="dcterms:W3CDTF">2016-12-18T12:36:00Z</dcterms:created>
  <dcterms:modified xsi:type="dcterms:W3CDTF">2016-12-21T08:40:00Z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