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A06538" w:rsidRPr="00A06538" w:rsidRDefault="00A06538" w:rsidP="00A06538">
      <w:pPr>
        <w:rPr>
          <w:rFonts w:ascii="HelveticaNeueLT Std Med Cn" w:hAnsi="HelveticaNeueLT Std Med Cn"/>
          <w:sz w:val="56"/>
          <w:szCs w:val="56"/>
        </w:rPr>
      </w:pPr>
      <w:r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CC014B" w:rsidRDefault="00CC014B" w:rsidP="00A50851">
      <w:pPr>
        <w:rPr>
          <w:rFonts w:ascii="HelveticaNeueLT Std" w:hAnsi="HelveticaNeueLT Std"/>
          <w:sz w:val="24"/>
          <w:szCs w:val="24"/>
        </w:rPr>
      </w:pPr>
    </w:p>
    <w:p w:rsidR="00553FD7" w:rsidRPr="00DD4ED7" w:rsidRDefault="00553FD7" w:rsidP="00553FD7">
      <w:pPr>
        <w:rPr>
          <w:rFonts w:ascii="HelveticaNeueLT Std" w:hAnsi="HelveticaNeueLT Std"/>
          <w:b/>
          <w:sz w:val="24"/>
          <w:szCs w:val="24"/>
        </w:rPr>
      </w:pPr>
      <w:r w:rsidRPr="002879DE">
        <w:rPr>
          <w:rFonts w:ascii="HelveticaNeueLT Std" w:hAnsi="HelveticaNeueLT Std"/>
          <w:b/>
          <w:sz w:val="24"/>
          <w:szCs w:val="24"/>
        </w:rPr>
        <w:lastRenderedPageBreak/>
        <w:t xml:space="preserve">Fastighetsbranschen </w:t>
      </w:r>
      <w:r>
        <w:rPr>
          <w:rFonts w:ascii="HelveticaNeueLT Std" w:hAnsi="HelveticaNeueLT Std"/>
          <w:b/>
          <w:sz w:val="24"/>
          <w:szCs w:val="24"/>
        </w:rPr>
        <w:br/>
      </w:r>
      <w:r>
        <w:rPr>
          <w:rFonts w:ascii="HelveticaNeueLT Std" w:hAnsi="HelveticaNeueLT Std"/>
          <w:sz w:val="24"/>
          <w:szCs w:val="24"/>
        </w:rPr>
        <w:t xml:space="preserve">Konkursrisken i Fastighetsbranschen är mycket lägre än genomsnittet, 0,37 procent. Under det senaste året har 196 av 52 827 fastighetsföretag gått i konkurs. </w:t>
      </w:r>
    </w:p>
    <w:p w:rsidR="00553FD7" w:rsidRDefault="00553FD7" w:rsidP="00553F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Fastighetsbranschen är en stabil bransch, där kreditvärdigheten är hög och konkurserna få, säger Emilio Villegas.</w:t>
      </w:r>
    </w:p>
    <w:p w:rsidR="008042B5" w:rsidRPr="008042B5" w:rsidRDefault="008042B5" w:rsidP="008042B5">
      <w:pPr>
        <w:pStyle w:val="Liststycke"/>
        <w:autoSpaceDE w:val="0"/>
        <w:autoSpaceDN w:val="0"/>
        <w:rPr>
          <w:rFonts w:ascii="HelveticaNeue LT 87 HeavyCn" w:hAnsi="HelveticaNeue LT 87 HeavyCn"/>
          <w:spacing w:val="-10"/>
        </w:rPr>
      </w:pPr>
      <w:bookmarkStart w:id="0" w:name="_GoBack"/>
      <w:bookmarkEnd w:id="0"/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 xml:space="preserve">R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553FD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A0B42"/>
    <w:rsid w:val="002A3BE7"/>
    <w:rsid w:val="002C3855"/>
    <w:rsid w:val="002E1F9E"/>
    <w:rsid w:val="002E61C8"/>
    <w:rsid w:val="002E7F5E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2972"/>
    <w:rsid w:val="005128D9"/>
    <w:rsid w:val="00553FD7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92C"/>
    <w:rsid w:val="00772E29"/>
    <w:rsid w:val="00776472"/>
    <w:rsid w:val="007A7F42"/>
    <w:rsid w:val="007D2E0D"/>
    <w:rsid w:val="007E5AA9"/>
    <w:rsid w:val="007F03AF"/>
    <w:rsid w:val="007F15E8"/>
    <w:rsid w:val="007F4FDF"/>
    <w:rsid w:val="007F6D38"/>
    <w:rsid w:val="007F787C"/>
    <w:rsid w:val="008042B5"/>
    <w:rsid w:val="00810B92"/>
    <w:rsid w:val="00820B8C"/>
    <w:rsid w:val="00832E95"/>
    <w:rsid w:val="00857402"/>
    <w:rsid w:val="0088059A"/>
    <w:rsid w:val="008B2D3A"/>
    <w:rsid w:val="008B3B0B"/>
    <w:rsid w:val="008C7023"/>
    <w:rsid w:val="008D5690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72F19"/>
    <w:rsid w:val="00B7385D"/>
    <w:rsid w:val="00B9393D"/>
    <w:rsid w:val="00B975F3"/>
    <w:rsid w:val="00BC70BB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042B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042B5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042B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042B5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B8E0-B2E9-4C64-9101-9C70277D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2057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2</cp:revision>
  <cp:lastPrinted>2014-10-30T11:11:00Z</cp:lastPrinted>
  <dcterms:created xsi:type="dcterms:W3CDTF">2014-10-30T11:12:00Z</dcterms:created>
  <dcterms:modified xsi:type="dcterms:W3CDTF">2014-10-30T11:12:00Z</dcterms:modified>
</cp:coreProperties>
</file>