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0B14" w14:textId="77777777" w:rsidR="004F4442" w:rsidRDefault="004F4442" w:rsidP="004F4442">
      <w:pPr>
        <w:rPr>
          <w:b/>
          <w:bCs/>
          <w:lang w:val="en-US"/>
        </w:rPr>
      </w:pPr>
      <w:r>
        <w:rPr>
          <w:b/>
          <w:bCs/>
          <w:lang w:val="en-US"/>
        </w:rPr>
        <w:t xml:space="preserve">Flowrox Plasma </w:t>
      </w:r>
      <w:proofErr w:type="spellStart"/>
      <w:r>
        <w:rPr>
          <w:b/>
          <w:bCs/>
          <w:lang w:val="en-US"/>
        </w:rPr>
        <w:t>Oxidizer</w:t>
      </w:r>
      <w:r>
        <w:rPr>
          <w:b/>
          <w:bCs/>
          <w:vertAlign w:val="superscript"/>
          <w:lang w:val="en-US"/>
        </w:rPr>
        <w:t>TM</w:t>
      </w:r>
      <w:proofErr w:type="spellEnd"/>
      <w:r>
        <w:rPr>
          <w:b/>
          <w:bCs/>
          <w:lang w:val="en-US"/>
        </w:rPr>
        <w:t xml:space="preserve"> to a Local Hospital!</w:t>
      </w:r>
    </w:p>
    <w:p w14:paraId="4035F494" w14:textId="77777777" w:rsidR="004F4442" w:rsidRDefault="004F4442" w:rsidP="004F4442">
      <w:pPr>
        <w:rPr>
          <w:b/>
          <w:bCs/>
          <w:lang w:val="en-US"/>
        </w:rPr>
      </w:pPr>
      <w:r>
        <w:rPr>
          <w:b/>
          <w:bCs/>
          <w:lang w:val="en-US"/>
        </w:rPr>
        <w:t xml:space="preserve">Flowrox Plasma </w:t>
      </w:r>
      <w:proofErr w:type="spellStart"/>
      <w:r>
        <w:rPr>
          <w:b/>
          <w:bCs/>
          <w:lang w:val="en-US"/>
        </w:rPr>
        <w:t>Oxidizer</w:t>
      </w:r>
      <w:r>
        <w:rPr>
          <w:b/>
          <w:bCs/>
          <w:vertAlign w:val="superscript"/>
          <w:lang w:val="en-US"/>
        </w:rPr>
        <w:t>TM</w:t>
      </w:r>
      <w:proofErr w:type="spellEnd"/>
      <w:r>
        <w:rPr>
          <w:b/>
          <w:bCs/>
          <w:lang w:val="en-US"/>
        </w:rPr>
        <w:t xml:space="preserve"> aims to destroy 90-99 % pharmaceutical residues from the hospital wastewaters. With this installation, Flowrox is the trailblazer on a global scale as this will be the first-of-a-kind on the planet!</w:t>
      </w:r>
    </w:p>
    <w:p w14:paraId="70F4A469" w14:textId="77777777" w:rsidR="004F4442" w:rsidRDefault="004F4442" w:rsidP="004F4442">
      <w:pPr>
        <w:rPr>
          <w:lang w:val="en-US"/>
        </w:rPr>
      </w:pPr>
      <w:r>
        <w:rPr>
          <w:lang w:val="en-US"/>
        </w:rPr>
        <w:t>The system will degrade pharmaceuticals before the hospital sewage enters the public sewer network and the concentrations are diluted. The project has been confirmed for the local Central Hospital in Lappeenranta, Finland. The installation is funded by the City of Lappeenranta and the local Centre for Economic Development, Transport and Environment.</w:t>
      </w:r>
    </w:p>
    <w:p w14:paraId="74543765" w14:textId="77777777" w:rsidR="004F4442" w:rsidRDefault="004F4442" w:rsidP="004F4442">
      <w:pPr>
        <w:rPr>
          <w:lang w:val="en-US"/>
        </w:rPr>
      </w:pPr>
    </w:p>
    <w:p w14:paraId="5DDE0338" w14:textId="77777777" w:rsidR="004F4442" w:rsidRDefault="004F4442" w:rsidP="004F4442">
      <w:pPr>
        <w:rPr>
          <w:b/>
          <w:bCs/>
          <w:lang w:val="en-US"/>
        </w:rPr>
      </w:pPr>
      <w:bookmarkStart w:id="0" w:name="_GoBack"/>
      <w:r>
        <w:rPr>
          <w:b/>
          <w:bCs/>
          <w:lang w:val="en-US"/>
        </w:rPr>
        <w:t>Wastewater treatment at the source prevails over end-of-pipe</w:t>
      </w:r>
    </w:p>
    <w:bookmarkEnd w:id="0"/>
    <w:p w14:paraId="292E59FB" w14:textId="77777777" w:rsidR="004F4442" w:rsidRDefault="004F4442" w:rsidP="004F4442">
      <w:pPr>
        <w:rPr>
          <w:lang w:val="en-US"/>
        </w:rPr>
      </w:pPr>
      <w:r>
        <w:rPr>
          <w:lang w:val="en-US"/>
        </w:rPr>
        <w:t xml:space="preserve">In the testing phase, up to 29 of the monitored pharmaceuticals were observed present in the waters. The Flowrox Plasma Oxidizer was proven to be a very energy-efficient technology to reduce the hospital’s load on the environment. </w:t>
      </w:r>
      <w:r>
        <w:rPr>
          <w:noProof/>
          <w:lang w:val="en-GB"/>
        </w:rPr>
        <w:t xml:space="preserve">Another advantage lies in treating the wastewater right at the source instead of waiting for the processing at the end-of-pipe. </w:t>
      </w:r>
      <w:r>
        <w:rPr>
          <w:lang w:val="en-US"/>
        </w:rPr>
        <w:t xml:space="preserve">Treatment at the source is much more effective at a lower capacity than treatment at the centralized municipal wastewater treatment plant. </w:t>
      </w:r>
    </w:p>
    <w:p w14:paraId="723EB577" w14:textId="77777777" w:rsidR="004F4442" w:rsidRDefault="004F4442" w:rsidP="004F4442">
      <w:pPr>
        <w:rPr>
          <w:lang w:val="en-US"/>
        </w:rPr>
      </w:pPr>
    </w:p>
    <w:p w14:paraId="6AC49AC7" w14:textId="77777777" w:rsidR="004F4442" w:rsidRDefault="004F4442" w:rsidP="004F4442">
      <w:pPr>
        <w:rPr>
          <w:b/>
          <w:bCs/>
          <w:lang w:val="en-US"/>
        </w:rPr>
      </w:pPr>
      <w:r>
        <w:rPr>
          <w:b/>
          <w:bCs/>
          <w:lang w:val="en-US"/>
        </w:rPr>
        <w:t>How do pharmaceutical residues affect us?</w:t>
      </w:r>
    </w:p>
    <w:p w14:paraId="1372AA93" w14:textId="77777777" w:rsidR="004F4442" w:rsidRDefault="004F4442" w:rsidP="004F4442">
      <w:pPr>
        <w:rPr>
          <w:lang w:val="en-US"/>
        </w:rPr>
      </w:pPr>
      <w:r>
        <w:rPr>
          <w:lang w:val="en-US"/>
        </w:rPr>
        <w:t xml:space="preserve">Pharmaceuticals in the environment pose a major threat. Residues of numerous pharmaceuticals are a global problem. They have been </w:t>
      </w:r>
      <w:proofErr w:type="gramStart"/>
      <w:r>
        <w:rPr>
          <w:lang w:val="en-US"/>
        </w:rPr>
        <w:t>found  in</w:t>
      </w:r>
      <w:proofErr w:type="gramEnd"/>
      <w:r>
        <w:rPr>
          <w:lang w:val="en-US"/>
        </w:rPr>
        <w:t xml:space="preserve"> surface, ground waters, and even in drinking water. The concentrations of these pollutants depend on several factors, such as the properties of the substance and the nature and distance of the source. Various painkillers, antibiotics and contraception medication are typically occurring pollutants. Accumulating in the environment, pharmaceuticals cause e.g. hormonal and behavioral dysfunctions in aquatic species. One of the most destructive outcomes is the development of bacterial resistance towards antibiotics and the evolution of so-called super bacteria. This may result in conventional antibiotics losing their effectiveness in medical use. </w:t>
      </w:r>
    </w:p>
    <w:p w14:paraId="31067AA2" w14:textId="77777777" w:rsidR="004F4442" w:rsidRDefault="004F4442" w:rsidP="004F4442">
      <w:pPr>
        <w:rPr>
          <w:lang w:val="en-US"/>
        </w:rPr>
      </w:pPr>
    </w:p>
    <w:p w14:paraId="1383B55E" w14:textId="77777777" w:rsidR="004F4442" w:rsidRDefault="004F4442">
      <w:pPr>
        <w:rPr>
          <w:b/>
          <w:bCs/>
          <w:lang w:val="en-US"/>
        </w:rPr>
      </w:pPr>
      <w:r>
        <w:rPr>
          <w:b/>
          <w:bCs/>
          <w:lang w:val="en-US"/>
        </w:rPr>
        <w:br w:type="page"/>
      </w:r>
    </w:p>
    <w:p w14:paraId="609B594A" w14:textId="10CC952E" w:rsidR="004F4442" w:rsidRDefault="004F4442" w:rsidP="004F4442">
      <w:pPr>
        <w:rPr>
          <w:b/>
          <w:bCs/>
          <w:lang w:val="en-US"/>
        </w:rPr>
      </w:pPr>
      <w:r>
        <w:rPr>
          <w:b/>
          <w:bCs/>
          <w:lang w:val="en-US"/>
        </w:rPr>
        <w:lastRenderedPageBreak/>
        <w:t xml:space="preserve">Why is Flowrox Plasma Oxidizer a great solution to remove pharmaceuticals from the wastewater? </w:t>
      </w:r>
    </w:p>
    <w:p w14:paraId="42BD4DD0" w14:textId="06A2FD0C" w:rsidR="004F4442" w:rsidRDefault="004F4442" w:rsidP="004F4442">
      <w:pPr>
        <w:rPr>
          <w:lang w:val="en-US"/>
        </w:rPr>
      </w:pPr>
      <w:r>
        <w:rPr>
          <w:lang w:val="en-US"/>
        </w:rPr>
        <w:t>Due to the unknown and varying cocktail of pharmaceuticals and their metabolites in the wastewater, a non-selective approach for their removal is required. Plasma oxidation is highly non-selective and proven effective against both the parent compounds and their identified transformation products. Plasma treatment thus always conveys more benefits than measured because it is practically impossible to monitor all the substances that are present and affected. The treatment is estimated to reduce the pharmaceutical load by 90-99% from substances that are not removed by municipal biological treatment. The effectiveness of the process is measured by analyzing pharmaceutical content from the process input and output streams. The solution will be a highly automated system that can be replicated in similar applications at other hospitals and point sources.</w:t>
      </w:r>
    </w:p>
    <w:p w14:paraId="735F0DE9" w14:textId="06A2FD0C" w:rsidR="004F4442" w:rsidRDefault="004F4442" w:rsidP="004F4442">
      <w:pPr>
        <w:pStyle w:val="Default"/>
        <w:spacing w:before="100" w:beforeAutospacing="1" w:after="100" w:afterAutospacing="1"/>
        <w:rPr>
          <w:rFonts w:asciiTheme="minorHAnsi" w:hAnsiTheme="minorHAnsi" w:cs="Calibri"/>
          <w:sz w:val="22"/>
          <w:szCs w:val="22"/>
        </w:rPr>
      </w:pPr>
      <w:r>
        <w:rPr>
          <w:rFonts w:asciiTheme="minorHAnsi" w:hAnsiTheme="minorHAnsi" w:cs="Calibri"/>
          <w:sz w:val="22"/>
          <w:szCs w:val="22"/>
        </w:rPr>
        <w:t>For more information:</w:t>
      </w:r>
    </w:p>
    <w:p w14:paraId="20A58C52" w14:textId="77777777" w:rsidR="004F4442" w:rsidRDefault="004F4442" w:rsidP="004F4442">
      <w:pPr>
        <w:pStyle w:val="Default"/>
        <w:rPr>
          <w:rFonts w:asciiTheme="minorHAnsi" w:hAnsiTheme="minorHAnsi" w:cs="Calibri"/>
          <w:sz w:val="22"/>
          <w:szCs w:val="22"/>
        </w:rPr>
      </w:pPr>
      <w:r>
        <w:rPr>
          <w:rFonts w:asciiTheme="minorHAnsi" w:hAnsiTheme="minorHAnsi" w:cs="Calibri"/>
          <w:sz w:val="22"/>
          <w:szCs w:val="22"/>
        </w:rPr>
        <w:t xml:space="preserve">Dr. Petri Ajo, Head of Environmental Technologies, Flowrox Oy </w:t>
      </w:r>
    </w:p>
    <w:p w14:paraId="0A04F631" w14:textId="77777777" w:rsidR="004F4442" w:rsidRDefault="004F4442" w:rsidP="004F4442">
      <w:pPr>
        <w:rPr>
          <w:lang w:val="en-GB"/>
        </w:rPr>
      </w:pPr>
      <w:hyperlink r:id="rId7" w:history="1">
        <w:r>
          <w:rPr>
            <w:rStyle w:val="Hyperlink"/>
            <w:rFonts w:cs="Calibri"/>
            <w:lang w:val="en-GB"/>
          </w:rPr>
          <w:t>petri.ajo@flowrox.com</w:t>
        </w:r>
      </w:hyperlink>
      <w:r>
        <w:rPr>
          <w:rFonts w:cs="Calibri"/>
          <w:lang w:val="en-GB"/>
        </w:rPr>
        <w:t xml:space="preserve">  +385 50 411 2079</w:t>
      </w:r>
    </w:p>
    <w:p w14:paraId="7B656574" w14:textId="77777777" w:rsidR="004F4442" w:rsidRDefault="004F4442" w:rsidP="004F4442">
      <w:pPr>
        <w:rPr>
          <w:lang w:val="en-GB"/>
        </w:rPr>
      </w:pPr>
    </w:p>
    <w:p w14:paraId="7BF2010F" w14:textId="77777777" w:rsidR="004F4442" w:rsidRDefault="004F4442" w:rsidP="004F4442">
      <w:pPr>
        <w:rPr>
          <w:rFonts w:cstheme="minorHAnsi"/>
          <w:i/>
          <w:sz w:val="20"/>
          <w:lang w:val="en-US"/>
        </w:rPr>
      </w:pPr>
      <w:r>
        <w:rPr>
          <w:rFonts w:cstheme="minorHAnsi"/>
          <w:i/>
          <w:sz w:val="20"/>
          <w:lang w:val="en-US"/>
        </w:rPr>
        <w:t xml:space="preserve">Flowrox is a global supplier of flow control, pumping, filtration and environmental engineering solutions, as well as intelligent applications and automation systems. Flowrox focuses on solving problems related to the shut-off, control, pumping and separation of abrasive, corrosive, and other demanding media, </w:t>
      </w:r>
      <w:proofErr w:type="gramStart"/>
      <w:r>
        <w:rPr>
          <w:rFonts w:cstheme="minorHAnsi"/>
          <w:i/>
          <w:sz w:val="20"/>
          <w:lang w:val="en-US"/>
        </w:rPr>
        <w:t>and also</w:t>
      </w:r>
      <w:proofErr w:type="gramEnd"/>
      <w:r>
        <w:rPr>
          <w:rFonts w:cstheme="minorHAnsi"/>
          <w:i/>
          <w:sz w:val="20"/>
          <w:lang w:val="en-US"/>
        </w:rPr>
        <w:t xml:space="preserve"> provides </w:t>
      </w:r>
      <w:proofErr w:type="spellStart"/>
      <w:r>
        <w:rPr>
          <w:rFonts w:cstheme="minorHAnsi"/>
          <w:i/>
          <w:sz w:val="20"/>
          <w:lang w:val="en-US"/>
        </w:rPr>
        <w:t>IIoT</w:t>
      </w:r>
      <w:proofErr w:type="spellEnd"/>
      <w:r>
        <w:rPr>
          <w:rFonts w:cstheme="minorHAnsi"/>
          <w:i/>
          <w:sz w:val="20"/>
          <w:lang w:val="en-US"/>
        </w:rPr>
        <w:t xml:space="preserve"> solutions for various process industry applications, in particular in the mining and mineral sector and energy and environmental sector.  </w:t>
      </w:r>
    </w:p>
    <w:p w14:paraId="0E1F8846" w14:textId="77777777" w:rsidR="004F4442" w:rsidRDefault="004F4442" w:rsidP="004F4442">
      <w:pPr>
        <w:rPr>
          <w:rFonts w:cstheme="minorHAnsi"/>
          <w:i/>
          <w:sz w:val="20"/>
          <w:lang w:val="en-US"/>
        </w:rPr>
      </w:pPr>
      <w:r>
        <w:rPr>
          <w:rFonts w:cstheme="minorHAnsi"/>
          <w:i/>
          <w:sz w:val="20"/>
          <w:lang w:val="en-US"/>
        </w:rPr>
        <w:t xml:space="preserve">Flowrox has subsidiaries in the United States, Australia, South Africa, Russia, Sweden, Chile, China and Peru, as well as a total of over 220 sales representatives in 81 countries. </w:t>
      </w:r>
    </w:p>
    <w:p w14:paraId="6ABBA797" w14:textId="77777777" w:rsidR="004F4442" w:rsidRDefault="004F4442" w:rsidP="004F4442">
      <w:pPr>
        <w:rPr>
          <w:lang w:val="en-US"/>
        </w:rPr>
      </w:pPr>
    </w:p>
    <w:p w14:paraId="3C19349B" w14:textId="77777777" w:rsidR="004F4442" w:rsidRPr="004F4442" w:rsidRDefault="004F4442" w:rsidP="004F4442">
      <w:pPr>
        <w:rPr>
          <w:rFonts w:eastAsia="Times New Roman" w:cs="Calibri"/>
          <w:i/>
          <w:sz w:val="20"/>
          <w:lang w:val="en-US"/>
        </w:rPr>
      </w:pPr>
      <w:r>
        <w:rPr>
          <w:rFonts w:eastAsia="Times New Roman" w:cs="Calibri"/>
          <w:i/>
          <w:sz w:val="20"/>
          <w:lang w:val="en-US"/>
        </w:rPr>
        <w:t xml:space="preserve"> </w:t>
      </w:r>
    </w:p>
    <w:p w14:paraId="2AA29190" w14:textId="6B500FEE" w:rsidR="00D104BB" w:rsidRPr="004F4442" w:rsidRDefault="00D104BB" w:rsidP="004F4442">
      <w:pPr>
        <w:rPr>
          <w:lang w:val="en-US"/>
        </w:rPr>
      </w:pPr>
    </w:p>
    <w:sectPr w:rsidR="00D104BB" w:rsidRPr="004F4442" w:rsidSect="00C15CD7">
      <w:headerReference w:type="default" r:id="rId8"/>
      <w:footerReference w:type="default" r:id="rId9"/>
      <w:pgSz w:w="12240" w:h="15840"/>
      <w:pgMar w:top="0" w:right="1797" w:bottom="-255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BD86" w14:textId="77777777" w:rsidR="0062550A" w:rsidRDefault="0062550A" w:rsidP="001B65FD">
      <w:pPr>
        <w:spacing w:after="0" w:line="240" w:lineRule="auto"/>
      </w:pPr>
      <w:r>
        <w:separator/>
      </w:r>
    </w:p>
  </w:endnote>
  <w:endnote w:type="continuationSeparator" w:id="0">
    <w:p w14:paraId="6A7F59A3" w14:textId="77777777" w:rsidR="0062550A" w:rsidRDefault="0062550A" w:rsidP="001B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ino MT">
    <w:altName w:val="Calibri"/>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FFAE" w14:textId="77777777" w:rsidR="00F61BAF" w:rsidRDefault="00F61BAF" w:rsidP="00F61BAF"/>
  <w:tbl>
    <w:tblPr>
      <w:tblW w:w="10206" w:type="dxa"/>
      <w:tblInd w:w="-777" w:type="dxa"/>
      <w:tblBorders>
        <w:top w:val="single" w:sz="6" w:space="0" w:color="auto"/>
      </w:tblBorders>
      <w:tblLayout w:type="fixed"/>
      <w:tblCellMar>
        <w:left w:w="0" w:type="dxa"/>
        <w:right w:w="0" w:type="dxa"/>
      </w:tblCellMar>
      <w:tblLook w:val="0000" w:firstRow="0" w:lastRow="0" w:firstColumn="0" w:lastColumn="0" w:noHBand="0" w:noVBand="0"/>
    </w:tblPr>
    <w:tblGrid>
      <w:gridCol w:w="2544"/>
      <w:gridCol w:w="1984"/>
      <w:gridCol w:w="2977"/>
      <w:gridCol w:w="2701"/>
    </w:tblGrid>
    <w:tr w:rsidR="000525CD" w14:paraId="3B13CF96" w14:textId="77777777" w:rsidTr="00F61BAF">
      <w:trPr>
        <w:cantSplit/>
      </w:trPr>
      <w:tc>
        <w:tcPr>
          <w:tcW w:w="2544" w:type="dxa"/>
        </w:tcPr>
        <w:p w14:paraId="3036AF12" w14:textId="77777777" w:rsidR="000525CD" w:rsidRPr="000525CD" w:rsidRDefault="000B6910" w:rsidP="00B81634">
          <w:pPr>
            <w:tabs>
              <w:tab w:val="left" w:pos="2730"/>
              <w:tab w:val="left" w:pos="5238"/>
              <w:tab w:val="left" w:pos="7422"/>
            </w:tabs>
            <w:rPr>
              <w:rFonts w:ascii="Trebuchet MS" w:hAnsi="Trebuchet MS"/>
              <w:sz w:val="20"/>
            </w:rPr>
          </w:pPr>
          <w:r>
            <w:rPr>
              <w:rFonts w:ascii="Trebuchet MS" w:hAnsi="Trebuchet MS"/>
              <w:sz w:val="20"/>
            </w:rPr>
            <w:t xml:space="preserve">Flowrox </w:t>
          </w:r>
          <w:r w:rsidR="000525CD" w:rsidRPr="000525CD">
            <w:rPr>
              <w:rFonts w:ascii="Trebuchet MS" w:hAnsi="Trebuchet MS"/>
              <w:sz w:val="20"/>
            </w:rPr>
            <w:t>Oy</w:t>
          </w:r>
          <w:r w:rsidR="000525CD" w:rsidRPr="000525CD">
            <w:rPr>
              <w:rFonts w:ascii="Trebuchet MS" w:hAnsi="Trebuchet MS"/>
              <w:sz w:val="20"/>
            </w:rPr>
            <w:br/>
            <w:t>P.O. Box 338</w:t>
          </w:r>
          <w:r w:rsidR="000525CD" w:rsidRPr="000525CD">
            <w:rPr>
              <w:rFonts w:ascii="Trebuchet MS" w:hAnsi="Trebuchet MS"/>
              <w:sz w:val="20"/>
            </w:rPr>
            <w:br/>
            <w:t>FI-53101 Lappeenranta</w:t>
          </w:r>
          <w:r w:rsidR="000525CD" w:rsidRPr="000525CD">
            <w:rPr>
              <w:rFonts w:ascii="Trebuchet MS" w:hAnsi="Trebuchet MS"/>
              <w:sz w:val="20"/>
            </w:rPr>
            <w:br/>
            <w:t>Finland</w:t>
          </w:r>
        </w:p>
      </w:tc>
      <w:tc>
        <w:tcPr>
          <w:tcW w:w="1984" w:type="dxa"/>
        </w:tcPr>
        <w:p w14:paraId="3CE71EDB" w14:textId="77777777" w:rsidR="000525CD" w:rsidRPr="00B17C0A" w:rsidRDefault="000525CD" w:rsidP="00B81634">
          <w:pPr>
            <w:pStyle w:val="Footer"/>
            <w:tabs>
              <w:tab w:val="left" w:pos="653"/>
            </w:tabs>
            <w:rPr>
              <w:rFonts w:ascii="Trebuchet MS" w:hAnsi="Trebuchet MS"/>
              <w:sz w:val="20"/>
              <w:lang w:val="en-US"/>
            </w:rPr>
          </w:pPr>
          <w:r w:rsidRPr="00B17C0A">
            <w:rPr>
              <w:rFonts w:ascii="Trebuchet MS" w:hAnsi="Trebuchet MS"/>
              <w:sz w:val="20"/>
              <w:lang w:val="en-US"/>
            </w:rPr>
            <w:t>Street Address</w:t>
          </w:r>
        </w:p>
        <w:p w14:paraId="09977ED2" w14:textId="77777777" w:rsidR="000525CD" w:rsidRPr="00B17C0A" w:rsidRDefault="000525CD" w:rsidP="00B81634">
          <w:pPr>
            <w:pStyle w:val="Footer"/>
            <w:tabs>
              <w:tab w:val="left" w:pos="653"/>
            </w:tabs>
            <w:rPr>
              <w:rFonts w:ascii="Trebuchet MS" w:hAnsi="Trebuchet MS"/>
              <w:sz w:val="20"/>
              <w:lang w:val="en-US"/>
            </w:rPr>
          </w:pPr>
          <w:proofErr w:type="spellStart"/>
          <w:r w:rsidRPr="00B17C0A">
            <w:rPr>
              <w:rFonts w:ascii="Trebuchet MS" w:hAnsi="Trebuchet MS"/>
              <w:sz w:val="20"/>
              <w:lang w:val="en-US"/>
            </w:rPr>
            <w:t>Marssitie</w:t>
          </w:r>
          <w:proofErr w:type="spellEnd"/>
          <w:r w:rsidRPr="00B17C0A">
            <w:rPr>
              <w:rFonts w:ascii="Trebuchet MS" w:hAnsi="Trebuchet MS"/>
              <w:sz w:val="20"/>
              <w:lang w:val="en-US"/>
            </w:rPr>
            <w:t xml:space="preserve"> 1</w:t>
          </w:r>
        </w:p>
        <w:p w14:paraId="13E8E7CD" w14:textId="77777777" w:rsidR="000525CD" w:rsidRPr="00B17C0A" w:rsidRDefault="000525CD" w:rsidP="00B81634">
          <w:pPr>
            <w:pStyle w:val="Footer"/>
            <w:tabs>
              <w:tab w:val="left" w:pos="653"/>
            </w:tabs>
            <w:rPr>
              <w:rFonts w:ascii="Trebuchet MS" w:hAnsi="Trebuchet MS"/>
              <w:sz w:val="20"/>
              <w:lang w:val="en-US"/>
            </w:rPr>
          </w:pPr>
          <w:r w:rsidRPr="00B17C0A">
            <w:rPr>
              <w:rFonts w:ascii="Trebuchet MS" w:hAnsi="Trebuchet MS"/>
              <w:sz w:val="20"/>
              <w:lang w:val="en-US"/>
            </w:rPr>
            <w:t>FI-53600 Lappeenranta</w:t>
          </w:r>
        </w:p>
        <w:p w14:paraId="69116F13" w14:textId="77777777" w:rsidR="000525CD" w:rsidRPr="00B17C0A" w:rsidRDefault="000525CD" w:rsidP="00B81634">
          <w:pPr>
            <w:pStyle w:val="Footer"/>
            <w:tabs>
              <w:tab w:val="left" w:pos="653"/>
            </w:tabs>
            <w:rPr>
              <w:rFonts w:ascii="Trebuchet MS" w:hAnsi="Trebuchet MS"/>
              <w:sz w:val="20"/>
              <w:lang w:val="en-US"/>
            </w:rPr>
          </w:pPr>
          <w:r w:rsidRPr="00B17C0A">
            <w:rPr>
              <w:rFonts w:ascii="Trebuchet MS" w:hAnsi="Trebuchet MS"/>
              <w:sz w:val="20"/>
              <w:lang w:val="en-US"/>
            </w:rPr>
            <w:t>Finland</w:t>
          </w:r>
        </w:p>
      </w:tc>
      <w:tc>
        <w:tcPr>
          <w:tcW w:w="2977" w:type="dxa"/>
        </w:tcPr>
        <w:p w14:paraId="5CDF104E" w14:textId="77777777" w:rsidR="000525CD" w:rsidRPr="000525CD" w:rsidRDefault="000525CD" w:rsidP="00B81634">
          <w:pPr>
            <w:pStyle w:val="FooterFirst"/>
            <w:tabs>
              <w:tab w:val="left" w:pos="653"/>
            </w:tabs>
            <w:rPr>
              <w:rFonts w:ascii="Trebuchet MS" w:hAnsi="Trebuchet MS"/>
              <w:sz w:val="20"/>
              <w:szCs w:val="22"/>
            </w:rPr>
          </w:pPr>
          <w:r w:rsidRPr="000525CD">
            <w:rPr>
              <w:rFonts w:ascii="Trebuchet MS" w:hAnsi="Trebuchet MS"/>
              <w:sz w:val="20"/>
              <w:szCs w:val="22"/>
            </w:rPr>
            <w:t>Tel</w:t>
          </w:r>
          <w:r w:rsidRPr="000525CD">
            <w:rPr>
              <w:rFonts w:ascii="Trebuchet MS" w:hAnsi="Trebuchet MS"/>
              <w:sz w:val="20"/>
              <w:szCs w:val="22"/>
            </w:rPr>
            <w:tab/>
          </w:r>
          <w:r w:rsidRPr="000525CD">
            <w:rPr>
              <w:rFonts w:ascii="Trebuchet MS" w:hAnsi="Trebuchet MS" w:cs="Arial"/>
              <w:sz w:val="20"/>
              <w:szCs w:val="22"/>
            </w:rPr>
            <w:t>+358 201 113 311</w:t>
          </w:r>
        </w:p>
        <w:p w14:paraId="74816975" w14:textId="77777777" w:rsidR="000525CD" w:rsidRPr="00B17C0A" w:rsidRDefault="000525CD" w:rsidP="00B81634">
          <w:pPr>
            <w:pStyle w:val="Footer"/>
            <w:tabs>
              <w:tab w:val="left" w:pos="653"/>
            </w:tabs>
            <w:rPr>
              <w:rFonts w:ascii="Trebuchet MS" w:hAnsi="Trebuchet MS" w:cs="Arial"/>
              <w:sz w:val="20"/>
              <w:lang w:val="en-US"/>
            </w:rPr>
          </w:pPr>
          <w:r w:rsidRPr="00B17C0A">
            <w:rPr>
              <w:rFonts w:ascii="Trebuchet MS" w:hAnsi="Trebuchet MS"/>
              <w:sz w:val="20"/>
              <w:lang w:val="en-US"/>
            </w:rPr>
            <w:t>Fax</w:t>
          </w:r>
          <w:r w:rsidRPr="00B17C0A">
            <w:rPr>
              <w:rFonts w:ascii="Trebuchet MS" w:hAnsi="Trebuchet MS"/>
              <w:sz w:val="20"/>
              <w:lang w:val="en-US"/>
            </w:rPr>
            <w:tab/>
            <w:t xml:space="preserve">+358 </w:t>
          </w:r>
          <w:r w:rsidRPr="00B17C0A">
            <w:rPr>
              <w:rFonts w:ascii="Trebuchet MS" w:hAnsi="Trebuchet MS" w:cs="Arial"/>
              <w:sz w:val="20"/>
              <w:lang w:val="en-US"/>
            </w:rPr>
            <w:t>201 113</w:t>
          </w:r>
          <w:r w:rsidR="00DF672A" w:rsidRPr="00B17C0A">
            <w:rPr>
              <w:rFonts w:ascii="Trebuchet MS" w:hAnsi="Trebuchet MS" w:cs="Arial"/>
              <w:sz w:val="20"/>
              <w:lang w:val="en-US"/>
            </w:rPr>
            <w:t> </w:t>
          </w:r>
          <w:r w:rsidRPr="00B17C0A">
            <w:rPr>
              <w:rFonts w:ascii="Trebuchet MS" w:hAnsi="Trebuchet MS" w:cs="Arial"/>
              <w:sz w:val="20"/>
              <w:lang w:val="en-US"/>
            </w:rPr>
            <w:t xml:space="preserve">300 </w:t>
          </w:r>
        </w:p>
        <w:p w14:paraId="23B7A7A4" w14:textId="77777777" w:rsidR="000525CD" w:rsidRPr="00B17C0A" w:rsidRDefault="00DF672A" w:rsidP="00DF672A">
          <w:pPr>
            <w:pStyle w:val="Footer"/>
            <w:tabs>
              <w:tab w:val="left" w:pos="653"/>
            </w:tabs>
            <w:rPr>
              <w:rFonts w:ascii="Trebuchet MS" w:hAnsi="Trebuchet MS"/>
              <w:sz w:val="20"/>
              <w:lang w:val="en-US"/>
            </w:rPr>
          </w:pPr>
          <w:r w:rsidRPr="00B17C0A">
            <w:rPr>
              <w:rFonts w:ascii="Trebuchet MS" w:hAnsi="Trebuchet MS" w:cs="Arial"/>
              <w:color w:val="000000"/>
              <w:sz w:val="20"/>
              <w:szCs w:val="16"/>
              <w:lang w:val="en-US"/>
            </w:rPr>
            <w:t>E</w:t>
          </w:r>
          <w:r w:rsidRPr="00B17C0A">
            <w:rPr>
              <w:rFonts w:ascii="Trebuchet MS" w:hAnsi="Trebuchet MS"/>
              <w:color w:val="000000"/>
              <w:sz w:val="20"/>
              <w:szCs w:val="16"/>
              <w:lang w:val="en-US"/>
            </w:rPr>
            <w:t xml:space="preserve">mail </w:t>
          </w:r>
          <w:r w:rsidRPr="00B17C0A">
            <w:rPr>
              <w:rFonts w:ascii="Trebuchet MS" w:hAnsi="Trebuchet MS"/>
              <w:color w:val="000000"/>
              <w:sz w:val="20"/>
              <w:szCs w:val="16"/>
              <w:lang w:val="en-US"/>
            </w:rPr>
            <w:tab/>
          </w:r>
          <w:hyperlink r:id="rId1" w:anchor="flowrox.com" w:history="1">
            <w:r w:rsidRPr="00B17C0A">
              <w:rPr>
                <w:rStyle w:val="Hyperlink"/>
                <w:rFonts w:ascii="Trebuchet MS" w:hAnsi="Trebuchet MS"/>
                <w:sz w:val="20"/>
                <w:szCs w:val="16"/>
                <w:lang w:val="en-US"/>
              </w:rPr>
              <w:t>info</w:t>
            </w:r>
            <w:r w:rsidRPr="000518E6">
              <w:rPr>
                <w:rStyle w:val="Hyperlink"/>
                <w:rFonts w:ascii="Trebuchet MS" w:hAnsi="Trebuchet MS"/>
                <w:sz w:val="20"/>
                <w:szCs w:val="16"/>
              </w:rPr>
              <w:sym w:font="Kino MT" w:char="0040"/>
            </w:r>
            <w:r w:rsidRPr="00B17C0A">
              <w:rPr>
                <w:rStyle w:val="Hyperlink"/>
                <w:rFonts w:ascii="Trebuchet MS" w:hAnsi="Trebuchet MS"/>
                <w:sz w:val="20"/>
                <w:szCs w:val="16"/>
                <w:lang w:val="en-US"/>
              </w:rPr>
              <w:t>flowrox.com</w:t>
            </w:r>
          </w:hyperlink>
          <w:r w:rsidRPr="00B17C0A">
            <w:rPr>
              <w:rFonts w:ascii="Trebuchet MS" w:hAnsi="Trebuchet MS"/>
              <w:color w:val="000000"/>
              <w:sz w:val="20"/>
              <w:szCs w:val="16"/>
              <w:lang w:val="en-US"/>
            </w:rPr>
            <w:t xml:space="preserve"> </w:t>
          </w:r>
          <w:r w:rsidRPr="00B17C0A">
            <w:rPr>
              <w:rFonts w:ascii="Trebuchet MS" w:hAnsi="Trebuchet MS"/>
              <w:color w:val="000000"/>
              <w:sz w:val="20"/>
              <w:szCs w:val="16"/>
              <w:lang w:val="en-US"/>
            </w:rPr>
            <w:br/>
            <w:t xml:space="preserve">Internet </w:t>
          </w:r>
          <w:hyperlink r:id="rId2" w:history="1">
            <w:r w:rsidRPr="00B17C0A">
              <w:rPr>
                <w:rStyle w:val="Hyperlink"/>
                <w:rFonts w:ascii="Trebuchet MS" w:hAnsi="Trebuchet MS"/>
                <w:sz w:val="20"/>
                <w:szCs w:val="16"/>
                <w:lang w:val="en-US"/>
              </w:rPr>
              <w:t>www.flowrox.com</w:t>
            </w:r>
          </w:hyperlink>
          <w:r w:rsidRPr="00B17C0A">
            <w:rPr>
              <w:rFonts w:ascii="Trebuchet MS" w:hAnsi="Trebuchet MS"/>
              <w:color w:val="000000"/>
              <w:sz w:val="20"/>
              <w:szCs w:val="16"/>
              <w:lang w:val="en-US"/>
            </w:rPr>
            <w:t xml:space="preserve"> </w:t>
          </w:r>
        </w:p>
      </w:tc>
      <w:tc>
        <w:tcPr>
          <w:tcW w:w="2701" w:type="dxa"/>
        </w:tcPr>
        <w:p w14:paraId="57A6F50D" w14:textId="77777777" w:rsidR="000525CD" w:rsidRPr="000525CD" w:rsidRDefault="000525CD" w:rsidP="00B81634">
          <w:pPr>
            <w:pStyle w:val="Footer"/>
            <w:tabs>
              <w:tab w:val="left" w:pos="677"/>
            </w:tabs>
            <w:ind w:right="320"/>
            <w:rPr>
              <w:rFonts w:ascii="Trebuchet MS" w:hAnsi="Trebuchet MS"/>
              <w:sz w:val="20"/>
            </w:rPr>
          </w:pPr>
          <w:r w:rsidRPr="00B17C0A">
            <w:rPr>
              <w:rFonts w:ascii="Trebuchet MS" w:hAnsi="Trebuchet MS"/>
              <w:color w:val="000000"/>
              <w:sz w:val="20"/>
              <w:szCs w:val="16"/>
              <w:lang w:val="en-US"/>
            </w:rPr>
            <w:tab/>
          </w:r>
          <w:r w:rsidR="00DF672A">
            <w:rPr>
              <w:noProof/>
              <w:lang w:eastAsia="zh-CN"/>
            </w:rPr>
            <w:drawing>
              <wp:inline distT="0" distB="0" distL="0" distR="0" wp14:anchorId="4D3B3BC9" wp14:editId="74715DA8">
                <wp:extent cx="1019175" cy="764381"/>
                <wp:effectExtent l="19050" t="0" r="9525" b="0"/>
                <wp:docPr id="14" name="Picture 14" descr="L:\Marketing_2010\Common\Brand Management\Flowrox visual and logos\Logo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arketing_2010\Common\Brand Management\Flowrox visual and logos\Logos\W-logo.jpg"/>
                        <pic:cNvPicPr>
                          <a:picLocks noChangeAspect="1" noChangeArrowheads="1"/>
                        </pic:cNvPicPr>
                      </pic:nvPicPr>
                      <pic:blipFill>
                        <a:blip r:embed="rId3"/>
                        <a:srcRect/>
                        <a:stretch>
                          <a:fillRect/>
                        </a:stretch>
                      </pic:blipFill>
                      <pic:spPr bwMode="auto">
                        <a:xfrm>
                          <a:off x="0" y="0"/>
                          <a:ext cx="1019175" cy="764381"/>
                        </a:xfrm>
                        <a:prstGeom prst="rect">
                          <a:avLst/>
                        </a:prstGeom>
                        <a:noFill/>
                        <a:ln w="9525">
                          <a:noFill/>
                          <a:miter lim="800000"/>
                          <a:headEnd/>
                          <a:tailEnd/>
                        </a:ln>
                      </pic:spPr>
                    </pic:pic>
                  </a:graphicData>
                </a:graphic>
              </wp:inline>
            </w:drawing>
          </w:r>
        </w:p>
      </w:tc>
    </w:tr>
  </w:tbl>
  <w:p w14:paraId="020F7B7F" w14:textId="77777777" w:rsidR="001B65FD" w:rsidRPr="001B65FD" w:rsidRDefault="001B65FD" w:rsidP="00F6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A324" w14:textId="77777777" w:rsidR="0062550A" w:rsidRDefault="0062550A" w:rsidP="001B65FD">
      <w:pPr>
        <w:spacing w:after="0" w:line="240" w:lineRule="auto"/>
      </w:pPr>
      <w:r>
        <w:separator/>
      </w:r>
    </w:p>
  </w:footnote>
  <w:footnote w:type="continuationSeparator" w:id="0">
    <w:p w14:paraId="5954B696" w14:textId="77777777" w:rsidR="0062550A" w:rsidRDefault="0062550A" w:rsidP="001B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82D0" w14:textId="152F16FD" w:rsidR="000525CD" w:rsidRPr="00B17C0A" w:rsidRDefault="0021266C" w:rsidP="001B65FD">
    <w:pPr>
      <w:pStyle w:val="Header"/>
      <w:ind w:left="-851"/>
      <w:rPr>
        <w:rFonts w:ascii="Arial" w:hAnsi="Arial" w:cs="Arial"/>
        <w:lang w:val="en-US"/>
      </w:rPr>
    </w:pPr>
    <w:r>
      <w:rPr>
        <w:noProof/>
        <w:lang w:eastAsia="zh-CN"/>
      </w:rPr>
      <mc:AlternateContent>
        <mc:Choice Requires="wps">
          <w:drawing>
            <wp:anchor distT="0" distB="0" distL="114300" distR="114300" simplePos="0" relativeHeight="251658240" behindDoc="0" locked="0" layoutInCell="1" allowOverlap="1" wp14:anchorId="002ADF3B" wp14:editId="07C28A2B">
              <wp:simplePos x="0" y="0"/>
              <wp:positionH relativeFrom="column">
                <wp:posOffset>-799465</wp:posOffset>
              </wp:positionH>
              <wp:positionV relativeFrom="paragraph">
                <wp:posOffset>-396875</wp:posOffset>
              </wp:positionV>
              <wp:extent cx="2180590" cy="657860"/>
              <wp:effectExtent l="10160" t="1270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657860"/>
                      </a:xfrm>
                      <a:prstGeom prst="rect">
                        <a:avLst/>
                      </a:prstGeom>
                      <a:solidFill>
                        <a:srgbClr val="FFFFFF"/>
                      </a:solidFill>
                      <a:ln w="9525">
                        <a:solidFill>
                          <a:schemeClr val="bg1">
                            <a:lumMod val="100000"/>
                            <a:lumOff val="0"/>
                          </a:schemeClr>
                        </a:solidFill>
                        <a:miter lim="800000"/>
                        <a:headEnd/>
                        <a:tailEnd/>
                      </a:ln>
                    </wps:spPr>
                    <wps:txbx>
                      <w:txbxContent>
                        <w:p w14:paraId="3C22EA2C" w14:textId="77777777" w:rsidR="00D77325" w:rsidRDefault="00D77325" w:rsidP="00D77325">
                          <w:r w:rsidRPr="00D77325">
                            <w:rPr>
                              <w:noProof/>
                              <w:lang w:eastAsia="zh-CN"/>
                            </w:rPr>
                            <w:drawing>
                              <wp:inline distT="0" distB="0" distL="0" distR="0" wp14:anchorId="603D4DE8" wp14:editId="2AE2A7AE">
                                <wp:extent cx="1992630" cy="405006"/>
                                <wp:effectExtent l="19050" t="0" r="7620" b="0"/>
                                <wp:docPr id="15" name="Picture 1" descr="L:\Marketing_2010\Common\Brand Management\Flowrox visual and logos\Logos\flowr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_2010\Common\Brand Management\Flowrox visual and logos\Logos\flowrox_logo.jpg"/>
                                        <pic:cNvPicPr>
                                          <a:picLocks noChangeAspect="1" noChangeArrowheads="1"/>
                                        </pic:cNvPicPr>
                                      </pic:nvPicPr>
                                      <pic:blipFill>
                                        <a:blip r:embed="rId1"/>
                                        <a:srcRect/>
                                        <a:stretch>
                                          <a:fillRect/>
                                        </a:stretch>
                                      </pic:blipFill>
                                      <pic:spPr bwMode="auto">
                                        <a:xfrm>
                                          <a:off x="0" y="0"/>
                                          <a:ext cx="1992630" cy="4050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02ADF3B" id="_x0000_t202" coordsize="21600,21600" o:spt="202" path="m,l,21600r21600,l21600,xe">
              <v:stroke joinstyle="miter"/>
              <v:path gradientshapeok="t" o:connecttype="rect"/>
            </v:shapetype>
            <v:shape id="Text Box 2" o:spid="_x0000_s1026" type="#_x0000_t202" style="position:absolute;left:0;text-align:left;margin-left:-62.95pt;margin-top:-31.25pt;width:171.7pt;height:51.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jLQgIAAIcEAAAOAAAAZHJzL2Uyb0RvYy54bWysVNuO0zAQfUfiHyy/0yRV222jpqulSxHS&#10;cpF2+QDHcRIL37DdJuXrGdttCfCGyIPl8YyPZ86ZyfZ+lAKdmHVcqwoXsxwjpqhuuOoq/PXl8GaN&#10;kfNENURoxSp8Zg7f716/2g6mZHPda9EwiwBEuXIwFe69N2WWOdozSdxMG6bA2WoriQfTdlljyQDo&#10;UmTzPF9lg7aNsZoy5+D0MTnxLuK3LaP+c9s65pGoMOTm42rjWoc1221J2Vliek4vaZB/yEISruDR&#10;G9Qj8QQdLf8LSnJqtdOtn1EtM922nLJYA1RT5H9U89wTw2ItQI4zN5rc/4Oln05fLOINaIeRIhIk&#10;emGjR2/1iOaBncG4EoKeDYT5EY5DZKjUmSdNvzmk9L4nqmMP1uqhZ6SB7IpwM5tcTTgugNTDR93A&#10;M+TodQQaWysDIJCBAB1UOt+UCalQOJwX63y5ARcF32p5t15F6TJSXm8b6/x7piUKmwpbUD6ik9OT&#10;8yEbUl5DYvZa8ObAhYiG7eq9sOhEoEsO8YsFQJHTMKHQUOHNcr5MBEx9sWHZDaTuEkniKKHaBFzk&#10;4UsdB+fQl+n8WskNIib728uSe5gSwWWF1xOUwPY71cQe9oSLtIdKhbrQHxhP3PuxHi9y1ro5gxBW&#10;p2mA6YVNr+0PjAaYhAq770diGUbigwIxN8ViEUYnGovl3RwMO/XUUw9RFKAq7DFK271P43Y0lnc9&#10;vHRtnwdogAOP2oROSVld8oZujyxcJjOM09SOUb/+H7ufAAAA//8DAFBLAwQUAAYACAAAACEA14mo&#10;jd4AAAALAQAADwAAAGRycy9kb3ducmV2LnhtbEyPy07DMBBF90j8gzVIbFDrOKJNCXEqhFR2CFFQ&#10;1248xFH9iGw3DX/PsILdHc3RnTPNdnaWTRjTELwEsSyAoe+CHnwv4fNjt9gAS1l5rWzwKOEbE2zb&#10;66tG1Tpc/DtO+9wzKvGpVhJMzmPNeeoMOpWWYURPu68Qnco0xp7rqC5U7iwvi2LNnRo8XTBqxGeD&#10;3Wl/dhLwNAkVdi+v5u5tiNqayvWHSsrbm/npEVjGOf/B8KtP6tCS0zGcvU7MSliIcvVALKV1uQJG&#10;SCkqCkcJ90IAbxv+/4f2BwAA//8DAFBLAQItABQABgAIAAAAIQC2gziS/gAAAOEBAAATAAAAAAAA&#10;AAAAAAAAAAAAAABbQ29udGVudF9UeXBlc10ueG1sUEsBAi0AFAAGAAgAAAAhADj9If/WAAAAlAEA&#10;AAsAAAAAAAAAAAAAAAAALwEAAF9yZWxzLy5yZWxzUEsBAi0AFAAGAAgAAAAhAKiGuMtCAgAAhwQA&#10;AA4AAAAAAAAAAAAAAAAALgIAAGRycy9lMm9Eb2MueG1sUEsBAi0AFAAGAAgAAAAhANeJqI3eAAAA&#10;CwEAAA8AAAAAAAAAAAAAAAAAnAQAAGRycy9kb3ducmV2LnhtbFBLBQYAAAAABAAEAPMAAACnBQAA&#10;AAA=&#10;" strokecolor="white [3212]">
              <v:textbox style="mso-fit-shape-to-text:t">
                <w:txbxContent>
                  <w:p w14:paraId="3C22EA2C" w14:textId="77777777" w:rsidR="00D77325" w:rsidRDefault="00D77325" w:rsidP="00D77325">
                    <w:r w:rsidRPr="00D77325">
                      <w:rPr>
                        <w:noProof/>
                        <w:lang w:eastAsia="zh-CN"/>
                      </w:rPr>
                      <w:drawing>
                        <wp:inline distT="0" distB="0" distL="0" distR="0" wp14:anchorId="603D4DE8" wp14:editId="2AE2A7AE">
                          <wp:extent cx="1992630" cy="405006"/>
                          <wp:effectExtent l="19050" t="0" r="7620" b="0"/>
                          <wp:docPr id="15" name="Picture 1" descr="L:\Marketing_2010\Common\Brand Management\Flowrox visual and logos\Logos\flowr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_2010\Common\Brand Management\Flowrox visual and logos\Logos\flowrox_logo.jpg"/>
                                  <pic:cNvPicPr>
                                    <a:picLocks noChangeAspect="1" noChangeArrowheads="1"/>
                                  </pic:cNvPicPr>
                                </pic:nvPicPr>
                                <pic:blipFill>
                                  <a:blip r:embed="rId1"/>
                                  <a:srcRect/>
                                  <a:stretch>
                                    <a:fillRect/>
                                  </a:stretch>
                                </pic:blipFill>
                                <pic:spPr bwMode="auto">
                                  <a:xfrm>
                                    <a:off x="0" y="0"/>
                                    <a:ext cx="1992630" cy="405006"/>
                                  </a:xfrm>
                                  <a:prstGeom prst="rect">
                                    <a:avLst/>
                                  </a:prstGeom>
                                  <a:noFill/>
                                  <a:ln w="9525">
                                    <a:noFill/>
                                    <a:miter lim="800000"/>
                                    <a:headEnd/>
                                    <a:tailEnd/>
                                  </a:ln>
                                </pic:spPr>
                              </pic:pic>
                            </a:graphicData>
                          </a:graphic>
                        </wp:inline>
                      </w:drawing>
                    </w:r>
                  </w:p>
                </w:txbxContent>
              </v:textbox>
            </v:shape>
          </w:pict>
        </mc:Fallback>
      </mc:AlternateContent>
    </w:r>
    <w:r w:rsidR="001B65FD" w:rsidRPr="00B17C0A">
      <w:rPr>
        <w:lang w:val="en-US"/>
      </w:rPr>
      <w:tab/>
    </w:r>
    <w:r w:rsidR="004F4442">
      <w:rPr>
        <w:rFonts w:ascii="Arial" w:hAnsi="Arial" w:cs="Arial"/>
        <w:b/>
        <w:lang w:val="en-US"/>
      </w:rPr>
      <w:tab/>
      <w:t>PRESS RELEASE</w:t>
    </w:r>
    <w:r w:rsidR="000525CD" w:rsidRPr="00B17C0A">
      <w:rPr>
        <w:rFonts w:ascii="Arial" w:hAnsi="Arial" w:cs="Arial"/>
        <w:lang w:val="en-US"/>
      </w:rPr>
      <w:t xml:space="preserve"> </w:t>
    </w:r>
  </w:p>
  <w:p w14:paraId="1E4A2AE0" w14:textId="77777777" w:rsidR="000525CD" w:rsidRPr="00B17C0A" w:rsidRDefault="000525CD" w:rsidP="001B65FD">
    <w:pPr>
      <w:pStyle w:val="Header"/>
      <w:ind w:left="-851"/>
      <w:rPr>
        <w:rFonts w:ascii="Trebuchet MS" w:hAnsi="Trebuchet MS"/>
        <w:lang w:val="en-US"/>
      </w:rPr>
    </w:pPr>
  </w:p>
  <w:p w14:paraId="1E5B8787" w14:textId="4CB519E3" w:rsidR="001B65FD" w:rsidRPr="00B17C0A" w:rsidRDefault="000525CD" w:rsidP="001B65FD">
    <w:pPr>
      <w:pStyle w:val="Header"/>
      <w:ind w:left="-851"/>
      <w:rPr>
        <w:rFonts w:ascii="Trebuchet MS" w:hAnsi="Trebuchet MS"/>
        <w:lang w:val="en-US"/>
      </w:rPr>
    </w:pPr>
    <w:r w:rsidRPr="00B17C0A">
      <w:rPr>
        <w:rFonts w:ascii="Trebuchet MS" w:hAnsi="Trebuchet MS"/>
        <w:lang w:val="en-US"/>
      </w:rPr>
      <w:tab/>
    </w:r>
    <w:r w:rsidRPr="00B17C0A">
      <w:rPr>
        <w:rFonts w:ascii="Trebuchet MS" w:hAnsi="Trebuchet MS"/>
        <w:lang w:val="en-US"/>
      </w:rPr>
      <w:tab/>
    </w:r>
    <w:r w:rsidR="009D1F44">
      <w:rPr>
        <w:rFonts w:ascii="Trebuchet MS" w:hAnsi="Trebuchet MS"/>
        <w:lang w:val="en-US"/>
      </w:rPr>
      <w:t>3</w:t>
    </w:r>
    <w:r w:rsidR="00281ABA">
      <w:rPr>
        <w:rFonts w:ascii="Trebuchet MS" w:hAnsi="Trebuchet MS"/>
        <w:lang w:val="en-US"/>
      </w:rPr>
      <w:t>.</w:t>
    </w:r>
    <w:r w:rsidR="009D1F44">
      <w:rPr>
        <w:rFonts w:ascii="Trebuchet MS" w:hAnsi="Trebuchet MS"/>
        <w:lang w:val="en-US"/>
      </w:rPr>
      <w:t>7</w:t>
    </w:r>
    <w:r w:rsidR="00281ABA">
      <w:rPr>
        <w:rFonts w:ascii="Trebuchet MS" w:hAnsi="Trebuchet MS"/>
        <w:lang w:val="en-US"/>
      </w:rPr>
      <w:t>.20</w:t>
    </w:r>
    <w:r w:rsidR="009D1F44">
      <w:rPr>
        <w:rFonts w:ascii="Trebuchet MS" w:hAnsi="Trebuchet MS"/>
        <w:lang w:val="en-US"/>
      </w:rPr>
      <w:t>20</w:t>
    </w:r>
    <w:r w:rsidR="00EF51B2">
      <w:rPr>
        <w:rFonts w:ascii="Trebuchet MS" w:hAnsi="Trebuchet MS"/>
        <w:lang w:val="en-US"/>
      </w:rPr>
      <w:t xml:space="preserve"> </w:t>
    </w:r>
    <w:r w:rsidRPr="00B17C0A">
      <w:rPr>
        <w:rFonts w:ascii="Trebuchet MS" w:hAnsi="Trebuchet MS"/>
        <w:lang w:val="en-US"/>
      </w:rPr>
      <w:t xml:space="preserve"> </w:t>
    </w:r>
  </w:p>
  <w:p w14:paraId="386B09B4" w14:textId="77777777" w:rsidR="001B65FD" w:rsidRPr="00B17C0A" w:rsidRDefault="001B65FD" w:rsidP="001B65FD">
    <w:pPr>
      <w:pStyle w:val="Header"/>
      <w:ind w:left="-85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4476A"/>
    <w:multiLevelType w:val="hybridMultilevel"/>
    <w:tmpl w:val="65CCDDD6"/>
    <w:lvl w:ilvl="0" w:tplc="4FDE6E7E">
      <w:numFmt w:val="bullet"/>
      <w:lvlText w:val="-"/>
      <w:lvlJc w:val="left"/>
      <w:pPr>
        <w:ind w:left="405" w:hanging="360"/>
      </w:pPr>
      <w:rPr>
        <w:rFonts w:ascii="Calibri" w:eastAsiaTheme="minorHAnsi" w:hAnsi="Calibri" w:cstheme="minorBid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0A"/>
    <w:rsid w:val="00001B65"/>
    <w:rsid w:val="00015A55"/>
    <w:rsid w:val="000525CD"/>
    <w:rsid w:val="000B6910"/>
    <w:rsid w:val="000C36D0"/>
    <w:rsid w:val="000C6EAA"/>
    <w:rsid w:val="001105D5"/>
    <w:rsid w:val="001763B3"/>
    <w:rsid w:val="001A3B20"/>
    <w:rsid w:val="001B65FD"/>
    <w:rsid w:val="001D598E"/>
    <w:rsid w:val="002043D4"/>
    <w:rsid w:val="00205854"/>
    <w:rsid w:val="0021266C"/>
    <w:rsid w:val="002360D1"/>
    <w:rsid w:val="00281ABA"/>
    <w:rsid w:val="002B4EE5"/>
    <w:rsid w:val="002C5A9D"/>
    <w:rsid w:val="0033327C"/>
    <w:rsid w:val="00344615"/>
    <w:rsid w:val="003A6F2A"/>
    <w:rsid w:val="003D6501"/>
    <w:rsid w:val="003E169D"/>
    <w:rsid w:val="00476881"/>
    <w:rsid w:val="00494575"/>
    <w:rsid w:val="004B3CCB"/>
    <w:rsid w:val="004C1623"/>
    <w:rsid w:val="004D7607"/>
    <w:rsid w:val="004F4442"/>
    <w:rsid w:val="0051714D"/>
    <w:rsid w:val="00547F6B"/>
    <w:rsid w:val="005B6D3B"/>
    <w:rsid w:val="005D255B"/>
    <w:rsid w:val="0062550A"/>
    <w:rsid w:val="00640C73"/>
    <w:rsid w:val="006C323E"/>
    <w:rsid w:val="006E24D4"/>
    <w:rsid w:val="006F197A"/>
    <w:rsid w:val="00725730"/>
    <w:rsid w:val="00751E2F"/>
    <w:rsid w:val="00772BD3"/>
    <w:rsid w:val="007809E4"/>
    <w:rsid w:val="00793E01"/>
    <w:rsid w:val="007C4A34"/>
    <w:rsid w:val="007D3C24"/>
    <w:rsid w:val="007E01EA"/>
    <w:rsid w:val="007E36DC"/>
    <w:rsid w:val="008207C1"/>
    <w:rsid w:val="00840704"/>
    <w:rsid w:val="00840A38"/>
    <w:rsid w:val="00905623"/>
    <w:rsid w:val="00947BE5"/>
    <w:rsid w:val="00973234"/>
    <w:rsid w:val="00977F6B"/>
    <w:rsid w:val="009825F5"/>
    <w:rsid w:val="009C607B"/>
    <w:rsid w:val="009C7F9D"/>
    <w:rsid w:val="009D1F44"/>
    <w:rsid w:val="00A17A46"/>
    <w:rsid w:val="00A42A7E"/>
    <w:rsid w:val="00AD74CC"/>
    <w:rsid w:val="00AE766F"/>
    <w:rsid w:val="00B17C0A"/>
    <w:rsid w:val="00B34143"/>
    <w:rsid w:val="00B51AD9"/>
    <w:rsid w:val="00B82FA0"/>
    <w:rsid w:val="00C07986"/>
    <w:rsid w:val="00C15CD7"/>
    <w:rsid w:val="00D104BB"/>
    <w:rsid w:val="00D452FD"/>
    <w:rsid w:val="00D77325"/>
    <w:rsid w:val="00D86327"/>
    <w:rsid w:val="00DB3944"/>
    <w:rsid w:val="00DF672A"/>
    <w:rsid w:val="00E21B09"/>
    <w:rsid w:val="00EB523C"/>
    <w:rsid w:val="00EC4FFF"/>
    <w:rsid w:val="00EF51B2"/>
    <w:rsid w:val="00EF7CEC"/>
    <w:rsid w:val="00F61BAF"/>
    <w:rsid w:val="00FA759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810D"/>
  <w15:chartTrackingRefBased/>
  <w15:docId w15:val="{95DF3CBC-BD72-4464-B3B2-47188EA2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FD"/>
  </w:style>
  <w:style w:type="paragraph" w:styleId="Footer">
    <w:name w:val="footer"/>
    <w:basedOn w:val="Normal"/>
    <w:link w:val="FooterChar"/>
    <w:unhideWhenUsed/>
    <w:rsid w:val="001B65FD"/>
    <w:pPr>
      <w:tabs>
        <w:tab w:val="center" w:pos="4680"/>
        <w:tab w:val="right" w:pos="9360"/>
      </w:tabs>
      <w:spacing w:after="0" w:line="240" w:lineRule="auto"/>
    </w:pPr>
  </w:style>
  <w:style w:type="character" w:customStyle="1" w:styleId="FooterChar">
    <w:name w:val="Footer Char"/>
    <w:basedOn w:val="DefaultParagraphFont"/>
    <w:link w:val="Footer"/>
    <w:rsid w:val="001B65FD"/>
  </w:style>
  <w:style w:type="paragraph" w:styleId="BalloonText">
    <w:name w:val="Balloon Text"/>
    <w:basedOn w:val="Normal"/>
    <w:link w:val="BalloonTextChar"/>
    <w:uiPriority w:val="99"/>
    <w:semiHidden/>
    <w:unhideWhenUsed/>
    <w:rsid w:val="001B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FD"/>
    <w:rPr>
      <w:rFonts w:ascii="Tahoma" w:hAnsi="Tahoma" w:cs="Tahoma"/>
      <w:sz w:val="16"/>
      <w:szCs w:val="16"/>
    </w:rPr>
  </w:style>
  <w:style w:type="paragraph" w:customStyle="1" w:styleId="FooterFirst">
    <w:name w:val="FooterFirst"/>
    <w:basedOn w:val="Footer"/>
    <w:next w:val="Footer"/>
    <w:rsid w:val="000525CD"/>
    <w:pPr>
      <w:tabs>
        <w:tab w:val="clear" w:pos="4680"/>
        <w:tab w:val="clear" w:pos="9360"/>
      </w:tabs>
      <w:overflowPunct w:val="0"/>
      <w:autoSpaceDE w:val="0"/>
      <w:autoSpaceDN w:val="0"/>
      <w:adjustRightInd w:val="0"/>
      <w:spacing w:before="40"/>
      <w:textAlignment w:val="baseline"/>
    </w:pPr>
    <w:rPr>
      <w:rFonts w:ascii="Arial" w:eastAsia="Times New Roman" w:hAnsi="Arial" w:cs="Times New Roman"/>
      <w:sz w:val="16"/>
      <w:szCs w:val="20"/>
      <w:lang w:val="en-GB"/>
    </w:rPr>
  </w:style>
  <w:style w:type="character" w:styleId="Hyperlink">
    <w:name w:val="Hyperlink"/>
    <w:basedOn w:val="DefaultParagraphFont"/>
    <w:rsid w:val="000525CD"/>
    <w:rPr>
      <w:color w:val="0000FF"/>
      <w:u w:val="single"/>
    </w:rPr>
  </w:style>
  <w:style w:type="table" w:styleId="TableGrid">
    <w:name w:val="Table Grid"/>
    <w:basedOn w:val="TableNormal"/>
    <w:uiPriority w:val="59"/>
    <w:rsid w:val="00B1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CD7"/>
    <w:pPr>
      <w:ind w:left="720"/>
      <w:contextualSpacing/>
    </w:pPr>
  </w:style>
  <w:style w:type="paragraph" w:customStyle="1" w:styleId="Default">
    <w:name w:val="Default"/>
    <w:rsid w:val="004F4442"/>
    <w:pPr>
      <w:autoSpaceDE w:val="0"/>
      <w:autoSpaceDN w:val="0"/>
      <w:adjustRightInd w:val="0"/>
      <w:spacing w:after="0" w:line="240" w:lineRule="auto"/>
    </w:pPr>
    <w:rPr>
      <w:rFonts w:ascii="Trebuchet MS" w:eastAsia="Times New Roman"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i.ajo@flowr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lowrox.com" TargetMode="External"/><Relationship Id="rId1" Type="http://schemas.openxmlformats.org/officeDocument/2006/relationships/hyperlink" Target="mailt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Tuononen</dc:creator>
  <cp:keywords/>
  <dc:description/>
  <cp:lastModifiedBy>Tuija Tiilikainen</cp:lastModifiedBy>
  <cp:revision>4</cp:revision>
  <cp:lastPrinted>2020-07-03T08:27:00Z</cp:lastPrinted>
  <dcterms:created xsi:type="dcterms:W3CDTF">2020-07-03T08:27:00Z</dcterms:created>
  <dcterms:modified xsi:type="dcterms:W3CDTF">2020-07-03T08:32:00Z</dcterms:modified>
</cp:coreProperties>
</file>