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9F07" w14:textId="6B421AE1" w:rsidR="00313CB7" w:rsidRPr="00F84D21" w:rsidRDefault="006F2918" w:rsidP="00626467">
      <w:r>
        <w:rPr>
          <w:lang w:val="no"/>
        </w:rPr>
        <w:t>Pressemelding 11.09</w:t>
      </w:r>
      <w:bookmarkStart w:id="0" w:name="_GoBack"/>
      <w:bookmarkEnd w:id="0"/>
      <w:r w:rsidR="00D70CA1">
        <w:rPr>
          <w:lang w:val="no"/>
        </w:rPr>
        <w:t>.2020</w:t>
      </w:r>
    </w:p>
    <w:p w14:paraId="6095A2A3" w14:textId="77777777" w:rsidR="00626467" w:rsidRPr="00F84D21" w:rsidRDefault="00626467" w:rsidP="00626467"/>
    <w:p w14:paraId="678D31E9" w14:textId="3E039E04" w:rsidR="0079599F" w:rsidRPr="00553E0F" w:rsidRDefault="00B4628A" w:rsidP="0020082B">
      <w:pPr>
        <w:spacing w:after="240"/>
        <w:rPr>
          <w:b/>
          <w:sz w:val="40"/>
          <w:szCs w:val="40"/>
        </w:rPr>
      </w:pPr>
      <w:r>
        <w:rPr>
          <w:b/>
          <w:bCs/>
          <w:sz w:val="40"/>
          <w:szCs w:val="40"/>
          <w:lang w:val="no"/>
        </w:rPr>
        <w:t>STIHL PRESENTERER SIN NYE VELBALANSERTE BGA 57 OG VEILEDER FORBRUK</w:t>
      </w:r>
      <w:r w:rsidR="0068681F">
        <w:rPr>
          <w:b/>
          <w:bCs/>
          <w:sz w:val="40"/>
          <w:szCs w:val="40"/>
          <w:lang w:val="no"/>
        </w:rPr>
        <w:t xml:space="preserve">ERNE I DET BREDE UTVALGET AV </w:t>
      </w:r>
      <w:r>
        <w:rPr>
          <w:b/>
          <w:bCs/>
          <w:sz w:val="40"/>
          <w:szCs w:val="40"/>
          <w:lang w:val="no"/>
        </w:rPr>
        <w:t>BLÅSERE</w:t>
      </w:r>
    </w:p>
    <w:p w14:paraId="2EC0AAA9" w14:textId="4E044F5D" w:rsidR="0006658A" w:rsidRDefault="007C64D0" w:rsidP="0020082B">
      <w:pPr>
        <w:spacing w:after="120"/>
        <w:rPr>
          <w:b/>
          <w:sz w:val="24"/>
          <w:szCs w:val="24"/>
        </w:rPr>
      </w:pPr>
      <w:r>
        <w:rPr>
          <w:b/>
          <w:bCs/>
          <w:sz w:val="24"/>
          <w:szCs w:val="24"/>
          <w:lang w:val="no"/>
        </w:rPr>
        <w:t xml:space="preserve">STIHL har et bredt utvalg av både batteri- og </w:t>
      </w:r>
      <w:r w:rsidR="0068681F">
        <w:rPr>
          <w:b/>
          <w:bCs/>
          <w:sz w:val="24"/>
          <w:szCs w:val="24"/>
          <w:lang w:val="no"/>
        </w:rPr>
        <w:t xml:space="preserve">bensindrevne </w:t>
      </w:r>
      <w:r>
        <w:rPr>
          <w:b/>
          <w:bCs/>
          <w:sz w:val="24"/>
          <w:szCs w:val="24"/>
          <w:lang w:val="no"/>
        </w:rPr>
        <w:t>blåsere beregnet for alt fra den lille hagen til store of</w:t>
      </w:r>
      <w:r w:rsidR="0068681F">
        <w:rPr>
          <w:b/>
          <w:bCs/>
          <w:sz w:val="24"/>
          <w:szCs w:val="24"/>
          <w:lang w:val="no"/>
        </w:rPr>
        <w:t xml:space="preserve">fentlige områder. Den nyeste </w:t>
      </w:r>
      <w:r>
        <w:rPr>
          <w:b/>
          <w:bCs/>
          <w:sz w:val="24"/>
          <w:szCs w:val="24"/>
          <w:lang w:val="no"/>
        </w:rPr>
        <w:t>blåseren for privatmarkedet, BGA 57, er batteridrevet og stillegående samtidig som den er kraftig og letthåndterlig.</w:t>
      </w:r>
    </w:p>
    <w:p w14:paraId="305FE844" w14:textId="66C9EB9C" w:rsidR="00E417EB" w:rsidRPr="00E417EB" w:rsidRDefault="0068681F" w:rsidP="0020082B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no"/>
        </w:rPr>
        <w:t xml:space="preserve">Utvalget av </w:t>
      </w:r>
      <w:r w:rsidR="00482065">
        <w:rPr>
          <w:sz w:val="24"/>
          <w:szCs w:val="24"/>
          <w:lang w:val="no"/>
        </w:rPr>
        <w:t>blåsere er stort, og som forbruker er det ikke alltid så enkelt å vite hvilken modell man skal velge. Tyske STIHL fokuserte lenge på det profesjonelle markedet, men har nå et bredt utvalg av produkter også til privatpersoner og mer sporadiske brukere.</w:t>
      </w:r>
    </w:p>
    <w:p w14:paraId="6A5E4E7E" w14:textId="4556ADBD" w:rsidR="00310065" w:rsidRPr="00AB4607" w:rsidRDefault="00310065" w:rsidP="00310065">
      <w:pPr>
        <w:pStyle w:val="Listeavsnitt"/>
        <w:numPr>
          <w:ilvl w:val="0"/>
          <w:numId w:val="13"/>
        </w:numPr>
        <w:spacing w:after="120"/>
        <w:rPr>
          <w:bCs/>
          <w:sz w:val="24"/>
          <w:szCs w:val="24"/>
        </w:rPr>
      </w:pPr>
      <w:r>
        <w:rPr>
          <w:sz w:val="24"/>
          <w:szCs w:val="24"/>
          <w:lang w:val="no"/>
        </w:rPr>
        <w:t>Mange tror at vi kun henvender oss til det profesjonelle markedet, men vi har produkt</w:t>
      </w:r>
      <w:r w:rsidR="0068681F">
        <w:rPr>
          <w:sz w:val="24"/>
          <w:szCs w:val="24"/>
          <w:lang w:val="no"/>
        </w:rPr>
        <w:t xml:space="preserve">er for alle. Når det gjelder </w:t>
      </w:r>
      <w:r>
        <w:rPr>
          <w:sz w:val="24"/>
          <w:szCs w:val="24"/>
          <w:lang w:val="no"/>
        </w:rPr>
        <w:t>blåsere, har vi alt fra små og lette batterimodeller beregnet for korte jobber til store, ryggbårne og bensindrevne modeller beregnet for veldig store områder, forteller produktsjef i STIHL Norden, Mats Gustafsson.</w:t>
      </w:r>
    </w:p>
    <w:p w14:paraId="3EF63727" w14:textId="1A15B1D8" w:rsidR="003E0D89" w:rsidRPr="003E0D89" w:rsidRDefault="007E01B0" w:rsidP="003E0D89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no"/>
        </w:rPr>
        <w:t>En blåser er ikke bare til bruk for løv om høsten. Den er også et perfekt hjelpemiddel for å fjerne gressavklipp, flis eller sand og grus fra terrasser, helleganger eller gårdsplasser. En blåser kan også brukes for</w:t>
      </w:r>
      <w:r w:rsidR="00BA03CE">
        <w:rPr>
          <w:sz w:val="24"/>
          <w:szCs w:val="24"/>
          <w:lang w:val="no"/>
        </w:rPr>
        <w:t xml:space="preserve"> </w:t>
      </w:r>
      <w:r>
        <w:rPr>
          <w:sz w:val="24"/>
          <w:szCs w:val="24"/>
          <w:lang w:val="no"/>
        </w:rPr>
        <w:t xml:space="preserve">å fjerne nysnø, for eksempel av bilen. </w:t>
      </w:r>
      <w:r w:rsidR="0068681F">
        <w:rPr>
          <w:sz w:val="24"/>
          <w:szCs w:val="24"/>
          <w:lang w:val="no"/>
        </w:rPr>
        <w:t xml:space="preserve">Sist ut i rekken av </w:t>
      </w:r>
      <w:r w:rsidR="00231A59">
        <w:rPr>
          <w:sz w:val="24"/>
          <w:szCs w:val="24"/>
          <w:lang w:val="no"/>
        </w:rPr>
        <w:t>blåsere for privatmarkedet fra STIHL er BGA 57, som er e</w:t>
      </w:r>
      <w:r w:rsidR="00D70CA1">
        <w:rPr>
          <w:sz w:val="24"/>
          <w:szCs w:val="24"/>
          <w:lang w:val="no"/>
        </w:rPr>
        <w:t xml:space="preserve">n batteridrevet, men kraftig </w:t>
      </w:r>
      <w:r w:rsidR="00231A59">
        <w:rPr>
          <w:sz w:val="24"/>
          <w:szCs w:val="24"/>
          <w:lang w:val="no"/>
        </w:rPr>
        <w:t xml:space="preserve">blåser. BGA 57 </w:t>
      </w:r>
      <w:r w:rsidR="00D70CA1">
        <w:rPr>
          <w:sz w:val="24"/>
          <w:szCs w:val="24"/>
          <w:lang w:val="no"/>
        </w:rPr>
        <w:t>inngår i</w:t>
      </w:r>
      <w:r w:rsidR="00231A59">
        <w:rPr>
          <w:sz w:val="24"/>
          <w:szCs w:val="24"/>
          <w:lang w:val="no"/>
        </w:rPr>
        <w:t xml:space="preserve"> batterisystemet AK, som betyr at den kan brukes med samme batteri </w:t>
      </w:r>
      <w:r w:rsidR="00D70CA1">
        <w:rPr>
          <w:sz w:val="24"/>
          <w:szCs w:val="24"/>
          <w:lang w:val="no"/>
        </w:rPr>
        <w:t xml:space="preserve">og lader </w:t>
      </w:r>
      <w:r w:rsidR="00231A59">
        <w:rPr>
          <w:sz w:val="24"/>
          <w:szCs w:val="24"/>
          <w:lang w:val="no"/>
        </w:rPr>
        <w:t>som andre hagemaskiner</w:t>
      </w:r>
      <w:r w:rsidR="00D70CA1">
        <w:rPr>
          <w:sz w:val="24"/>
          <w:szCs w:val="24"/>
          <w:lang w:val="no"/>
        </w:rPr>
        <w:t xml:space="preserve"> i systemet</w:t>
      </w:r>
      <w:r w:rsidR="00231A59">
        <w:rPr>
          <w:sz w:val="24"/>
          <w:szCs w:val="24"/>
          <w:lang w:val="no"/>
        </w:rPr>
        <w:t xml:space="preserve">. Løvblåseren kan kjøpes som komplett sett </w:t>
      </w:r>
      <w:r w:rsidR="00231A59">
        <w:rPr>
          <w:color w:val="000000" w:themeColor="text1"/>
          <w:sz w:val="24"/>
          <w:szCs w:val="24"/>
          <w:lang w:val="no"/>
        </w:rPr>
        <w:t>med batteri og lader</w:t>
      </w:r>
      <w:r w:rsidR="00D70CA1">
        <w:rPr>
          <w:color w:val="000000" w:themeColor="text1"/>
          <w:sz w:val="24"/>
          <w:szCs w:val="24"/>
          <w:lang w:val="no"/>
        </w:rPr>
        <w:t>,</w:t>
      </w:r>
      <w:r w:rsidR="00231A59">
        <w:rPr>
          <w:color w:val="000000" w:themeColor="text1"/>
          <w:sz w:val="24"/>
          <w:szCs w:val="24"/>
          <w:lang w:val="no"/>
        </w:rPr>
        <w:t xml:space="preserve"> eller </w:t>
      </w:r>
      <w:r w:rsidR="00231A59">
        <w:rPr>
          <w:sz w:val="24"/>
          <w:szCs w:val="24"/>
          <w:lang w:val="no"/>
        </w:rPr>
        <w:t>som enkeltstående maskin.</w:t>
      </w:r>
    </w:p>
    <w:p w14:paraId="0247E308" w14:textId="6A7A10DF" w:rsidR="00E37017" w:rsidRPr="00364D73" w:rsidRDefault="007C64D0" w:rsidP="00364D73">
      <w:pPr>
        <w:pStyle w:val="Listeavsnitt"/>
        <w:numPr>
          <w:ilvl w:val="0"/>
          <w:numId w:val="13"/>
        </w:numPr>
        <w:spacing w:after="120"/>
        <w:rPr>
          <w:sz w:val="24"/>
          <w:szCs w:val="24"/>
        </w:rPr>
      </w:pPr>
      <w:r>
        <w:rPr>
          <w:sz w:val="24"/>
          <w:szCs w:val="24"/>
          <w:lang w:val="no"/>
        </w:rPr>
        <w:t xml:space="preserve">BGA </w:t>
      </w:r>
      <w:r>
        <w:rPr>
          <w:color w:val="000000" w:themeColor="text1"/>
          <w:sz w:val="24"/>
          <w:szCs w:val="24"/>
          <w:lang w:val="no"/>
        </w:rPr>
        <w:t>57 er en stille</w:t>
      </w:r>
      <w:r w:rsidR="0068681F">
        <w:rPr>
          <w:color w:val="000000" w:themeColor="text1"/>
          <w:sz w:val="24"/>
          <w:szCs w:val="24"/>
          <w:lang w:val="no"/>
        </w:rPr>
        <w:t xml:space="preserve">gående, men samtidig kraftig </w:t>
      </w:r>
      <w:r>
        <w:rPr>
          <w:color w:val="000000" w:themeColor="text1"/>
          <w:sz w:val="24"/>
          <w:szCs w:val="24"/>
          <w:lang w:val="no"/>
        </w:rPr>
        <w:t xml:space="preserve">blåser som ikke forstyrrer nabofreden. Den egner seg godt til bruk i boligområder, </w:t>
      </w:r>
      <w:r w:rsidR="00D70CA1">
        <w:rPr>
          <w:color w:val="000000" w:themeColor="text1"/>
          <w:sz w:val="24"/>
          <w:szCs w:val="24"/>
          <w:lang w:val="no"/>
        </w:rPr>
        <w:t>kolonihagen</w:t>
      </w:r>
      <w:r>
        <w:rPr>
          <w:color w:val="000000" w:themeColor="text1"/>
          <w:sz w:val="24"/>
          <w:szCs w:val="24"/>
          <w:lang w:val="no"/>
        </w:rPr>
        <w:t xml:space="preserve"> og andre lydfølsomme steder</w:t>
      </w:r>
      <w:r>
        <w:rPr>
          <w:sz w:val="24"/>
          <w:szCs w:val="24"/>
          <w:lang w:val="no"/>
        </w:rPr>
        <w:t xml:space="preserve">. Dessuten er den meget velbalansert, noe som gjør at den ikke belaster håndleddene, men gir en behagelig og ergonomisk brukeropplevelse, </w:t>
      </w:r>
      <w:r>
        <w:rPr>
          <w:color w:val="000000" w:themeColor="text1"/>
          <w:sz w:val="24"/>
          <w:szCs w:val="24"/>
          <w:lang w:val="no"/>
        </w:rPr>
        <w:t xml:space="preserve">sier </w:t>
      </w:r>
      <w:r>
        <w:rPr>
          <w:sz w:val="24"/>
          <w:szCs w:val="24"/>
          <w:lang w:val="no"/>
        </w:rPr>
        <w:t>Mats Gustafsson.</w:t>
      </w:r>
    </w:p>
    <w:p w14:paraId="74F9855D" w14:textId="0F2142B4" w:rsidR="00B779D1" w:rsidRPr="00E6067B" w:rsidRDefault="00E6067B" w:rsidP="003E0D89">
      <w:pPr>
        <w:spacing w:after="12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Takket være det justerbare blåserøret er maskinen enkel å tilpasse etter brukerens kroppslengde. Videre har </w:t>
      </w:r>
      <w:r>
        <w:rPr>
          <w:sz w:val="24"/>
          <w:szCs w:val="24"/>
          <w:lang w:val="no"/>
        </w:rPr>
        <w:t xml:space="preserve">BGA 57 </w:t>
      </w:r>
      <w:r>
        <w:rPr>
          <w:color w:val="000000" w:themeColor="text1"/>
          <w:sz w:val="24"/>
          <w:szCs w:val="24"/>
          <w:lang w:val="no"/>
        </w:rPr>
        <w:t>tri</w:t>
      </w:r>
      <w:r w:rsidR="00D70CA1">
        <w:rPr>
          <w:color w:val="000000" w:themeColor="text1"/>
          <w:sz w:val="24"/>
          <w:szCs w:val="24"/>
          <w:lang w:val="no"/>
        </w:rPr>
        <w:t>nnløs hastighetsregulering og et</w:t>
      </w:r>
      <w:r>
        <w:rPr>
          <w:color w:val="000000" w:themeColor="text1"/>
          <w:sz w:val="24"/>
          <w:szCs w:val="24"/>
          <w:lang w:val="no"/>
        </w:rPr>
        <w:t xml:space="preserve"> slank</w:t>
      </w:r>
      <w:r w:rsidR="00D70CA1">
        <w:rPr>
          <w:color w:val="000000" w:themeColor="text1"/>
          <w:sz w:val="24"/>
          <w:szCs w:val="24"/>
          <w:lang w:val="no"/>
        </w:rPr>
        <w:t>t</w:t>
      </w:r>
      <w:r>
        <w:rPr>
          <w:color w:val="000000" w:themeColor="text1"/>
          <w:sz w:val="24"/>
          <w:szCs w:val="24"/>
          <w:lang w:val="no"/>
        </w:rPr>
        <w:t xml:space="preserve"> design.</w:t>
      </w:r>
    </w:p>
    <w:p w14:paraId="1EC2B411" w14:textId="77777777" w:rsidR="004C726E" w:rsidRDefault="0068681F" w:rsidP="00516C8E">
      <w:pPr>
        <w:spacing w:after="120"/>
        <w:rPr>
          <w:sz w:val="24"/>
          <w:szCs w:val="24"/>
          <w:lang w:val="no"/>
        </w:rPr>
      </w:pPr>
      <w:r>
        <w:rPr>
          <w:sz w:val="24"/>
          <w:szCs w:val="24"/>
          <w:lang w:val="no"/>
        </w:rPr>
        <w:t xml:space="preserve">Til den som skal velge </w:t>
      </w:r>
      <w:r w:rsidR="00CA3DA5">
        <w:rPr>
          <w:sz w:val="24"/>
          <w:szCs w:val="24"/>
          <w:lang w:val="no"/>
        </w:rPr>
        <w:t xml:space="preserve">blåser, har produktsjefen tre råd å komme med: Ta utgangspunkt i egne behov, </w:t>
      </w:r>
      <w:r w:rsidR="00CA3DA5">
        <w:rPr>
          <w:color w:val="000000" w:themeColor="text1"/>
          <w:sz w:val="24"/>
          <w:szCs w:val="24"/>
          <w:lang w:val="no"/>
        </w:rPr>
        <w:t>størrelsen</w:t>
      </w:r>
      <w:r>
        <w:rPr>
          <w:color w:val="000000" w:themeColor="text1"/>
          <w:sz w:val="24"/>
          <w:szCs w:val="24"/>
          <w:lang w:val="no"/>
        </w:rPr>
        <w:t xml:space="preserve"> på grøntområdet og hvor mye </w:t>
      </w:r>
      <w:r w:rsidR="00CA3DA5">
        <w:rPr>
          <w:color w:val="000000" w:themeColor="text1"/>
          <w:sz w:val="24"/>
          <w:szCs w:val="24"/>
          <w:lang w:val="no"/>
        </w:rPr>
        <w:t>blåseren vil bli brukt. Han tilbyr</w:t>
      </w:r>
      <w:r>
        <w:rPr>
          <w:color w:val="000000" w:themeColor="text1"/>
          <w:sz w:val="24"/>
          <w:szCs w:val="24"/>
          <w:lang w:val="no"/>
        </w:rPr>
        <w:t xml:space="preserve"> også en hjelpeguide med fem ulike </w:t>
      </w:r>
      <w:r w:rsidR="00CA3DA5">
        <w:rPr>
          <w:color w:val="000000" w:themeColor="text1"/>
          <w:sz w:val="24"/>
          <w:szCs w:val="24"/>
          <w:lang w:val="no"/>
        </w:rPr>
        <w:t xml:space="preserve">blåsere </w:t>
      </w:r>
      <w:r w:rsidR="00CA3DA5">
        <w:rPr>
          <w:sz w:val="24"/>
          <w:szCs w:val="24"/>
          <w:lang w:val="no"/>
        </w:rPr>
        <w:t xml:space="preserve">beregnet for privatmarkedet. </w:t>
      </w:r>
    </w:p>
    <w:p w14:paraId="237E3141" w14:textId="3962CF97" w:rsidR="00516C8E" w:rsidRPr="00516C8E" w:rsidRDefault="00CA3DA5" w:rsidP="00516C8E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no"/>
        </w:rPr>
        <w:br/>
      </w:r>
    </w:p>
    <w:tbl>
      <w:tblPr>
        <w:tblStyle w:val="Tabellrutenett"/>
        <w:tblW w:w="9303" w:type="dxa"/>
        <w:tblLook w:val="04A0" w:firstRow="1" w:lastRow="0" w:firstColumn="1" w:lastColumn="0" w:noHBand="0" w:noVBand="1"/>
      </w:tblPr>
      <w:tblGrid>
        <w:gridCol w:w="1774"/>
        <w:gridCol w:w="1739"/>
        <w:gridCol w:w="1270"/>
        <w:gridCol w:w="1410"/>
        <w:gridCol w:w="1466"/>
        <w:gridCol w:w="1644"/>
      </w:tblGrid>
      <w:tr w:rsidR="00137D6C" w:rsidRPr="00F84D21" w14:paraId="25127B77" w14:textId="77777777" w:rsidTr="0094650B">
        <w:tc>
          <w:tcPr>
            <w:tcW w:w="1790" w:type="dxa"/>
            <w:vAlign w:val="center"/>
          </w:tcPr>
          <w:p w14:paraId="3B3456D1" w14:textId="77777777" w:rsidR="00137D6C" w:rsidRPr="00F84D21" w:rsidRDefault="00137D6C" w:rsidP="00137D6C">
            <w:pPr>
              <w:spacing w:after="120"/>
              <w:rPr>
                <w:b/>
                <w:bCs/>
              </w:rPr>
            </w:pPr>
          </w:p>
        </w:tc>
        <w:tc>
          <w:tcPr>
            <w:tcW w:w="1749" w:type="dxa"/>
            <w:vAlign w:val="center"/>
          </w:tcPr>
          <w:p w14:paraId="61F35F59" w14:textId="77777777" w:rsidR="00137D6C" w:rsidRPr="00E417EB" w:rsidRDefault="00137D6C" w:rsidP="00137D6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lang w:val="no"/>
              </w:rPr>
              <w:t>BGA 45</w:t>
            </w:r>
          </w:p>
        </w:tc>
        <w:tc>
          <w:tcPr>
            <w:tcW w:w="1276" w:type="dxa"/>
          </w:tcPr>
          <w:p w14:paraId="509DC7DA" w14:textId="77777777" w:rsidR="00137D6C" w:rsidRPr="009A5F65" w:rsidRDefault="00625005" w:rsidP="00137D6C">
            <w:pPr>
              <w:spacing w:after="120"/>
              <w:rPr>
                <w:b/>
                <w:bCs/>
              </w:rPr>
            </w:pPr>
            <w:r>
              <w:rPr>
                <w:color w:val="FF0000"/>
                <w:lang w:val="no"/>
              </w:rPr>
              <w:t xml:space="preserve"> </w:t>
            </w:r>
            <w:r>
              <w:rPr>
                <w:b/>
                <w:bCs/>
                <w:lang w:val="no"/>
              </w:rPr>
              <w:t>BGA 57</w:t>
            </w:r>
          </w:p>
        </w:tc>
        <w:tc>
          <w:tcPr>
            <w:tcW w:w="1417" w:type="dxa"/>
          </w:tcPr>
          <w:p w14:paraId="5008CCF6" w14:textId="77777777" w:rsidR="00137D6C" w:rsidRPr="00E417EB" w:rsidRDefault="009A5F65" w:rsidP="009A5F6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lang w:val="no"/>
              </w:rPr>
              <w:t>BG 56</w:t>
            </w:r>
          </w:p>
        </w:tc>
        <w:tc>
          <w:tcPr>
            <w:tcW w:w="1415" w:type="dxa"/>
          </w:tcPr>
          <w:p w14:paraId="7CABE03E" w14:textId="77777777" w:rsidR="00137D6C" w:rsidRDefault="001A1AEC" w:rsidP="00137D6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lang w:val="no"/>
              </w:rPr>
              <w:t>BR 200</w:t>
            </w:r>
            <w:r>
              <w:rPr>
                <w:b/>
                <w:bCs/>
                <w:color w:val="FF0000"/>
                <w:lang w:val="no"/>
              </w:rPr>
              <w:t xml:space="preserve">   </w:t>
            </w:r>
          </w:p>
        </w:tc>
        <w:tc>
          <w:tcPr>
            <w:tcW w:w="1656" w:type="dxa"/>
          </w:tcPr>
          <w:p w14:paraId="68C6936C" w14:textId="77777777" w:rsidR="00137D6C" w:rsidRPr="00E417EB" w:rsidRDefault="00137D6C" w:rsidP="00137D6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lang w:val="no"/>
              </w:rPr>
              <w:t>BR 350</w:t>
            </w:r>
          </w:p>
        </w:tc>
      </w:tr>
      <w:tr w:rsidR="00137D6C" w:rsidRPr="00F84D21" w14:paraId="3AD7E847" w14:textId="77777777" w:rsidTr="0094650B">
        <w:tc>
          <w:tcPr>
            <w:tcW w:w="1790" w:type="dxa"/>
            <w:vAlign w:val="center"/>
          </w:tcPr>
          <w:p w14:paraId="511746EA" w14:textId="77777777" w:rsidR="00137D6C" w:rsidRPr="00625005" w:rsidRDefault="00137D6C" w:rsidP="00137D6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Bruksområde og generelle egenskaper:</w:t>
            </w:r>
          </w:p>
        </w:tc>
        <w:tc>
          <w:tcPr>
            <w:tcW w:w="1749" w:type="dxa"/>
            <w:vAlign w:val="center"/>
          </w:tcPr>
          <w:p w14:paraId="0508722D" w14:textId="270B7D7F" w:rsidR="00137D6C" w:rsidRPr="00625005" w:rsidRDefault="00137D6C" w:rsidP="00137D6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Håndhold</w:t>
            </w:r>
            <w:r w:rsidR="00D70CA1">
              <w:rPr>
                <w:sz w:val="18"/>
                <w:szCs w:val="18"/>
                <w:lang w:val="no"/>
              </w:rPr>
              <w:t>t begynnermodell med integrer</w:t>
            </w:r>
            <w:r>
              <w:rPr>
                <w:sz w:val="18"/>
                <w:szCs w:val="18"/>
                <w:lang w:val="no"/>
              </w:rPr>
              <w:t>t batteri for mindre områder i hagen.</w:t>
            </w:r>
          </w:p>
        </w:tc>
        <w:tc>
          <w:tcPr>
            <w:tcW w:w="1276" w:type="dxa"/>
          </w:tcPr>
          <w:p w14:paraId="3010E2CB" w14:textId="5E169EDA" w:rsidR="00137D6C" w:rsidRPr="00625005" w:rsidRDefault="009A5F65" w:rsidP="00137D6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Håndholdt modell i AK- systemet for områder opptil 750 m</w:t>
            </w:r>
            <w:r>
              <w:rPr>
                <w:sz w:val="18"/>
                <w:szCs w:val="18"/>
                <w:vertAlign w:val="superscript"/>
                <w:lang w:val="no"/>
              </w:rPr>
              <w:t>2</w:t>
            </w:r>
            <w:r>
              <w:rPr>
                <w:sz w:val="18"/>
                <w:szCs w:val="18"/>
                <w:lang w:val="no"/>
              </w:rPr>
              <w:t>.</w:t>
            </w:r>
          </w:p>
        </w:tc>
        <w:tc>
          <w:tcPr>
            <w:tcW w:w="1417" w:type="dxa"/>
          </w:tcPr>
          <w:p w14:paraId="12D9534D" w14:textId="5528B4BF" w:rsidR="00137D6C" w:rsidRPr="009A5F6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 xml:space="preserve">Bensindrevet håndholdt blåser for villahager. </w:t>
            </w:r>
          </w:p>
        </w:tc>
        <w:tc>
          <w:tcPr>
            <w:tcW w:w="1415" w:type="dxa"/>
          </w:tcPr>
          <w:p w14:paraId="365D6460" w14:textId="5A9641F8" w:rsidR="00137D6C" w:rsidRPr="00625005" w:rsidRDefault="001A1AEC" w:rsidP="001A1AE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Bensindrevet ryggbåren begynnermodell for større hager.</w:t>
            </w:r>
          </w:p>
        </w:tc>
        <w:tc>
          <w:tcPr>
            <w:tcW w:w="1656" w:type="dxa"/>
          </w:tcPr>
          <w:p w14:paraId="37E08194" w14:textId="77777777" w:rsidR="00137D6C" w:rsidRPr="00625005" w:rsidRDefault="00137D6C" w:rsidP="001A1AE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Bensindrevet ryggbåren modell for større hager og grøntområder.</w:t>
            </w:r>
          </w:p>
        </w:tc>
      </w:tr>
      <w:tr w:rsidR="009A5F65" w:rsidRPr="00F84D21" w14:paraId="4BB1DC81" w14:textId="77777777" w:rsidTr="0094650B">
        <w:tc>
          <w:tcPr>
            <w:tcW w:w="1790" w:type="dxa"/>
            <w:vAlign w:val="center"/>
          </w:tcPr>
          <w:p w14:paraId="07F6B9A6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Blåsekraft:</w:t>
            </w:r>
          </w:p>
        </w:tc>
        <w:tc>
          <w:tcPr>
            <w:tcW w:w="1749" w:type="dxa"/>
            <w:vAlign w:val="center"/>
          </w:tcPr>
          <w:p w14:paraId="1F3CBE38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5 N</w:t>
            </w:r>
          </w:p>
        </w:tc>
        <w:tc>
          <w:tcPr>
            <w:tcW w:w="1276" w:type="dxa"/>
          </w:tcPr>
          <w:p w14:paraId="785A248F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9 N</w:t>
            </w:r>
          </w:p>
        </w:tc>
        <w:tc>
          <w:tcPr>
            <w:tcW w:w="1417" w:type="dxa"/>
          </w:tcPr>
          <w:p w14:paraId="35398753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13 N</w:t>
            </w:r>
          </w:p>
        </w:tc>
        <w:tc>
          <w:tcPr>
            <w:tcW w:w="1415" w:type="dxa"/>
          </w:tcPr>
          <w:p w14:paraId="7B093AEA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12 N</w:t>
            </w:r>
          </w:p>
        </w:tc>
        <w:tc>
          <w:tcPr>
            <w:tcW w:w="1656" w:type="dxa"/>
          </w:tcPr>
          <w:p w14:paraId="2C2612F4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17 N</w:t>
            </w:r>
          </w:p>
        </w:tc>
      </w:tr>
      <w:tr w:rsidR="009A5F65" w:rsidRPr="00F84D21" w14:paraId="768EBF0F" w14:textId="77777777" w:rsidTr="0094650B">
        <w:tc>
          <w:tcPr>
            <w:tcW w:w="1790" w:type="dxa"/>
            <w:vAlign w:val="center"/>
          </w:tcPr>
          <w:p w14:paraId="01650DBE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Maks. lufthastighet:</w:t>
            </w:r>
          </w:p>
        </w:tc>
        <w:tc>
          <w:tcPr>
            <w:tcW w:w="1749" w:type="dxa"/>
            <w:vAlign w:val="center"/>
          </w:tcPr>
          <w:p w14:paraId="1CCCF370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44 m/s</w:t>
            </w:r>
          </w:p>
        </w:tc>
        <w:tc>
          <w:tcPr>
            <w:tcW w:w="1276" w:type="dxa"/>
          </w:tcPr>
          <w:p w14:paraId="7DA3D91D" w14:textId="77777777" w:rsidR="009A5F65" w:rsidRPr="0039272A" w:rsidRDefault="001A1AEC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55 m/s</w:t>
            </w:r>
          </w:p>
        </w:tc>
        <w:tc>
          <w:tcPr>
            <w:tcW w:w="1417" w:type="dxa"/>
          </w:tcPr>
          <w:p w14:paraId="11CD398B" w14:textId="77777777" w:rsidR="009A5F65" w:rsidRPr="0039272A" w:rsidRDefault="001A1AEC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71 m/s</w:t>
            </w:r>
          </w:p>
        </w:tc>
        <w:tc>
          <w:tcPr>
            <w:tcW w:w="1415" w:type="dxa"/>
          </w:tcPr>
          <w:p w14:paraId="09253914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67 m/s</w:t>
            </w:r>
          </w:p>
        </w:tc>
        <w:tc>
          <w:tcPr>
            <w:tcW w:w="1656" w:type="dxa"/>
          </w:tcPr>
          <w:p w14:paraId="740B74DA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90 m/s</w:t>
            </w:r>
          </w:p>
        </w:tc>
      </w:tr>
      <w:tr w:rsidR="009A5F65" w:rsidRPr="00F84D21" w14:paraId="06C96C9A" w14:textId="77777777" w:rsidTr="0094650B">
        <w:tc>
          <w:tcPr>
            <w:tcW w:w="1790" w:type="dxa"/>
            <w:vAlign w:val="center"/>
          </w:tcPr>
          <w:p w14:paraId="5D44A9FE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Maks. lufttilførsel:</w:t>
            </w:r>
          </w:p>
        </w:tc>
        <w:tc>
          <w:tcPr>
            <w:tcW w:w="1749" w:type="dxa"/>
            <w:vAlign w:val="center"/>
          </w:tcPr>
          <w:p w14:paraId="2E3A65BE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500 m3/h</w:t>
            </w:r>
          </w:p>
        </w:tc>
        <w:tc>
          <w:tcPr>
            <w:tcW w:w="1276" w:type="dxa"/>
          </w:tcPr>
          <w:p w14:paraId="115DF627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620 m3/h</w:t>
            </w:r>
          </w:p>
        </w:tc>
        <w:tc>
          <w:tcPr>
            <w:tcW w:w="1417" w:type="dxa"/>
          </w:tcPr>
          <w:p w14:paraId="5CB8FE9F" w14:textId="77777777" w:rsidR="009A5F65" w:rsidRPr="0039272A" w:rsidRDefault="001A1AEC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700 m3/h</w:t>
            </w:r>
          </w:p>
        </w:tc>
        <w:tc>
          <w:tcPr>
            <w:tcW w:w="1415" w:type="dxa"/>
          </w:tcPr>
          <w:p w14:paraId="400D0C67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680 m3/h</w:t>
            </w:r>
          </w:p>
        </w:tc>
        <w:tc>
          <w:tcPr>
            <w:tcW w:w="1656" w:type="dxa"/>
          </w:tcPr>
          <w:p w14:paraId="4FA1A1CF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740 m3/h</w:t>
            </w:r>
          </w:p>
        </w:tc>
      </w:tr>
      <w:tr w:rsidR="009A5F65" w:rsidRPr="00F84D21" w14:paraId="61329AE6" w14:textId="77777777" w:rsidTr="0094650B">
        <w:tc>
          <w:tcPr>
            <w:tcW w:w="1790" w:type="dxa"/>
            <w:vAlign w:val="center"/>
          </w:tcPr>
          <w:p w14:paraId="785800B8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Batterisystem:</w:t>
            </w:r>
          </w:p>
        </w:tc>
        <w:tc>
          <w:tcPr>
            <w:tcW w:w="1749" w:type="dxa"/>
            <w:vAlign w:val="center"/>
          </w:tcPr>
          <w:p w14:paraId="63209C8F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AI-system</w:t>
            </w:r>
          </w:p>
        </w:tc>
        <w:tc>
          <w:tcPr>
            <w:tcW w:w="1276" w:type="dxa"/>
          </w:tcPr>
          <w:p w14:paraId="752314C1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AK-system</w:t>
            </w:r>
          </w:p>
        </w:tc>
        <w:tc>
          <w:tcPr>
            <w:tcW w:w="1417" w:type="dxa"/>
          </w:tcPr>
          <w:p w14:paraId="5DE02526" w14:textId="77777777" w:rsidR="009A5F65" w:rsidRPr="0039272A" w:rsidRDefault="001A1AEC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(Bensin)</w:t>
            </w:r>
          </w:p>
        </w:tc>
        <w:tc>
          <w:tcPr>
            <w:tcW w:w="1415" w:type="dxa"/>
          </w:tcPr>
          <w:p w14:paraId="7AFE1884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(Bensin)</w:t>
            </w:r>
          </w:p>
        </w:tc>
        <w:tc>
          <w:tcPr>
            <w:tcW w:w="1656" w:type="dxa"/>
          </w:tcPr>
          <w:p w14:paraId="00FF6782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(Bensin)</w:t>
            </w:r>
          </w:p>
        </w:tc>
      </w:tr>
      <w:tr w:rsidR="009A5F65" w:rsidRPr="00F84D21" w14:paraId="21DFCF5E" w14:textId="77777777" w:rsidTr="0094650B">
        <w:tc>
          <w:tcPr>
            <w:tcW w:w="1790" w:type="dxa"/>
            <w:vAlign w:val="center"/>
          </w:tcPr>
          <w:p w14:paraId="6D6D5DFE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 xml:space="preserve">Batteri: </w:t>
            </w:r>
          </w:p>
        </w:tc>
        <w:tc>
          <w:tcPr>
            <w:tcW w:w="1749" w:type="dxa"/>
            <w:vAlign w:val="center"/>
          </w:tcPr>
          <w:p w14:paraId="17BBC8EB" w14:textId="1BFF8972" w:rsidR="009A5F65" w:rsidRPr="0039272A" w:rsidRDefault="00D70CA1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Integrert</w:t>
            </w:r>
            <w:r w:rsidR="009A5F65">
              <w:rPr>
                <w:color w:val="000000" w:themeColor="text1"/>
                <w:sz w:val="18"/>
                <w:szCs w:val="18"/>
                <w:lang w:val="no"/>
              </w:rPr>
              <w:t xml:space="preserve"> litium-ion </w:t>
            </w:r>
          </w:p>
        </w:tc>
        <w:tc>
          <w:tcPr>
            <w:tcW w:w="1276" w:type="dxa"/>
          </w:tcPr>
          <w:p w14:paraId="1A17ABBA" w14:textId="354888F2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Sett: AK 20 og lader AL</w:t>
            </w:r>
            <w:r w:rsidR="00D70CA1">
              <w:rPr>
                <w:color w:val="000000" w:themeColor="text1"/>
                <w:sz w:val="18"/>
                <w:szCs w:val="18"/>
                <w:lang w:val="no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no"/>
              </w:rPr>
              <w:t>101</w:t>
            </w:r>
          </w:p>
        </w:tc>
        <w:tc>
          <w:tcPr>
            <w:tcW w:w="1417" w:type="dxa"/>
          </w:tcPr>
          <w:p w14:paraId="1923B592" w14:textId="77777777" w:rsidR="009A5F65" w:rsidRPr="0039272A" w:rsidRDefault="001A1AEC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-</w:t>
            </w:r>
          </w:p>
        </w:tc>
        <w:tc>
          <w:tcPr>
            <w:tcW w:w="1415" w:type="dxa"/>
          </w:tcPr>
          <w:p w14:paraId="09F961F5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-</w:t>
            </w:r>
          </w:p>
        </w:tc>
        <w:tc>
          <w:tcPr>
            <w:tcW w:w="1656" w:type="dxa"/>
          </w:tcPr>
          <w:p w14:paraId="3F2FA528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-</w:t>
            </w:r>
          </w:p>
        </w:tc>
      </w:tr>
      <w:tr w:rsidR="009A5F65" w:rsidRPr="00F84D21" w14:paraId="0BD60D0D" w14:textId="77777777" w:rsidTr="0094650B">
        <w:tc>
          <w:tcPr>
            <w:tcW w:w="1790" w:type="dxa"/>
            <w:vAlign w:val="center"/>
          </w:tcPr>
          <w:p w14:paraId="222308D7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Driftstid:</w:t>
            </w:r>
          </w:p>
        </w:tc>
        <w:tc>
          <w:tcPr>
            <w:tcW w:w="1749" w:type="dxa"/>
            <w:vAlign w:val="center"/>
          </w:tcPr>
          <w:p w14:paraId="3516E2B8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Opptil 10 min.</w:t>
            </w:r>
          </w:p>
        </w:tc>
        <w:tc>
          <w:tcPr>
            <w:tcW w:w="1276" w:type="dxa"/>
          </w:tcPr>
          <w:p w14:paraId="4A0472AD" w14:textId="77777777" w:rsidR="009A5F65" w:rsidRPr="0039272A" w:rsidRDefault="009A5F65" w:rsidP="001A1AEC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Opptil 22 min.</w:t>
            </w:r>
          </w:p>
        </w:tc>
        <w:tc>
          <w:tcPr>
            <w:tcW w:w="1417" w:type="dxa"/>
          </w:tcPr>
          <w:p w14:paraId="27B03BC7" w14:textId="77777777" w:rsidR="009A5F65" w:rsidRPr="0039272A" w:rsidRDefault="001A1AEC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i.u</w:t>
            </w:r>
          </w:p>
        </w:tc>
        <w:tc>
          <w:tcPr>
            <w:tcW w:w="1415" w:type="dxa"/>
          </w:tcPr>
          <w:p w14:paraId="2EF20E78" w14:textId="77777777" w:rsidR="009A5F65" w:rsidRPr="00625005" w:rsidRDefault="001A1AEC" w:rsidP="009A5F65">
            <w:pPr>
              <w:spacing w:after="12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i.u</w:t>
            </w:r>
          </w:p>
        </w:tc>
        <w:tc>
          <w:tcPr>
            <w:tcW w:w="1656" w:type="dxa"/>
          </w:tcPr>
          <w:p w14:paraId="1721EEE2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i.u</w:t>
            </w:r>
          </w:p>
        </w:tc>
      </w:tr>
      <w:tr w:rsidR="009A5F65" w:rsidRPr="00F84D21" w14:paraId="444DC7EF" w14:textId="77777777" w:rsidTr="0094650B">
        <w:tc>
          <w:tcPr>
            <w:tcW w:w="1790" w:type="dxa"/>
            <w:vAlign w:val="center"/>
          </w:tcPr>
          <w:p w14:paraId="2DBF6100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Lydeffektnivå:</w:t>
            </w:r>
          </w:p>
        </w:tc>
        <w:tc>
          <w:tcPr>
            <w:tcW w:w="1749" w:type="dxa"/>
            <w:vAlign w:val="center"/>
          </w:tcPr>
          <w:p w14:paraId="21F8F619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87 dB</w:t>
            </w:r>
          </w:p>
        </w:tc>
        <w:tc>
          <w:tcPr>
            <w:tcW w:w="1276" w:type="dxa"/>
          </w:tcPr>
          <w:p w14:paraId="6705E04A" w14:textId="77777777" w:rsidR="009A5F65" w:rsidRPr="0039272A" w:rsidRDefault="009A5F65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90 dB</w:t>
            </w:r>
          </w:p>
        </w:tc>
        <w:tc>
          <w:tcPr>
            <w:tcW w:w="1417" w:type="dxa"/>
          </w:tcPr>
          <w:p w14:paraId="677A7476" w14:textId="77777777" w:rsidR="009A5F65" w:rsidRPr="0039272A" w:rsidRDefault="001A1AEC" w:rsidP="009A5F65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no"/>
              </w:rPr>
              <w:t>104 dB</w:t>
            </w:r>
          </w:p>
        </w:tc>
        <w:tc>
          <w:tcPr>
            <w:tcW w:w="1415" w:type="dxa"/>
          </w:tcPr>
          <w:p w14:paraId="5FD2BD30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103 dB</w:t>
            </w:r>
          </w:p>
        </w:tc>
        <w:tc>
          <w:tcPr>
            <w:tcW w:w="1656" w:type="dxa"/>
          </w:tcPr>
          <w:p w14:paraId="32B0D0FA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106 dB</w:t>
            </w:r>
          </w:p>
        </w:tc>
      </w:tr>
      <w:tr w:rsidR="009A5F65" w:rsidRPr="00F84D21" w14:paraId="269690E3" w14:textId="77777777" w:rsidTr="0094650B">
        <w:tc>
          <w:tcPr>
            <w:tcW w:w="1790" w:type="dxa"/>
            <w:vAlign w:val="center"/>
          </w:tcPr>
          <w:p w14:paraId="76FBEFBE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Vekt med batteri:</w:t>
            </w:r>
          </w:p>
        </w:tc>
        <w:tc>
          <w:tcPr>
            <w:tcW w:w="1749" w:type="dxa"/>
            <w:vAlign w:val="center"/>
          </w:tcPr>
          <w:p w14:paraId="3A2936A6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2,2 kg</w:t>
            </w:r>
          </w:p>
        </w:tc>
        <w:tc>
          <w:tcPr>
            <w:tcW w:w="1276" w:type="dxa"/>
          </w:tcPr>
          <w:p w14:paraId="5A224410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3,6 kg</w:t>
            </w:r>
          </w:p>
        </w:tc>
        <w:tc>
          <w:tcPr>
            <w:tcW w:w="1417" w:type="dxa"/>
          </w:tcPr>
          <w:p w14:paraId="6F99F7C5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4,1 kg</w:t>
            </w:r>
          </w:p>
        </w:tc>
        <w:tc>
          <w:tcPr>
            <w:tcW w:w="1415" w:type="dxa"/>
          </w:tcPr>
          <w:p w14:paraId="00C3383B" w14:textId="77777777" w:rsidR="009A5F65" w:rsidRPr="00625005" w:rsidRDefault="001A1AEC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5,7 kg</w:t>
            </w:r>
          </w:p>
        </w:tc>
        <w:tc>
          <w:tcPr>
            <w:tcW w:w="1656" w:type="dxa"/>
          </w:tcPr>
          <w:p w14:paraId="5C50E60E" w14:textId="77777777" w:rsidR="009A5F65" w:rsidRPr="00625005" w:rsidRDefault="009A5F65" w:rsidP="009A5F6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o"/>
              </w:rPr>
              <w:t>10,1 kg</w:t>
            </w:r>
          </w:p>
        </w:tc>
      </w:tr>
    </w:tbl>
    <w:p w14:paraId="794125AF" w14:textId="77777777" w:rsidR="0020082B" w:rsidRPr="00F84D21" w:rsidRDefault="0020082B" w:rsidP="0020082B">
      <w:pPr>
        <w:rPr>
          <w:sz w:val="24"/>
          <w:szCs w:val="24"/>
        </w:rPr>
      </w:pPr>
    </w:p>
    <w:p w14:paraId="534FA6E1" w14:textId="77777777" w:rsidR="00622DAB" w:rsidRPr="00F84D21" w:rsidRDefault="00622DAB" w:rsidP="0020082B">
      <w:pPr>
        <w:rPr>
          <w:b/>
          <w:sz w:val="24"/>
          <w:szCs w:val="24"/>
        </w:rPr>
      </w:pPr>
    </w:p>
    <w:p w14:paraId="31C1ECC4" w14:textId="77777777" w:rsidR="0020082B" w:rsidRPr="00F84D21" w:rsidRDefault="0020082B" w:rsidP="0020082B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no"/>
        </w:rPr>
        <w:t>For mer informasjon kan du kontakte:</w:t>
      </w:r>
    </w:p>
    <w:p w14:paraId="77A4EBAC" w14:textId="5F15C4EC" w:rsidR="0020082B" w:rsidRPr="00F84D21" w:rsidRDefault="006754C7" w:rsidP="00A606AE">
      <w:pPr>
        <w:spacing w:after="120"/>
        <w:rPr>
          <w:sz w:val="24"/>
          <w:szCs w:val="24"/>
        </w:rPr>
      </w:pPr>
      <w:r>
        <w:rPr>
          <w:sz w:val="24"/>
          <w:szCs w:val="24"/>
          <w:lang w:val="no"/>
        </w:rPr>
        <w:t xml:space="preserve">Mats Gustafsson, produktsjef STIHL Norden, +46 (0)302-248 00, </w:t>
      </w:r>
      <w:hyperlink r:id="rId7" w:history="1">
        <w:r>
          <w:rPr>
            <w:rStyle w:val="Hyperkobling"/>
            <w:sz w:val="24"/>
            <w:szCs w:val="24"/>
            <w:u w:val="none"/>
            <w:lang w:val="no"/>
          </w:rPr>
          <w:t>mats.gustafsson@stihl.se</w:t>
        </w:r>
      </w:hyperlink>
      <w:r>
        <w:rPr>
          <w:sz w:val="24"/>
          <w:szCs w:val="24"/>
          <w:lang w:val="no"/>
        </w:rPr>
        <w:t xml:space="preserve">  </w:t>
      </w:r>
      <w:r>
        <w:rPr>
          <w:sz w:val="24"/>
          <w:szCs w:val="24"/>
          <w:lang w:val="no"/>
        </w:rPr>
        <w:br/>
      </w:r>
      <w:r w:rsidR="004A60C2" w:rsidRPr="00D70CA1">
        <w:rPr>
          <w:color w:val="000000" w:themeColor="text1"/>
          <w:sz w:val="24"/>
          <w:szCs w:val="24"/>
          <w:lang w:val="nb-NO"/>
        </w:rPr>
        <w:t>Benedicte Kjørnæs Movik</w:t>
      </w:r>
      <w:r w:rsidR="004A60C2" w:rsidRPr="00D70CA1">
        <w:rPr>
          <w:sz w:val="24"/>
          <w:szCs w:val="24"/>
          <w:lang w:val="nb-NO"/>
        </w:rPr>
        <w:t xml:space="preserve">, pressekontakt STIHL Norge, 33 42 05 00, </w:t>
      </w:r>
      <w:hyperlink r:id="rId8" w:history="1">
        <w:r w:rsidR="004A60C2">
          <w:rPr>
            <w:rStyle w:val="Hyperkobling"/>
            <w:rFonts w:eastAsiaTheme="majorEastAsia"/>
            <w:sz w:val="24"/>
            <w:szCs w:val="24"/>
          </w:rPr>
          <w:t>benedicte.movik@stihl.no</w:t>
        </w:r>
      </w:hyperlink>
    </w:p>
    <w:p w14:paraId="7AB9F9E0" w14:textId="77777777" w:rsidR="004A60C2" w:rsidRDefault="00930CC8" w:rsidP="004A60C2">
      <w:pPr>
        <w:rPr>
          <w:b/>
          <w:sz w:val="24"/>
          <w:szCs w:val="24"/>
        </w:rPr>
      </w:pPr>
      <w:r>
        <w:rPr>
          <w:sz w:val="24"/>
          <w:szCs w:val="24"/>
          <w:lang w:val="no"/>
        </w:rPr>
        <w:br/>
      </w:r>
      <w:r w:rsidR="004A60C2">
        <w:rPr>
          <w:b/>
          <w:bCs/>
          <w:sz w:val="24"/>
          <w:szCs w:val="24"/>
        </w:rPr>
        <w:t>Om STIHL</w:t>
      </w:r>
    </w:p>
    <w:p w14:paraId="4BB40CF2" w14:textId="77777777" w:rsidR="004A60C2" w:rsidRDefault="004A60C2" w:rsidP="004A60C2">
      <w:pPr>
        <w:rPr>
          <w:sz w:val="24"/>
          <w:szCs w:val="24"/>
        </w:rPr>
      </w:pPr>
      <w:r>
        <w:rPr>
          <w:sz w:val="24"/>
          <w:szCs w:val="24"/>
        </w:rPr>
        <w:t xml:space="preserve">STIHL </w:t>
      </w:r>
      <w:proofErr w:type="spellStart"/>
      <w:r>
        <w:rPr>
          <w:sz w:val="24"/>
          <w:szCs w:val="24"/>
        </w:rPr>
        <w:t>utvikler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produserer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verktøy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skogbruk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landskapspleie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Produktene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</w:t>
      </w:r>
      <w:proofErr w:type="spellEnd"/>
      <w:r>
        <w:rPr>
          <w:sz w:val="24"/>
          <w:szCs w:val="24"/>
        </w:rPr>
        <w:t xml:space="preserve"> via </w:t>
      </w:r>
      <w:proofErr w:type="spellStart"/>
      <w:r>
        <w:rPr>
          <w:sz w:val="24"/>
          <w:szCs w:val="24"/>
        </w:rPr>
        <w:t>autoriserte</w:t>
      </w:r>
      <w:proofErr w:type="spellEnd"/>
      <w:r>
        <w:rPr>
          <w:sz w:val="24"/>
          <w:szCs w:val="24"/>
        </w:rPr>
        <w:t xml:space="preserve"> STIHL </w:t>
      </w:r>
      <w:proofErr w:type="spellStart"/>
      <w:r>
        <w:rPr>
          <w:sz w:val="24"/>
          <w:szCs w:val="24"/>
        </w:rPr>
        <w:t>forhandlere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omkring</w:t>
      </w:r>
      <w:proofErr w:type="spellEnd"/>
      <w:r>
        <w:rPr>
          <w:sz w:val="24"/>
          <w:szCs w:val="24"/>
        </w:rPr>
        <w:t xml:space="preserve"> 1 000 </w:t>
      </w:r>
      <w:proofErr w:type="spellStart"/>
      <w:r>
        <w:rPr>
          <w:sz w:val="24"/>
          <w:szCs w:val="24"/>
        </w:rPr>
        <w:t>spesialbutikker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Norden. </w:t>
      </w:r>
      <w:proofErr w:type="spellStart"/>
      <w:r>
        <w:rPr>
          <w:sz w:val="24"/>
          <w:szCs w:val="24"/>
        </w:rPr>
        <w:t>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hovedkontoret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ligger</w:t>
      </w:r>
      <w:proofErr w:type="spellEnd"/>
      <w:r>
        <w:rPr>
          <w:sz w:val="24"/>
          <w:szCs w:val="24"/>
        </w:rPr>
        <w:t xml:space="preserve"> i Sandefjord. I 2019 </w:t>
      </w:r>
      <w:proofErr w:type="spellStart"/>
      <w:r>
        <w:rPr>
          <w:sz w:val="24"/>
          <w:szCs w:val="24"/>
        </w:rPr>
        <w:t>hadde</w:t>
      </w:r>
      <w:proofErr w:type="spellEnd"/>
      <w:r>
        <w:rPr>
          <w:sz w:val="24"/>
          <w:szCs w:val="24"/>
        </w:rPr>
        <w:t xml:space="preserve"> STIHL en </w:t>
      </w:r>
      <w:proofErr w:type="spellStart"/>
      <w:r>
        <w:rPr>
          <w:sz w:val="24"/>
          <w:szCs w:val="24"/>
        </w:rPr>
        <w:t>omsetning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3,93 </w:t>
      </w:r>
      <w:proofErr w:type="spellStart"/>
      <w:r>
        <w:rPr>
          <w:sz w:val="24"/>
          <w:szCs w:val="24"/>
        </w:rPr>
        <w:t>milliarder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Konsernet</w:t>
      </w:r>
      <w:proofErr w:type="spellEnd"/>
      <w:r>
        <w:rPr>
          <w:sz w:val="24"/>
          <w:szCs w:val="24"/>
        </w:rPr>
        <w:t xml:space="preserve"> har </w:t>
      </w:r>
      <w:proofErr w:type="spellStart"/>
      <w:r>
        <w:rPr>
          <w:sz w:val="24"/>
          <w:szCs w:val="24"/>
        </w:rPr>
        <w:t>drøyt</w:t>
      </w:r>
      <w:proofErr w:type="spellEnd"/>
      <w:r>
        <w:rPr>
          <w:sz w:val="24"/>
          <w:szCs w:val="24"/>
        </w:rPr>
        <w:t xml:space="preserve"> 17 000 </w:t>
      </w:r>
      <w:proofErr w:type="spellStart"/>
      <w:r>
        <w:rPr>
          <w:sz w:val="24"/>
          <w:szCs w:val="24"/>
        </w:rPr>
        <w:t>medarbeidere</w:t>
      </w:r>
      <w:proofErr w:type="spellEnd"/>
      <w:r>
        <w:rPr>
          <w:sz w:val="24"/>
          <w:szCs w:val="24"/>
        </w:rPr>
        <w:t xml:space="preserve"> i ca. 160 </w:t>
      </w:r>
      <w:proofErr w:type="spellStart"/>
      <w:r>
        <w:rPr>
          <w:sz w:val="24"/>
          <w:szCs w:val="24"/>
        </w:rPr>
        <w:t>land</w:t>
      </w:r>
      <w:proofErr w:type="spellEnd"/>
      <w:r>
        <w:rPr>
          <w:sz w:val="24"/>
          <w:szCs w:val="24"/>
        </w:rPr>
        <w:t xml:space="preserve">. Les </w:t>
      </w:r>
      <w:proofErr w:type="spellStart"/>
      <w:r>
        <w:rPr>
          <w:sz w:val="24"/>
          <w:szCs w:val="24"/>
        </w:rPr>
        <w:t>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</w:t>
      </w:r>
      <w:hyperlink r:id="rId9" w:history="1">
        <w:r>
          <w:rPr>
            <w:rStyle w:val="Hyperkobling"/>
            <w:rFonts w:eastAsiaTheme="majorEastAsia"/>
            <w:sz w:val="24"/>
            <w:szCs w:val="24"/>
          </w:rPr>
          <w:t>www.stihl.no</w:t>
        </w:r>
      </w:hyperlink>
      <w:r>
        <w:rPr>
          <w:sz w:val="24"/>
          <w:szCs w:val="24"/>
        </w:rPr>
        <w:t xml:space="preserve">.  </w:t>
      </w:r>
    </w:p>
    <w:p w14:paraId="6BA75356" w14:textId="11EAE0AD" w:rsidR="0020082B" w:rsidRPr="00F84D21" w:rsidRDefault="0020082B" w:rsidP="004A60C2">
      <w:pPr>
        <w:rPr>
          <w:sz w:val="24"/>
          <w:szCs w:val="24"/>
        </w:rPr>
      </w:pPr>
    </w:p>
    <w:p w14:paraId="0D350A73" w14:textId="77777777" w:rsidR="00F84D21" w:rsidRPr="00F84D21" w:rsidRDefault="00F84D21">
      <w:pPr>
        <w:rPr>
          <w:sz w:val="24"/>
          <w:szCs w:val="24"/>
        </w:rPr>
      </w:pPr>
    </w:p>
    <w:sectPr w:rsidR="00F84D21" w:rsidRPr="00F84D21" w:rsidSect="00626467">
      <w:headerReference w:type="default" r:id="rId10"/>
      <w:pgSz w:w="11906" w:h="16838"/>
      <w:pgMar w:top="1418" w:right="1418" w:bottom="1134" w:left="1418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BB85" w14:textId="77777777" w:rsidR="0097538C" w:rsidRDefault="0097538C" w:rsidP="00626467">
      <w:r>
        <w:separator/>
      </w:r>
    </w:p>
  </w:endnote>
  <w:endnote w:type="continuationSeparator" w:id="0">
    <w:p w14:paraId="6395E9AA" w14:textId="77777777" w:rsidR="0097538C" w:rsidRDefault="0097538C" w:rsidP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16701" w14:textId="77777777" w:rsidR="0097538C" w:rsidRDefault="0097538C" w:rsidP="00626467">
      <w:r>
        <w:separator/>
      </w:r>
    </w:p>
  </w:footnote>
  <w:footnote w:type="continuationSeparator" w:id="0">
    <w:p w14:paraId="46BBE87F" w14:textId="77777777" w:rsidR="0097538C" w:rsidRDefault="0097538C" w:rsidP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75457" w14:textId="77777777" w:rsidR="00626467" w:rsidRDefault="00626467" w:rsidP="00626467">
    <w:pPr>
      <w:pStyle w:val="Topptekst"/>
      <w:tabs>
        <w:tab w:val="left" w:pos="7920"/>
      </w:tabs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0C2706CA" wp14:editId="503C20CA">
          <wp:simplePos x="0" y="0"/>
          <wp:positionH relativeFrom="column">
            <wp:posOffset>4848860</wp:posOffset>
          </wp:positionH>
          <wp:positionV relativeFrom="paragraph">
            <wp:posOffset>-122555</wp:posOffset>
          </wp:positionV>
          <wp:extent cx="1512000" cy="31418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-STIHL_LOGOTYPE-IC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no"/>
      </w:rPr>
      <w:tab/>
    </w:r>
    <w:r>
      <w:rPr>
        <w:lang w:val="no"/>
      </w:rPr>
      <w:tab/>
    </w:r>
    <w:r>
      <w:rPr>
        <w:lang w:val="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65769"/>
    <w:multiLevelType w:val="hybridMultilevel"/>
    <w:tmpl w:val="8F6CB1D0"/>
    <w:lvl w:ilvl="0" w:tplc="9AB0C9CE">
      <w:start w:val="4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2243"/>
    <w:multiLevelType w:val="hybridMultilevel"/>
    <w:tmpl w:val="CDA82B9C"/>
    <w:lvl w:ilvl="0" w:tplc="4E64B2A4">
      <w:start w:val="90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B5D87"/>
    <w:multiLevelType w:val="hybridMultilevel"/>
    <w:tmpl w:val="6C080024"/>
    <w:lvl w:ilvl="0" w:tplc="3B7EC25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560B3"/>
    <w:multiLevelType w:val="hybridMultilevel"/>
    <w:tmpl w:val="A126C7EC"/>
    <w:lvl w:ilvl="0" w:tplc="9A20623A"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155A1"/>
    <w:rsid w:val="000574B7"/>
    <w:rsid w:val="0006658A"/>
    <w:rsid w:val="00095301"/>
    <w:rsid w:val="000B5E5A"/>
    <w:rsid w:val="000C483B"/>
    <w:rsid w:val="000D01C6"/>
    <w:rsid w:val="000D2B46"/>
    <w:rsid w:val="000E4DA5"/>
    <w:rsid w:val="001007A1"/>
    <w:rsid w:val="00123F6D"/>
    <w:rsid w:val="00137D6C"/>
    <w:rsid w:val="00177AAB"/>
    <w:rsid w:val="00194A7A"/>
    <w:rsid w:val="001A1AEC"/>
    <w:rsid w:val="001B7633"/>
    <w:rsid w:val="001E74B2"/>
    <w:rsid w:val="001F41EB"/>
    <w:rsid w:val="0020082B"/>
    <w:rsid w:val="00202DB3"/>
    <w:rsid w:val="002159EB"/>
    <w:rsid w:val="00231A59"/>
    <w:rsid w:val="002A743F"/>
    <w:rsid w:val="002C5330"/>
    <w:rsid w:val="00301EBA"/>
    <w:rsid w:val="00304D25"/>
    <w:rsid w:val="00310065"/>
    <w:rsid w:val="00313CB7"/>
    <w:rsid w:val="00364D73"/>
    <w:rsid w:val="00380CFA"/>
    <w:rsid w:val="0039272A"/>
    <w:rsid w:val="003B0015"/>
    <w:rsid w:val="003E0D89"/>
    <w:rsid w:val="003E562E"/>
    <w:rsid w:val="003E7E2A"/>
    <w:rsid w:val="003F3A27"/>
    <w:rsid w:val="00401FEF"/>
    <w:rsid w:val="00402D1D"/>
    <w:rsid w:val="00441909"/>
    <w:rsid w:val="00482065"/>
    <w:rsid w:val="004A60C2"/>
    <w:rsid w:val="004B458D"/>
    <w:rsid w:val="004C16E7"/>
    <w:rsid w:val="004C726E"/>
    <w:rsid w:val="004F774D"/>
    <w:rsid w:val="0050186E"/>
    <w:rsid w:val="005074E4"/>
    <w:rsid w:val="0051129E"/>
    <w:rsid w:val="005148B0"/>
    <w:rsid w:val="0051585F"/>
    <w:rsid w:val="00516C8E"/>
    <w:rsid w:val="0055301D"/>
    <w:rsid w:val="00553E0F"/>
    <w:rsid w:val="0060082E"/>
    <w:rsid w:val="00614A82"/>
    <w:rsid w:val="00622DAB"/>
    <w:rsid w:val="00625005"/>
    <w:rsid w:val="00626467"/>
    <w:rsid w:val="00627C4E"/>
    <w:rsid w:val="0063297B"/>
    <w:rsid w:val="006479D7"/>
    <w:rsid w:val="0065238C"/>
    <w:rsid w:val="0065603A"/>
    <w:rsid w:val="00661A8F"/>
    <w:rsid w:val="006727DC"/>
    <w:rsid w:val="00672D49"/>
    <w:rsid w:val="006754C7"/>
    <w:rsid w:val="0068681F"/>
    <w:rsid w:val="00686A3F"/>
    <w:rsid w:val="006E0B9E"/>
    <w:rsid w:val="006E1DED"/>
    <w:rsid w:val="006E33C6"/>
    <w:rsid w:val="006F2918"/>
    <w:rsid w:val="00704A9B"/>
    <w:rsid w:val="007064BB"/>
    <w:rsid w:val="007204C4"/>
    <w:rsid w:val="00734C44"/>
    <w:rsid w:val="007355D3"/>
    <w:rsid w:val="007874B9"/>
    <w:rsid w:val="0079599F"/>
    <w:rsid w:val="0079615D"/>
    <w:rsid w:val="007A5FA2"/>
    <w:rsid w:val="007B74BD"/>
    <w:rsid w:val="007C41F7"/>
    <w:rsid w:val="007C64D0"/>
    <w:rsid w:val="007E01B0"/>
    <w:rsid w:val="007E1D3C"/>
    <w:rsid w:val="007E39D8"/>
    <w:rsid w:val="00816D73"/>
    <w:rsid w:val="00834996"/>
    <w:rsid w:val="00837F1D"/>
    <w:rsid w:val="00854F3D"/>
    <w:rsid w:val="00863309"/>
    <w:rsid w:val="008978CD"/>
    <w:rsid w:val="00897D37"/>
    <w:rsid w:val="008A36DC"/>
    <w:rsid w:val="008B4CA6"/>
    <w:rsid w:val="008F6A76"/>
    <w:rsid w:val="00907E3F"/>
    <w:rsid w:val="00930CC8"/>
    <w:rsid w:val="0094650B"/>
    <w:rsid w:val="00952D0D"/>
    <w:rsid w:val="009557DD"/>
    <w:rsid w:val="0097538C"/>
    <w:rsid w:val="00983C34"/>
    <w:rsid w:val="00990D78"/>
    <w:rsid w:val="009A424F"/>
    <w:rsid w:val="009A5F65"/>
    <w:rsid w:val="009A75EF"/>
    <w:rsid w:val="009C2AD2"/>
    <w:rsid w:val="009C4EBB"/>
    <w:rsid w:val="009F00EA"/>
    <w:rsid w:val="009F722E"/>
    <w:rsid w:val="00A109AA"/>
    <w:rsid w:val="00A155E8"/>
    <w:rsid w:val="00A56C82"/>
    <w:rsid w:val="00A606AE"/>
    <w:rsid w:val="00AB7312"/>
    <w:rsid w:val="00AC31D1"/>
    <w:rsid w:val="00AE5C30"/>
    <w:rsid w:val="00AE5E93"/>
    <w:rsid w:val="00AF09A0"/>
    <w:rsid w:val="00AF2E29"/>
    <w:rsid w:val="00B4628A"/>
    <w:rsid w:val="00B50CC7"/>
    <w:rsid w:val="00B779D1"/>
    <w:rsid w:val="00BA03CE"/>
    <w:rsid w:val="00BC5C50"/>
    <w:rsid w:val="00C36E22"/>
    <w:rsid w:val="00C8651C"/>
    <w:rsid w:val="00C86A1A"/>
    <w:rsid w:val="00CA10EA"/>
    <w:rsid w:val="00CA3DA5"/>
    <w:rsid w:val="00CE61DA"/>
    <w:rsid w:val="00CF1016"/>
    <w:rsid w:val="00D040B1"/>
    <w:rsid w:val="00D22C4C"/>
    <w:rsid w:val="00D631EF"/>
    <w:rsid w:val="00D70CA1"/>
    <w:rsid w:val="00DA43EB"/>
    <w:rsid w:val="00DD042C"/>
    <w:rsid w:val="00E00E5E"/>
    <w:rsid w:val="00E37017"/>
    <w:rsid w:val="00E417EB"/>
    <w:rsid w:val="00E43EA7"/>
    <w:rsid w:val="00E53E7A"/>
    <w:rsid w:val="00E55263"/>
    <w:rsid w:val="00E6067B"/>
    <w:rsid w:val="00E75961"/>
    <w:rsid w:val="00E77C3E"/>
    <w:rsid w:val="00E95902"/>
    <w:rsid w:val="00EA329A"/>
    <w:rsid w:val="00F013E6"/>
    <w:rsid w:val="00F12D14"/>
    <w:rsid w:val="00F12ED3"/>
    <w:rsid w:val="00F30DDA"/>
    <w:rsid w:val="00F45539"/>
    <w:rsid w:val="00F5071E"/>
    <w:rsid w:val="00F62A55"/>
    <w:rsid w:val="00F81523"/>
    <w:rsid w:val="00F84D21"/>
    <w:rsid w:val="00F9214B"/>
    <w:rsid w:val="00F922BF"/>
    <w:rsid w:val="00FB5BDA"/>
    <w:rsid w:val="00FB7187"/>
    <w:rsid w:val="00FC4E16"/>
    <w:rsid w:val="00FE490B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BFA77"/>
  <w15:chartTrackingRefBased/>
  <w15:docId w15:val="{997C7F27-8F07-4DD6-B97B-1DCA651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qFormat/>
    <w:rsid w:val="007A5FA2"/>
    <w:rPr>
      <w:rFonts w:asciiTheme="minorHAnsi" w:hAnsiTheme="minorHAnsi"/>
      <w:b/>
      <w:bCs/>
    </w:rPr>
  </w:style>
  <w:style w:type="character" w:styleId="Utheving">
    <w:name w:val="Emphasis"/>
    <w:basedOn w:val="Standardskriftforavsnitt"/>
    <w:qFormat/>
    <w:rsid w:val="007A5FA2"/>
    <w:rPr>
      <w:rFonts w:asciiTheme="minorHAnsi" w:hAnsiTheme="minorHAnsi"/>
      <w:i/>
      <w:iCs/>
    </w:rPr>
  </w:style>
  <w:style w:type="paragraph" w:styleId="Tittel">
    <w:name w:val="Title"/>
    <w:basedOn w:val="Normal"/>
    <w:next w:val="Normal"/>
    <w:link w:val="TittelTegn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vakreferanse">
    <w:name w:val="Subtle Reference"/>
    <w:basedOn w:val="Standardskriftforavsnit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A9B"/>
  </w:style>
  <w:style w:type="character" w:customStyle="1" w:styleId="SterktsitatTegn">
    <w:name w:val="Sterkt sitat Tegn"/>
    <w:basedOn w:val="Standardskriftforavsnitt"/>
    <w:link w:val="Sterktsitat"/>
    <w:uiPriority w:val="30"/>
    <w:rsid w:val="00704A9B"/>
    <w:rPr>
      <w:rFonts w:ascii="Arial" w:hAnsi="Arial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4A9B"/>
    <w:pPr>
      <w:outlineLvl w:val="9"/>
    </w:pPr>
  </w:style>
  <w:style w:type="paragraph" w:styleId="Dokumentkart">
    <w:name w:val="Document Map"/>
    <w:basedOn w:val="Normal"/>
    <w:link w:val="DokumentkartTegn"/>
    <w:rsid w:val="00704A9B"/>
    <w:rPr>
      <w:rFonts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704A9B"/>
    <w:rPr>
      <w:rFonts w:ascii="Arial" w:hAnsi="Arial" w:cs="Tahoma"/>
      <w:sz w:val="16"/>
      <w:szCs w:val="16"/>
    </w:rPr>
  </w:style>
  <w:style w:type="paragraph" w:styleId="Indeks1">
    <w:name w:val="index 1"/>
    <w:basedOn w:val="Normal"/>
    <w:next w:val="Normal"/>
    <w:autoRedefine/>
    <w:rsid w:val="00704A9B"/>
    <w:pPr>
      <w:ind w:left="220" w:hanging="220"/>
    </w:pPr>
  </w:style>
  <w:style w:type="paragraph" w:styleId="Stikkordregisteroverskrift">
    <w:name w:val="index heading"/>
    <w:basedOn w:val="Normal"/>
    <w:next w:val="Indeks1"/>
    <w:rsid w:val="00704A9B"/>
    <w:rPr>
      <w:rFonts w:eastAsiaTheme="majorEastAsia" w:cstheme="majorBidi"/>
      <w:b/>
      <w:bCs/>
    </w:rPr>
  </w:style>
  <w:style w:type="character" w:customStyle="1" w:styleId="Overskrift2Tegn">
    <w:name w:val="Overskrift 2 Tegn"/>
    <w:basedOn w:val="Standardskriftforavsnitt"/>
    <w:link w:val="Overskrift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vsenderadresse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Konvoluttadresse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Topptekst">
    <w:name w:val="header"/>
    <w:basedOn w:val="Normal"/>
    <w:link w:val="Topp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26467"/>
    <w:rPr>
      <w:rFonts w:asciiTheme="minorHAnsi" w:hAnsiTheme="minorHAnsi"/>
      <w:sz w:val="22"/>
      <w:szCs w:val="22"/>
    </w:rPr>
  </w:style>
  <w:style w:type="paragraph" w:styleId="Bunntekst">
    <w:name w:val="footer"/>
    <w:basedOn w:val="Normal"/>
    <w:link w:val="Bunn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26467"/>
    <w:rPr>
      <w:rFonts w:asciiTheme="minorHAnsi" w:hAnsi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0082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20082B"/>
    <w:rPr>
      <w:color w:val="D43B3B" w:themeColor="hyperlink"/>
      <w:u w:val="single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0D01C6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6E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402D1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402D1D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553E0F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movik@stih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.gustaf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h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588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Andreas Stihl AG &amp; Co. KG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SC/MAS-bi Birgersson, Emma</dc:creator>
  <cp:keywords/>
  <dc:description/>
  <cp:lastModifiedBy>SC/MAN Kjørnæs Movik, Benedicte</cp:lastModifiedBy>
  <cp:revision>18</cp:revision>
  <cp:lastPrinted>2020-06-09T14:09:00Z</cp:lastPrinted>
  <dcterms:created xsi:type="dcterms:W3CDTF">2020-08-17T17:42:00Z</dcterms:created>
  <dcterms:modified xsi:type="dcterms:W3CDTF">2020-09-04T11:31:00Z</dcterms:modified>
</cp:coreProperties>
</file>