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96" w:rsidRDefault="003C3896" w:rsidP="002F4A9E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color w:val="3D3D3D"/>
          <w:sz w:val="28"/>
          <w:szCs w:val="28"/>
          <w:lang w:eastAsia="sv-SE"/>
        </w:rPr>
      </w:pPr>
    </w:p>
    <w:p w:rsidR="00317691" w:rsidRPr="008D6D4C" w:rsidRDefault="0060730A" w:rsidP="002F4A9E">
      <w:pPr>
        <w:spacing w:before="100" w:beforeAutospacing="1" w:after="100" w:afterAutospacing="1" w:line="276" w:lineRule="auto"/>
        <w:outlineLvl w:val="1"/>
        <w:rPr>
          <w:rFonts w:eastAsia="Times New Roman" w:cs="Arial"/>
          <w:b/>
          <w:bCs/>
          <w:color w:val="404040" w:themeColor="text1" w:themeTint="BF"/>
          <w:sz w:val="40"/>
          <w:szCs w:val="28"/>
          <w:lang w:eastAsia="sv-SE"/>
        </w:rPr>
      </w:pPr>
      <w:r w:rsidRPr="008D6D4C">
        <w:rPr>
          <w:rFonts w:eastAsia="Times New Roman" w:cs="Arial"/>
          <w:b/>
          <w:bCs/>
          <w:color w:val="404040" w:themeColor="text1" w:themeTint="BF"/>
          <w:sz w:val="40"/>
          <w:szCs w:val="28"/>
          <w:lang w:eastAsia="sv-SE"/>
        </w:rPr>
        <w:t>Rejäl tempohöjning på bostadsmarknaden – tydligast utanför storstäderna</w:t>
      </w:r>
      <w:r w:rsidR="003C3896" w:rsidRPr="008D6D4C">
        <w:rPr>
          <w:noProof/>
          <w:color w:val="404040" w:themeColor="text1" w:themeTint="BF"/>
          <w:sz w:val="32"/>
          <w:lang w:eastAsia="sv-SE"/>
        </w:rPr>
        <w:drawing>
          <wp:anchor distT="0" distB="0" distL="114300" distR="114300" simplePos="0" relativeHeight="251659264" behindDoc="0" locked="0" layoutInCell="1" allowOverlap="1" wp14:anchorId="7D674994" wp14:editId="7E7EAC1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2175" cy="619125"/>
            <wp:effectExtent l="0" t="0" r="9525" b="9525"/>
            <wp:wrapTopAndBottom/>
            <wp:docPr id="5" name="Bildobjekt 5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3DBD" w:rsidRPr="00C77468" w:rsidRDefault="00CE266B" w:rsidP="002F4A9E">
      <w:pPr>
        <w:spacing w:before="100" w:beforeAutospacing="1" w:after="120" w:line="276" w:lineRule="auto"/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</w:pPr>
      <w:r w:rsidRPr="00C77468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Pressmeddelande den </w:t>
      </w:r>
      <w:r w:rsidR="0060730A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20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april 2015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br/>
      </w:r>
      <w:r w:rsidR="00E5429F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br/>
        <w:t>En bostad</w:t>
      </w:r>
      <w:r w:rsidR="0060730A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 sälj</w:t>
      </w:r>
      <w:r w:rsidR="00E5429F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s </w:t>
      </w:r>
      <w:r w:rsidR="0060730A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på 2-5 veckor och det blir allt vanligare att bostaden säljs in</w:t>
      </w:r>
      <w:r w:rsidR="00E5429F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nan den utannonserade visningen (snitt för hela riket).</w:t>
      </w:r>
      <w:r w:rsidR="0060730A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 </w:t>
      </w:r>
      <w:r w:rsidR="00DB68D1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Detta i kombination med att det låga utbudet fortsätter att bedömas som den</w:t>
      </w:r>
      <w:r w:rsidR="001D1242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 tyngsta </w:t>
      </w:r>
      <w:r w:rsidR="00DB68D1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påverkansfaktorn på bostadsmarknaden,</w:t>
      </w:r>
      <w:r w:rsidR="003111B4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 v</w:t>
      </w:r>
      <w:r w:rsidR="00E5429F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isar under</w:t>
      </w:r>
      <w:r w:rsidR="00E1603B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s</w:t>
      </w:r>
      <w:r w:rsidR="00E5429F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ökningen Mäklarinsikt. </w:t>
      </w:r>
    </w:p>
    <w:p w:rsidR="00801AFC" w:rsidRPr="00C77468" w:rsidRDefault="0060730A" w:rsidP="002F4A9E">
      <w:pPr>
        <w:spacing w:before="100" w:beforeAutospacing="1" w:after="120" w:line="276" w:lineRule="auto"/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</w:pPr>
      <w:r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Rejäl tempohöjning </w:t>
      </w:r>
      <w:r w:rsidR="00DB68D1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väntas </w:t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kommande månaderna  </w:t>
      </w:r>
      <w:r w:rsidR="002F4A9E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br/>
      </w:r>
      <w:r w:rsidR="00DB68D1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br/>
      </w:r>
      <w:r w:rsidR="00DB68D1" w:rsidRPr="003111B4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Försäljningstiden</w:t>
      </w:r>
      <w:r w:rsidR="00DB68D1" w:rsidRP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bedöms vara </w:t>
      </w:r>
      <w:r w:rsidR="00E5429F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extremt kort på den 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svenska bostadsmarknaden, och m</w:t>
      </w:r>
      <w:r w:rsidR="00DB68D1" w:rsidRP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ån</w:t>
      </w:r>
      <w:r w:rsidR="00E5429F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ga objekt säljs redan innan utannonserad</w:t>
      </w:r>
      <w:r w:rsidR="00BC0A8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visning</w:t>
      </w:r>
      <w:r w:rsidR="00DB68D1" w:rsidRP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. Mäklarinsikt för andra kvartalet 2015 visar att tempot är väsentligt högre idag jämfört med samma tidsperiod 2014. 66 procent av de tillfrågade mäklarna svarar att ett </w:t>
      </w:r>
      <w:r w:rsidR="00DB68D1" w:rsidRPr="00DB68D1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småhus</w:t>
      </w:r>
      <w:r w:rsidR="00DB68D1" w:rsidRP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säljs på 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i snitt </w:t>
      </w:r>
      <w:r w:rsidR="00DB68D1" w:rsidRP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2-5 veckor, det är en ökning med 11 procentenheter jämfört med förra året.</w:t>
      </w:r>
      <w:r w:rsid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Samma siffra för </w:t>
      </w:r>
      <w:r w:rsidR="00DB68D1" w:rsidRPr="00DB68D1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bostadsrätter</w:t>
      </w:r>
      <w:r w:rsid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är 61 procent. Andelen som bedömer att bostadsrätter säl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j</w:t>
      </w:r>
      <w:r w:rsid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s på ännu kortare tid, inom en vecka, har också ökat – från 17 procent i fjol till 29 procent i år. Motsvarande siffra för småhus är 12 procent (4 procent 2014). Variationerna på länsnivå är dock stora – allra sn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abbast går</w:t>
      </w:r>
      <w:r w:rsid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det att sälja en bostadsrätt i Stockholm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s län</w:t>
      </w:r>
      <w:r w:rsid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och Uppsala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län</w:t>
      </w:r>
      <w:r w:rsidR="001D1242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, över 50 procent 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av </w:t>
      </w:r>
      <w:proofErr w:type="gramStart"/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de tillfrågade mäklarna i båda länen upp</w:t>
      </w:r>
      <w:r w:rsid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ger att det 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i snitt </w:t>
      </w:r>
      <w:r w:rsid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tar en vecka att sälja en bostadsrätt.</w:t>
      </w:r>
      <w:proofErr w:type="gramEnd"/>
      <w:r w:rsid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I Dalarnas län går det långsammast – där bedömer 10 </w:t>
      </w:r>
      <w:r w:rsidR="001D1242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procent </w:t>
      </w:r>
      <w:r w:rsid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av de tillfrågade att det tar mer än fyra månader att sälja en bostadsrätt. 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br/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br/>
        <w:t>N</w:t>
      </w:r>
      <w:r w:rsidR="00E5429F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är det gäller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 w:rsidR="00C56084" w:rsidRPr="001D1242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skillnaden </w:t>
      </w:r>
      <w:r w:rsidR="00870D55" w:rsidRPr="001D1242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mellan utannonserat pris och slutpris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syns också stor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a variationer i landet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. Sett till hela riket svarar majoriteten, 38 procent, av de tillfrågade 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mäklarna 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att spannet normalt ligger på mellan 5-10 procent. Störst andel mäklare som anger 5-10 procent som vanligaste spannet hittar vi i Örebro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län</w:t>
      </w:r>
      <w:r w:rsidR="00E5429F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där 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67 p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rocent uppger det svaret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. 30 procent av landets tillfråga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de mäklare svarar att skillnaden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van</w:t>
      </w:r>
      <w:r w:rsidR="00E5429F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ligast är 11-20 procent. Störst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andel 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av dessa återfinns i Uppsala lä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n och Västerbotten län, där svarar 63 respektive 54 procent att spannet är 11-20 procent. E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ndast</w:t>
      </w:r>
      <w:r w:rsidR="001D1242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6 procent</w:t>
      </w:r>
      <w:r w:rsidR="00E5429F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av mäklarna i riket 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svarar att det är vanligt</w:t>
      </w:r>
      <w:r w:rsidR="001D1242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att priset stiger med 21-30 procent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.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br/>
      </w:r>
      <w:r w:rsidR="00DB68D1" w:rsidRP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 w:rsidR="00CE266B" w:rsidRPr="00DB68D1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br/>
      </w:r>
      <w:r w:rsidR="00C56084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P</w:t>
      </w:r>
      <w:r w:rsidR="0067639B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åverkansfaktorer</w:t>
      </w:r>
      <w:r w:rsidR="00C56084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, utbud</w:t>
      </w:r>
      <w:r w:rsidR="0067639B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 och prisutveckling</w:t>
      </w:r>
      <w:r w:rsidR="001F0FCC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: </w:t>
      </w:r>
      <w:r w:rsidR="00E1603B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B</w:t>
      </w:r>
      <w:r w:rsidR="0067639B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ostadsbristen mer påtaglig än någonsin</w:t>
      </w:r>
      <w:r w:rsidR="002F4A9E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br/>
      </w:r>
      <w:r w:rsidR="00870D55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br/>
      </w:r>
      <w:r w:rsidR="00870D55" w:rsidRP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80 procent av de tillfrågade mäklarna uppger att den </w:t>
      </w:r>
      <w:r w:rsidR="00870D55" w:rsidRPr="0067639B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faktor som påverkar</w:t>
      </w:r>
      <w:r w:rsidR="00870D55" w:rsidRP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 w:rsidR="00870D55" w:rsidRPr="0067639B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såväl småhus- som bostadsrättsmarknaden</w:t>
      </w:r>
      <w:r w:rsidR="00870D55" w:rsidRP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mest just nu </w:t>
      </w:r>
      <w:r w:rsidR="00870D55" w:rsidRP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är det låga utbudet.</w:t>
      </w:r>
      <w:r w:rsid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Det är en ökning med </w:t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8 procentenheter jämfört med samma undersökning förra året. Högst andel mäklare som svarar att det låga utbudet påverkar mest åt</w:t>
      </w:r>
      <w:r w:rsidR="001D1242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erfinns i Västmanlands län (96 procent</w:t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), Västerbotten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s län</w:t>
      </w:r>
      <w:r w:rsidR="001D1242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(94 procent</w:t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) och Uppsala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län</w:t>
      </w:r>
      <w:r w:rsidR="001D1242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(93 procent</w:t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).</w:t>
      </w:r>
      <w:r w:rsidR="00870D55" w:rsidRP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På andra plats kommer </w:t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påverkansfaktorn </w:t>
      </w:r>
      <w:r w:rsidR="001D1242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ränt</w:t>
      </w:r>
      <w:r w:rsidR="001F0FCC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an, den har ökat från 66</w:t>
      </w:r>
      <w:r w:rsidR="001D1242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till 71 procent</w:t>
      </w:r>
      <w:r w:rsidR="00870D55" w:rsidRP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gällan</w:t>
      </w:r>
      <w:r w:rsidR="001D1242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de små</w:t>
      </w:r>
      <w:r w:rsidR="001F0FCC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husmarknaden och från 66 </w:t>
      </w:r>
      <w:r w:rsidR="001D1242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till 72 procent</w:t>
      </w:r>
      <w:r w:rsidR="00870D55" w:rsidRPr="00870D5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för bostadsrättsmarknaden jämfört med förra året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sett till hela riket. </w:t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br/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br/>
      </w:r>
      <w:r w:rsidR="0067639B" w:rsidRPr="003111B4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Prisutvecklinge</w:t>
      </w:r>
      <w:r w:rsidR="003111B4" w:rsidRPr="003111B4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n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bedöms </w:t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också fortsätta uppåt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i riket</w:t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under de kommande månaderna. 57 procent av mäklarna tror på ökande priser 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på </w:t>
      </w:r>
      <w:r w:rsidR="003111B4" w:rsidRPr="003111B4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bostadsrättsmarknaden</w:t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mel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lan april och juni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(jmf 38 procent 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lastRenderedPageBreak/>
        <w:t>för första kvartalet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2015), medan motsvarade siffra för </w:t>
      </w:r>
      <w:r w:rsidR="003111B4" w:rsidRPr="003111B4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småhusmarknaden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är 53 procent. Den sistnämnda siffran har ökat väsentligt jämfört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med undersökningen för första kvartalet 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2015 – från 31 procent till 53 procent. </w:t>
      </w:r>
      <w:r w:rsidR="0067639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Det är en ökning med hela 19 procentenheter jämfört med samma undersökning för årets första kvartal 2015. </w:t>
      </w:r>
      <w:r w:rsidR="00041EAE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En stor andel av de 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tillfrågad</w:t>
      </w:r>
      <w:r w:rsidR="00041EAE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e mäklarna tror dock på ett ökat </w:t>
      </w:r>
      <w:r w:rsidR="00041EAE" w:rsidRPr="00041EAE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utbud</w:t>
      </w:r>
      <w:r w:rsidR="00041EAE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 w:rsidR="00C5608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under 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de komman</w:t>
      </w:r>
      <w:r w:rsidR="00041EAE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de månaderna. 60 procent tror på en ökning på småhusmarknaden, och 45 procent på bostadsrättsmarknaden. Samma siffror för första kvartalet 2015 var 26 procent respektive 32 procent – så för båda marknaderna är optimismen väsentligt högre detta kvartal. </w:t>
      </w:r>
      <w:r w:rsidR="007C4A18" w:rsidRPr="00C77468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br/>
      </w:r>
    </w:p>
    <w:p w:rsidR="00CE266B" w:rsidRPr="00C77468" w:rsidRDefault="00C56084" w:rsidP="002F4A9E">
      <w:pPr>
        <w:pStyle w:val="Liststycke"/>
        <w:numPr>
          <w:ilvl w:val="0"/>
          <w:numId w:val="5"/>
        </w:num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Signalen från land</w:t>
      </w:r>
      <w:r w:rsidR="00C7284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ets fastighetsmäklare är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tydlig – bostadsbristen har aldrig varit </w:t>
      </w:r>
      <w:r w:rsidR="00990F5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mer påtaglig samtidigt som temp</w:t>
      </w:r>
      <w:r w:rsidR="00C7284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ot drar mot nya höjder. De </w:t>
      </w:r>
      <w:r w:rsidR="00990F5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korta f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örsälj</w:t>
      </w:r>
      <w:r w:rsidR="00990F5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ningstider</w:t>
      </w:r>
      <w:r w:rsidR="00C7284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na</w:t>
      </w:r>
      <w:r w:rsidR="00990F5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  <w:r w:rsidR="00C7284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är inte längre bara ett storstadsfenomen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och det är </w:t>
      </w:r>
      <w:r w:rsidR="00C7284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bekymmersamt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ur ett konsumentperspekt</w:t>
      </w:r>
      <w:r w:rsidR="00BF64F5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iv. Fastighetsmäklarna spelar en viktig roll här, det gäller att se till att konsumenttryggheten inte påverkas av tempot</w:t>
      </w:r>
      <w:r w:rsidR="00B8214F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som bostadsbristen driver upp</w:t>
      </w:r>
      <w:r w:rsidR="00BF64F5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,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  <w:r w:rsidR="001F0F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säger Ingrid Eiken, VD på</w:t>
      </w:r>
      <w:r w:rsidR="00BF5A78"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Mäklarsamfundet. </w:t>
      </w:r>
      <w:r w:rsidR="00CE266B"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</w:p>
    <w:p w:rsidR="00BF5A78" w:rsidRPr="00C77468" w:rsidRDefault="00BF5A78" w:rsidP="002F4A9E">
      <w:pPr>
        <w:pStyle w:val="Liststycke"/>
        <w:spacing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C72843" w:rsidRPr="00BF64F5" w:rsidRDefault="00C72843" w:rsidP="002F4A9E">
      <w:pPr>
        <w:pStyle w:val="Liststycke"/>
        <w:numPr>
          <w:ilvl w:val="0"/>
          <w:numId w:val="5"/>
        </w:numPr>
        <w:spacing w:line="276" w:lineRule="auto"/>
        <w:rPr>
          <w:rStyle w:val="A5"/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Regeringens vårbudget är otillräcklig. D</w:t>
      </w:r>
      <w:r w:rsidR="00B8214F">
        <w:rPr>
          <w:rFonts w:ascii="Arial" w:hAnsi="Arial" w:cs="Arial"/>
          <w:color w:val="404040" w:themeColor="text1" w:themeTint="BF"/>
          <w:sz w:val="20"/>
          <w:szCs w:val="20"/>
        </w:rPr>
        <w:t xml:space="preserve">et saknas </w:t>
      </w:r>
      <w:r w:rsidR="00C56084">
        <w:rPr>
          <w:rFonts w:ascii="Arial" w:hAnsi="Arial" w:cs="Arial"/>
          <w:color w:val="404040" w:themeColor="text1" w:themeTint="BF"/>
          <w:sz w:val="20"/>
          <w:szCs w:val="20"/>
        </w:rPr>
        <w:t>ett långsiktigt helhets</w:t>
      </w:r>
      <w:r w:rsidR="001F0FCC">
        <w:rPr>
          <w:rFonts w:ascii="Arial" w:hAnsi="Arial" w:cs="Arial"/>
          <w:color w:val="404040" w:themeColor="text1" w:themeTint="BF"/>
          <w:sz w:val="20"/>
          <w:szCs w:val="20"/>
        </w:rPr>
        <w:t xml:space="preserve">grepp för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en stark bostadspolitik. </w:t>
      </w:r>
      <w:r w:rsidR="001F0FCC">
        <w:rPr>
          <w:rFonts w:ascii="Arial" w:hAnsi="Arial" w:cs="Arial"/>
          <w:color w:val="404040" w:themeColor="text1" w:themeTint="BF"/>
          <w:sz w:val="20"/>
          <w:szCs w:val="20"/>
        </w:rPr>
        <w:t>Vi hade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hoppats på </w:t>
      </w:r>
      <w:r w:rsidR="00990F58">
        <w:rPr>
          <w:rFonts w:ascii="Arial" w:hAnsi="Arial" w:cs="Arial"/>
          <w:color w:val="404040" w:themeColor="text1" w:themeTint="BF"/>
          <w:sz w:val="20"/>
          <w:szCs w:val="20"/>
        </w:rPr>
        <w:t xml:space="preserve">något mer </w:t>
      </w:r>
      <w:r w:rsidR="001F0FCC">
        <w:rPr>
          <w:rFonts w:ascii="Arial" w:hAnsi="Arial" w:cs="Arial"/>
          <w:color w:val="404040" w:themeColor="text1" w:themeTint="BF"/>
          <w:sz w:val="20"/>
          <w:szCs w:val="20"/>
        </w:rPr>
        <w:t>konkret på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till exempel</w:t>
      </w:r>
      <w:r w:rsidR="001F0FCC">
        <w:rPr>
          <w:rFonts w:ascii="Arial" w:hAnsi="Arial" w:cs="Arial"/>
          <w:color w:val="404040" w:themeColor="text1" w:themeTint="BF"/>
          <w:sz w:val="20"/>
          <w:szCs w:val="20"/>
        </w:rPr>
        <w:t xml:space="preserve"> skatteområdet, </w:t>
      </w:r>
      <w:r w:rsidR="00C56084">
        <w:rPr>
          <w:rFonts w:ascii="Arial" w:hAnsi="Arial" w:cs="Arial"/>
          <w:color w:val="404040" w:themeColor="text1" w:themeTint="BF"/>
          <w:sz w:val="20"/>
          <w:szCs w:val="20"/>
        </w:rPr>
        <w:t xml:space="preserve">säger </w:t>
      </w:r>
      <w:r w:rsidR="00BF5A78" w:rsidRPr="00C77468">
        <w:rPr>
          <w:rFonts w:ascii="Arial" w:hAnsi="Arial" w:cs="Arial"/>
          <w:color w:val="404040" w:themeColor="text1" w:themeTint="BF"/>
          <w:sz w:val="20"/>
          <w:szCs w:val="20"/>
        </w:rPr>
        <w:t xml:space="preserve">Ingrid Eiken, VD på Mäklarsamfundet. </w:t>
      </w:r>
    </w:p>
    <w:p w:rsidR="00C72843" w:rsidRPr="00C72843" w:rsidRDefault="00C72843" w:rsidP="002F4A9E">
      <w:pPr>
        <w:spacing w:line="276" w:lineRule="auto"/>
        <w:rPr>
          <w:rStyle w:val="A5"/>
          <w:rFonts w:ascii="Arial" w:hAnsi="Arial" w:cs="Arial"/>
          <w:color w:val="404040" w:themeColor="text1" w:themeTint="BF"/>
        </w:rPr>
      </w:pPr>
    </w:p>
    <w:p w:rsidR="009032A2" w:rsidRDefault="009032A2" w:rsidP="002F4A9E">
      <w:pPr>
        <w:spacing w:line="276" w:lineRule="auto"/>
        <w:rPr>
          <w:rStyle w:val="A5"/>
          <w:rFonts w:ascii="Arial" w:hAnsi="Arial" w:cs="Arial"/>
          <w:b/>
          <w:color w:val="404040" w:themeColor="text1" w:themeTint="BF"/>
        </w:rPr>
      </w:pPr>
      <w:r>
        <w:rPr>
          <w:rStyle w:val="A5"/>
          <w:rFonts w:ascii="Arial" w:hAnsi="Arial" w:cs="Arial"/>
          <w:b/>
          <w:color w:val="404040" w:themeColor="text1" w:themeTint="BF"/>
        </w:rPr>
        <w:t xml:space="preserve">Diagram 1. </w:t>
      </w:r>
      <w:r w:rsidR="00DB68D1">
        <w:rPr>
          <w:rStyle w:val="A5"/>
          <w:rFonts w:ascii="Arial" w:hAnsi="Arial" w:cs="Arial"/>
          <w:b/>
          <w:color w:val="404040" w:themeColor="text1" w:themeTint="BF"/>
        </w:rPr>
        <w:t xml:space="preserve">Hur lång tid bedömer du att det i genomsnitt tar att sälja en bostad på din lokala bostadsmarknad? </w:t>
      </w:r>
    </w:p>
    <w:p w:rsidR="00170477" w:rsidRDefault="009032A2" w:rsidP="002F4A9E">
      <w:pPr>
        <w:spacing w:line="276" w:lineRule="auto"/>
        <w:rPr>
          <w:rStyle w:val="A5"/>
          <w:rFonts w:ascii="Arial" w:hAnsi="Arial" w:cs="Arial"/>
          <w:b/>
          <w:color w:val="404040" w:themeColor="text1" w:themeTint="BF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4986020" cy="3079115"/>
            <wp:effectExtent l="0" t="0" r="5080" b="6985"/>
            <wp:wrapTopAndBottom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DB68D1">
        <w:rPr>
          <w:rStyle w:val="A5"/>
          <w:rFonts w:ascii="Arial" w:hAnsi="Arial" w:cs="Arial"/>
          <w:b/>
          <w:color w:val="404040" w:themeColor="text1" w:themeTint="BF"/>
        </w:rPr>
        <w:t xml:space="preserve"> </w:t>
      </w:r>
    </w:p>
    <w:p w:rsidR="009032A2" w:rsidRDefault="009032A2" w:rsidP="002F4A9E">
      <w:pPr>
        <w:spacing w:line="276" w:lineRule="auto"/>
        <w:rPr>
          <w:rStyle w:val="A5"/>
          <w:rFonts w:ascii="Arial" w:hAnsi="Arial" w:cs="Arial"/>
          <w:b/>
          <w:color w:val="404040" w:themeColor="text1" w:themeTint="BF"/>
        </w:rPr>
      </w:pPr>
      <w:r>
        <w:rPr>
          <w:rStyle w:val="A5"/>
          <w:rFonts w:ascii="Arial" w:hAnsi="Arial" w:cs="Arial"/>
          <w:b/>
          <w:color w:val="404040" w:themeColor="text1" w:themeTint="BF"/>
        </w:rPr>
        <w:br w:type="page"/>
      </w:r>
    </w:p>
    <w:p w:rsidR="00101B85" w:rsidRDefault="00101B85" w:rsidP="002F4A9E">
      <w:pPr>
        <w:spacing w:line="276" w:lineRule="auto"/>
        <w:rPr>
          <w:rStyle w:val="A5"/>
          <w:rFonts w:ascii="Arial" w:hAnsi="Arial" w:cs="Arial"/>
          <w:b/>
          <w:color w:val="404040" w:themeColor="text1" w:themeTint="BF"/>
        </w:rPr>
      </w:pPr>
      <w:r>
        <w:rPr>
          <w:rStyle w:val="A5"/>
          <w:rFonts w:ascii="Arial" w:hAnsi="Arial" w:cs="Arial"/>
          <w:b/>
          <w:color w:val="404040" w:themeColor="text1" w:themeTint="BF"/>
        </w:rPr>
        <w:lastRenderedPageBreak/>
        <w:t xml:space="preserve">Diagram 2. </w:t>
      </w:r>
      <w:r w:rsidR="00870D55">
        <w:rPr>
          <w:rStyle w:val="A5"/>
          <w:rFonts w:ascii="Arial" w:hAnsi="Arial" w:cs="Arial"/>
          <w:b/>
          <w:color w:val="404040" w:themeColor="text1" w:themeTint="BF"/>
        </w:rPr>
        <w:t xml:space="preserve">Vad påverkar din småhusmarknad just nu, och hur? </w:t>
      </w:r>
    </w:p>
    <w:p w:rsidR="009032A2" w:rsidRDefault="00101B85" w:rsidP="002F4A9E">
      <w:pPr>
        <w:spacing w:line="276" w:lineRule="auto"/>
        <w:rPr>
          <w:rStyle w:val="A5"/>
          <w:rFonts w:ascii="Arial" w:hAnsi="Arial" w:cs="Arial"/>
          <w:b/>
          <w:color w:val="404040" w:themeColor="text1" w:themeTint="BF"/>
        </w:rPr>
      </w:pPr>
      <w:r>
        <w:rPr>
          <w:noProof/>
          <w:lang w:eastAsia="sv-SE"/>
        </w:rPr>
        <w:drawing>
          <wp:inline distT="0" distB="0" distL="0" distR="0" wp14:anchorId="033CBDDB" wp14:editId="4C4C233F">
            <wp:extent cx="5595938" cy="3367088"/>
            <wp:effectExtent l="0" t="0" r="5080" b="508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032A2">
        <w:rPr>
          <w:rStyle w:val="A5"/>
          <w:rFonts w:ascii="Arial" w:hAnsi="Arial" w:cs="Arial"/>
          <w:b/>
          <w:color w:val="404040" w:themeColor="text1" w:themeTint="BF"/>
        </w:rPr>
        <w:br/>
      </w:r>
      <w:r w:rsidR="009032A2">
        <w:rPr>
          <w:rStyle w:val="A5"/>
          <w:rFonts w:ascii="Arial" w:hAnsi="Arial" w:cs="Arial"/>
          <w:b/>
          <w:color w:val="404040" w:themeColor="text1" w:themeTint="BF"/>
        </w:rPr>
        <w:br/>
      </w:r>
    </w:p>
    <w:p w:rsidR="00BF56B3" w:rsidRDefault="009032A2" w:rsidP="002F4A9E">
      <w:pPr>
        <w:spacing w:line="276" w:lineRule="auto"/>
        <w:rPr>
          <w:rStyle w:val="A5"/>
          <w:rFonts w:ascii="Arial" w:hAnsi="Arial" w:cs="Arial"/>
          <w:b/>
          <w:color w:val="404040" w:themeColor="text1" w:themeTint="BF"/>
        </w:rPr>
      </w:pPr>
      <w:r>
        <w:rPr>
          <w:rStyle w:val="A5"/>
          <w:rFonts w:ascii="Arial" w:hAnsi="Arial" w:cs="Arial"/>
          <w:b/>
          <w:color w:val="404040" w:themeColor="text1" w:themeTint="BF"/>
        </w:rPr>
        <w:t xml:space="preserve">Diagram 3. </w:t>
      </w:r>
      <w:r w:rsidR="00870D55">
        <w:rPr>
          <w:rStyle w:val="A5"/>
          <w:rFonts w:ascii="Arial" w:hAnsi="Arial" w:cs="Arial"/>
          <w:b/>
          <w:color w:val="404040" w:themeColor="text1" w:themeTint="BF"/>
        </w:rPr>
        <w:t xml:space="preserve">Vad påverkar din bostadsrättsmarknad just nu, och hur? </w:t>
      </w:r>
    </w:p>
    <w:p w:rsidR="009032A2" w:rsidRPr="00170477" w:rsidRDefault="009032A2" w:rsidP="002F4A9E">
      <w:pPr>
        <w:spacing w:line="276" w:lineRule="auto"/>
        <w:rPr>
          <w:rFonts w:ascii="Arial" w:hAnsi="Arial" w:cs="Arial"/>
          <w:b/>
          <w:color w:val="404040" w:themeColor="text1" w:themeTint="BF"/>
        </w:rPr>
      </w:pPr>
      <w:r>
        <w:rPr>
          <w:noProof/>
          <w:lang w:eastAsia="sv-SE"/>
        </w:rPr>
        <w:drawing>
          <wp:inline distT="0" distB="0" distL="0" distR="0" wp14:anchorId="310202B3" wp14:editId="352E53FC">
            <wp:extent cx="5760720" cy="3498850"/>
            <wp:effectExtent l="0" t="0" r="0" b="635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0295" w:rsidRPr="00C77468" w:rsidRDefault="001D0295" w:rsidP="002F4A9E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</w:p>
    <w:p w:rsidR="009032A2" w:rsidRDefault="009032A2" w:rsidP="002F4A9E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  <w:r>
        <w:rPr>
          <w:rFonts w:ascii="Arial" w:hAnsi="Arial" w:cs="Arial"/>
          <w:color w:val="404040" w:themeColor="text1" w:themeTint="BF"/>
          <w:sz w:val="20"/>
          <w:szCs w:val="20"/>
          <w:u w:val="single"/>
        </w:rPr>
        <w:br w:type="page"/>
      </w:r>
    </w:p>
    <w:p w:rsidR="00C9607B" w:rsidRPr="00C77468" w:rsidRDefault="00331DC7" w:rsidP="002F4A9E">
      <w:pPr>
        <w:spacing w:line="276" w:lineRule="auto"/>
        <w:rPr>
          <w:rFonts w:ascii="Arial" w:hAnsi="Arial" w:cs="Arial"/>
          <w:b/>
          <w:color w:val="404040" w:themeColor="text1" w:themeTint="BF"/>
          <w:sz w:val="20"/>
        </w:rPr>
      </w:pPr>
      <w:r w:rsidRPr="00C77468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lastRenderedPageBreak/>
        <w:t>Om Mäklarinsikt:</w:t>
      </w:r>
      <w:r w:rsidRPr="00C77468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Pr="00C77468">
        <w:rPr>
          <w:rFonts w:ascii="Arial" w:hAnsi="Arial" w:cs="Arial"/>
          <w:i/>
          <w:color w:val="404040" w:themeColor="text1" w:themeTint="BF"/>
          <w:sz w:val="20"/>
          <w:szCs w:val="20"/>
        </w:rPr>
        <w:t>Mäklarinsikt är Sveriges största rikstäckande undersökning om bostadsmarknaden</w:t>
      </w:r>
      <w:r w:rsidR="00DC048B">
        <w:rPr>
          <w:rFonts w:ascii="Arial" w:hAnsi="Arial" w:cs="Arial"/>
          <w:i/>
          <w:color w:val="404040" w:themeColor="text1" w:themeTint="BF"/>
          <w:sz w:val="20"/>
          <w:szCs w:val="20"/>
        </w:rPr>
        <w:t>.</w:t>
      </w:r>
      <w:r w:rsidRPr="00C7746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Undersökningen mäter fastighetsmäklarnas förhandsbedömningar avs</w:t>
      </w:r>
      <w:r w:rsidR="007C0AC5" w:rsidRPr="00C7746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eende </w:t>
      </w:r>
      <w:r w:rsidR="00525F2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utveckling av </w:t>
      </w:r>
      <w:r w:rsidR="007C0AC5" w:rsidRPr="00C7746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pris, </w:t>
      </w:r>
      <w:r w:rsidR="00525F2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utbud </w:t>
      </w:r>
      <w:r w:rsidRPr="00C77468">
        <w:rPr>
          <w:rFonts w:ascii="Arial" w:hAnsi="Arial" w:cs="Arial"/>
          <w:i/>
          <w:color w:val="404040" w:themeColor="text1" w:themeTint="BF"/>
          <w:sz w:val="20"/>
          <w:szCs w:val="20"/>
        </w:rPr>
        <w:t>och efterfrågan samt påverkansfaktorer på bostadsmarknaden och utkommer varje kvartal. U</w:t>
      </w:r>
      <w:bookmarkStart w:id="0" w:name="_GoBack"/>
      <w:bookmarkEnd w:id="0"/>
      <w:r w:rsidRPr="00C77468">
        <w:rPr>
          <w:rFonts w:ascii="Arial" w:hAnsi="Arial" w:cs="Arial"/>
          <w:i/>
          <w:color w:val="404040" w:themeColor="text1" w:themeTint="BF"/>
          <w:sz w:val="20"/>
          <w:szCs w:val="20"/>
        </w:rPr>
        <w:t>ndersökn</w:t>
      </w:r>
      <w:r w:rsidR="0060730A">
        <w:rPr>
          <w:rFonts w:ascii="Arial" w:hAnsi="Arial" w:cs="Arial"/>
          <w:i/>
          <w:color w:val="404040" w:themeColor="text1" w:themeTint="BF"/>
          <w:sz w:val="20"/>
          <w:szCs w:val="20"/>
        </w:rPr>
        <w:t>ingen genomfördes mellan den 25 februari</w:t>
      </w:r>
      <w:r w:rsidR="0010521F" w:rsidRPr="00C7746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r w:rsidR="0060730A">
        <w:rPr>
          <w:rFonts w:ascii="Arial" w:hAnsi="Arial" w:cs="Arial"/>
          <w:i/>
          <w:color w:val="404040" w:themeColor="text1" w:themeTint="BF"/>
          <w:sz w:val="20"/>
          <w:szCs w:val="20"/>
        </w:rPr>
        <w:t>och den 20 mars 2015</w:t>
      </w:r>
      <w:r w:rsidRPr="00C7746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bland Mäklarsamfundets m</w:t>
      </w:r>
      <w:r w:rsidR="0060730A">
        <w:rPr>
          <w:rFonts w:ascii="Arial" w:hAnsi="Arial" w:cs="Arial"/>
          <w:i/>
          <w:color w:val="404040" w:themeColor="text1" w:themeTint="BF"/>
          <w:sz w:val="20"/>
          <w:szCs w:val="20"/>
        </w:rPr>
        <w:t>edlemmar och besvarades av 1 033</w:t>
      </w:r>
      <w:r w:rsidRPr="00C7746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fastighetsmäklare.</w:t>
      </w:r>
    </w:p>
    <w:p w:rsidR="00193D50" w:rsidRPr="00C77468" w:rsidRDefault="00193D50" w:rsidP="002F4A9E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</w:p>
    <w:p w:rsidR="00EF6E45" w:rsidRPr="00C77468" w:rsidRDefault="00C9607B" w:rsidP="002F4A9E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C77468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För ytterligare information kontakta</w:t>
      </w:r>
      <w:r w:rsidRPr="00C77468"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 w:rsidRPr="00C77468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474B65" w:rsidRPr="00C77468">
        <w:rPr>
          <w:rFonts w:ascii="Arial" w:hAnsi="Arial" w:cs="Arial"/>
          <w:color w:val="404040" w:themeColor="text1" w:themeTint="BF"/>
          <w:sz w:val="20"/>
          <w:szCs w:val="20"/>
        </w:rPr>
        <w:t>Josefine Uppling, A</w:t>
      </w:r>
      <w:r w:rsidR="007C0AC5" w:rsidRPr="00C77468">
        <w:rPr>
          <w:rFonts w:ascii="Arial" w:hAnsi="Arial" w:cs="Arial"/>
          <w:color w:val="404040" w:themeColor="text1" w:themeTint="BF"/>
          <w:sz w:val="20"/>
          <w:szCs w:val="20"/>
        </w:rPr>
        <w:t xml:space="preserve">nalys- </w:t>
      </w:r>
      <w:r w:rsidRPr="00C77468">
        <w:rPr>
          <w:rFonts w:ascii="Arial" w:hAnsi="Arial" w:cs="Arial"/>
          <w:color w:val="404040" w:themeColor="text1" w:themeTint="BF"/>
          <w:sz w:val="20"/>
          <w:szCs w:val="20"/>
        </w:rPr>
        <w:t>och kommunikationschef, 070-050 80 76</w:t>
      </w:r>
      <w:r w:rsidR="00D21080" w:rsidRPr="00C77468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Pr="00C77468">
        <w:rPr>
          <w:rFonts w:ascii="Arial" w:hAnsi="Arial" w:cs="Arial"/>
          <w:color w:val="404040" w:themeColor="text1" w:themeTint="BF"/>
          <w:sz w:val="20"/>
          <w:szCs w:val="20"/>
        </w:rPr>
        <w:br/>
        <w:t>Caroline Berg, Presskontakt, 072-373 66 58.</w:t>
      </w:r>
      <w:r w:rsidRPr="00C77468">
        <w:rPr>
          <w:rFonts w:ascii="Arial" w:hAnsi="Arial" w:cs="Arial"/>
          <w:i/>
          <w:color w:val="404040" w:themeColor="text1" w:themeTint="BF"/>
          <w:sz w:val="20"/>
          <w:szCs w:val="24"/>
        </w:rPr>
        <w:br/>
      </w:r>
      <w:r w:rsidR="007C0AC5"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u w:val="single"/>
          <w:lang w:eastAsia="sv-SE"/>
        </w:rPr>
        <w:br/>
      </w:r>
    </w:p>
    <w:p w:rsidR="005A65D0" w:rsidRPr="00C77468" w:rsidRDefault="005A65D0" w:rsidP="002F4A9E">
      <w:pPr>
        <w:spacing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</w:pPr>
      <w:r w:rsidRPr="00C77468">
        <w:rPr>
          <w:rFonts w:ascii="Arial" w:eastAsia="Times New Roman" w:hAnsi="Arial" w:cs="Arial"/>
          <w:noProof/>
          <w:color w:val="404040" w:themeColor="text1" w:themeTint="BF"/>
          <w:sz w:val="20"/>
          <w:szCs w:val="20"/>
          <w:lang w:eastAsia="sv-SE"/>
        </w:rPr>
        <w:drawing>
          <wp:inline distT="0" distB="0" distL="0" distR="0" wp14:anchorId="472CB864" wp14:editId="19AAAC5F">
            <wp:extent cx="1828800" cy="26748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grid Eiken_pressbild_20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07B"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  <w:r w:rsidR="00193D50"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</w:p>
    <w:p w:rsidR="000E57F0" w:rsidRPr="00C77468" w:rsidRDefault="00331DC7" w:rsidP="002F4A9E">
      <w:pPr>
        <w:spacing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</w:pPr>
      <w:r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Pressbild, </w:t>
      </w:r>
      <w:r w:rsidR="000E57F0"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Ingrid Eik</w:t>
      </w:r>
      <w:r w:rsidR="0010521F"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en</w:t>
      </w:r>
      <w:r w:rsidR="0010521F"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ab/>
      </w:r>
      <w:r w:rsidR="0010521F"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ab/>
        <w:t xml:space="preserve">       </w:t>
      </w:r>
      <w:r w:rsidR="0010521F"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br/>
        <w:t>Foto: Carina Vik</w:t>
      </w:r>
      <w:r w:rsidR="00BF5A78" w:rsidRPr="00C7746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arby</w:t>
      </w:r>
    </w:p>
    <w:sectPr w:rsidR="000E57F0" w:rsidRPr="00C7746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24" w:rsidRDefault="00267724" w:rsidP="004A6661">
      <w:pPr>
        <w:spacing w:after="0" w:line="240" w:lineRule="auto"/>
      </w:pPr>
      <w:r>
        <w:separator/>
      </w:r>
    </w:p>
  </w:endnote>
  <w:endnote w:type="continuationSeparator" w:id="0">
    <w:p w:rsidR="00267724" w:rsidRDefault="00267724" w:rsidP="004A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030162"/>
      <w:docPartObj>
        <w:docPartGallery w:val="Page Numbers (Bottom of Page)"/>
        <w:docPartUnique/>
      </w:docPartObj>
    </w:sdtPr>
    <w:sdtEndPr/>
    <w:sdtContent>
      <w:p w:rsidR="004A6661" w:rsidRDefault="004A666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F28">
          <w:rPr>
            <w:noProof/>
          </w:rPr>
          <w:t>3</w:t>
        </w:r>
        <w:r>
          <w:fldChar w:fldCharType="end"/>
        </w:r>
      </w:p>
    </w:sdtContent>
  </w:sdt>
  <w:p w:rsidR="004A6661" w:rsidRDefault="004A666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24" w:rsidRDefault="00267724" w:rsidP="004A6661">
      <w:pPr>
        <w:spacing w:after="0" w:line="240" w:lineRule="auto"/>
      </w:pPr>
      <w:r>
        <w:separator/>
      </w:r>
    </w:p>
  </w:footnote>
  <w:footnote w:type="continuationSeparator" w:id="0">
    <w:p w:rsidR="00267724" w:rsidRDefault="00267724" w:rsidP="004A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737DC"/>
    <w:multiLevelType w:val="hybridMultilevel"/>
    <w:tmpl w:val="278222EE"/>
    <w:lvl w:ilvl="0" w:tplc="AB0EE9C8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B0074"/>
    <w:multiLevelType w:val="hybridMultilevel"/>
    <w:tmpl w:val="62664EF0"/>
    <w:lvl w:ilvl="0" w:tplc="D5EEA69C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4769F8"/>
    <w:multiLevelType w:val="hybridMultilevel"/>
    <w:tmpl w:val="549C5280"/>
    <w:lvl w:ilvl="0" w:tplc="C856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90628"/>
    <w:multiLevelType w:val="hybridMultilevel"/>
    <w:tmpl w:val="F43C6D0E"/>
    <w:lvl w:ilvl="0" w:tplc="B678BB46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F0755"/>
    <w:multiLevelType w:val="hybridMultilevel"/>
    <w:tmpl w:val="B22CED86"/>
    <w:lvl w:ilvl="0" w:tplc="5812018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45"/>
    <w:rsid w:val="000034F5"/>
    <w:rsid w:val="0000370C"/>
    <w:rsid w:val="0003685E"/>
    <w:rsid w:val="00041EAE"/>
    <w:rsid w:val="000755F5"/>
    <w:rsid w:val="000E42B4"/>
    <w:rsid w:val="000E57F0"/>
    <w:rsid w:val="00101B85"/>
    <w:rsid w:val="0010521F"/>
    <w:rsid w:val="001137D2"/>
    <w:rsid w:val="00170477"/>
    <w:rsid w:val="001919D9"/>
    <w:rsid w:val="00193D50"/>
    <w:rsid w:val="001B09A0"/>
    <w:rsid w:val="001C64A9"/>
    <w:rsid w:val="001D0295"/>
    <w:rsid w:val="001D1242"/>
    <w:rsid w:val="001F0FCC"/>
    <w:rsid w:val="002309C1"/>
    <w:rsid w:val="00245508"/>
    <w:rsid w:val="00267724"/>
    <w:rsid w:val="002A221F"/>
    <w:rsid w:val="002E1FDB"/>
    <w:rsid w:val="002F4A9E"/>
    <w:rsid w:val="003111B4"/>
    <w:rsid w:val="00317691"/>
    <w:rsid w:val="00330594"/>
    <w:rsid w:val="00331DC7"/>
    <w:rsid w:val="00380514"/>
    <w:rsid w:val="003C3896"/>
    <w:rsid w:val="00420264"/>
    <w:rsid w:val="00442006"/>
    <w:rsid w:val="00474B65"/>
    <w:rsid w:val="0049530A"/>
    <w:rsid w:val="004A6661"/>
    <w:rsid w:val="004C094B"/>
    <w:rsid w:val="004D2771"/>
    <w:rsid w:val="005239C5"/>
    <w:rsid w:val="00525F28"/>
    <w:rsid w:val="005A65D0"/>
    <w:rsid w:val="005C54CF"/>
    <w:rsid w:val="0060730A"/>
    <w:rsid w:val="00673DBD"/>
    <w:rsid w:val="0067639B"/>
    <w:rsid w:val="00676582"/>
    <w:rsid w:val="00681151"/>
    <w:rsid w:val="006B2439"/>
    <w:rsid w:val="006C1590"/>
    <w:rsid w:val="006E4458"/>
    <w:rsid w:val="006F0AB0"/>
    <w:rsid w:val="006F468D"/>
    <w:rsid w:val="006F4F39"/>
    <w:rsid w:val="00702232"/>
    <w:rsid w:val="00714E9F"/>
    <w:rsid w:val="00752D9D"/>
    <w:rsid w:val="00786BEB"/>
    <w:rsid w:val="007C0AC5"/>
    <w:rsid w:val="007C4A18"/>
    <w:rsid w:val="00801AFC"/>
    <w:rsid w:val="0085634E"/>
    <w:rsid w:val="00870D55"/>
    <w:rsid w:val="00880B7E"/>
    <w:rsid w:val="008D6D4C"/>
    <w:rsid w:val="009032A2"/>
    <w:rsid w:val="0096385F"/>
    <w:rsid w:val="009658E1"/>
    <w:rsid w:val="00981936"/>
    <w:rsid w:val="00990F58"/>
    <w:rsid w:val="009A2658"/>
    <w:rsid w:val="009B25EF"/>
    <w:rsid w:val="009E0018"/>
    <w:rsid w:val="00A136BD"/>
    <w:rsid w:val="00A174F1"/>
    <w:rsid w:val="00A71C51"/>
    <w:rsid w:val="00AF5A0E"/>
    <w:rsid w:val="00B04CE8"/>
    <w:rsid w:val="00B8214F"/>
    <w:rsid w:val="00B93841"/>
    <w:rsid w:val="00BC0A8B"/>
    <w:rsid w:val="00BF56B3"/>
    <w:rsid w:val="00BF5A78"/>
    <w:rsid w:val="00BF64F5"/>
    <w:rsid w:val="00C45264"/>
    <w:rsid w:val="00C51ABE"/>
    <w:rsid w:val="00C56084"/>
    <w:rsid w:val="00C72843"/>
    <w:rsid w:val="00C77468"/>
    <w:rsid w:val="00C86C1D"/>
    <w:rsid w:val="00C9607B"/>
    <w:rsid w:val="00CC0FBA"/>
    <w:rsid w:val="00CE266B"/>
    <w:rsid w:val="00CE4721"/>
    <w:rsid w:val="00CF09E4"/>
    <w:rsid w:val="00D21080"/>
    <w:rsid w:val="00D46C13"/>
    <w:rsid w:val="00D97439"/>
    <w:rsid w:val="00DA7808"/>
    <w:rsid w:val="00DB68D1"/>
    <w:rsid w:val="00DC048B"/>
    <w:rsid w:val="00DD4414"/>
    <w:rsid w:val="00E0432A"/>
    <w:rsid w:val="00E11FC3"/>
    <w:rsid w:val="00E1603B"/>
    <w:rsid w:val="00E5429F"/>
    <w:rsid w:val="00EF6E45"/>
    <w:rsid w:val="00F111BC"/>
    <w:rsid w:val="00F245D0"/>
    <w:rsid w:val="00FE2BDE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EEF6-4886-4914-BCC3-9A83E6FB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F6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6E4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EF6E45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F6E45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305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658E1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6661"/>
  </w:style>
  <w:style w:type="paragraph" w:styleId="Sidfot">
    <w:name w:val="footer"/>
    <w:basedOn w:val="Normal"/>
    <w:link w:val="Sidfot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6661"/>
  </w:style>
  <w:style w:type="character" w:customStyle="1" w:styleId="A5">
    <w:name w:val="A5"/>
    <w:uiPriority w:val="99"/>
    <w:rsid w:val="00474B65"/>
    <w:rPr>
      <w:rFonts w:cs="Trade Gothic LT Std Light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'Försäljningstid småhusbr'!$B$2</c:f>
              <c:strCache>
                <c:ptCount val="1"/>
                <c:pt idx="0">
                  <c:v>Småhus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'Försäljningstid småhusbr'!$A$3:$A$6</c:f>
              <c:strCache>
                <c:ptCount val="4"/>
                <c:pt idx="0">
                  <c:v>Mindre än 1 vecka</c:v>
                </c:pt>
                <c:pt idx="1">
                  <c:v>2-5 veckor</c:v>
                </c:pt>
                <c:pt idx="2">
                  <c:v>2-4 månader</c:v>
                </c:pt>
                <c:pt idx="3">
                  <c:v>Mer än 4 månader</c:v>
                </c:pt>
              </c:strCache>
            </c:strRef>
          </c:cat>
          <c:val>
            <c:numRef>
              <c:f>'Försäljningstid småhusbr'!$B$3:$B$6</c:f>
              <c:numCache>
                <c:formatCode>0%</c:formatCode>
                <c:ptCount val="4"/>
                <c:pt idx="0">
                  <c:v>0.12</c:v>
                </c:pt>
                <c:pt idx="1">
                  <c:v>0.66</c:v>
                </c:pt>
                <c:pt idx="2">
                  <c:v>0.18</c:v>
                </c:pt>
                <c:pt idx="3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'Försäljningstid småhusbr'!$C$2</c:f>
              <c:strCache>
                <c:ptCount val="1"/>
                <c:pt idx="0">
                  <c:v>Bostadsrätter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'Försäljningstid småhusbr'!$A$3:$A$6</c:f>
              <c:strCache>
                <c:ptCount val="4"/>
                <c:pt idx="0">
                  <c:v>Mindre än 1 vecka</c:v>
                </c:pt>
                <c:pt idx="1">
                  <c:v>2-5 veckor</c:v>
                </c:pt>
                <c:pt idx="2">
                  <c:v>2-4 månader</c:v>
                </c:pt>
                <c:pt idx="3">
                  <c:v>Mer än 4 månader</c:v>
                </c:pt>
              </c:strCache>
            </c:strRef>
          </c:cat>
          <c:val>
            <c:numRef>
              <c:f>'Försäljningstid småhusbr'!$C$3:$C$6</c:f>
              <c:numCache>
                <c:formatCode>0%</c:formatCode>
                <c:ptCount val="4"/>
                <c:pt idx="0">
                  <c:v>0.28999999999999998</c:v>
                </c:pt>
                <c:pt idx="1">
                  <c:v>0.61</c:v>
                </c:pt>
                <c:pt idx="2">
                  <c:v>0.08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1653864"/>
        <c:axId val="351650336"/>
      </c:barChart>
      <c:catAx>
        <c:axId val="351653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51650336"/>
        <c:crosses val="autoZero"/>
        <c:auto val="1"/>
        <c:lblAlgn val="ctr"/>
        <c:lblOffset val="100"/>
        <c:noMultiLvlLbl val="0"/>
      </c:catAx>
      <c:valAx>
        <c:axId val="351650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51653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Påverkan_småhus!$B$16</c:f>
              <c:strCache>
                <c:ptCount val="1"/>
                <c:pt idx="0">
                  <c:v>Liten påverkan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Påverkan_småhus!$A$17:$A$26</c:f>
              <c:strCache>
                <c:ptCount val="10"/>
                <c:pt idx="0">
                  <c:v>Stort utbud</c:v>
                </c:pt>
                <c:pt idx="1">
                  <c:v>Pessimism gällande den egna ekonomin</c:v>
                </c:pt>
                <c:pt idx="2">
                  <c:v>Allmän oro och försiktighet</c:v>
                </c:pt>
                <c:pt idx="3">
                  <c:v>Optimism gällande den egna ekonomin</c:v>
                </c:pt>
                <c:pt idx="4">
                  <c:v>Arbetsmarknaden</c:v>
                </c:pt>
                <c:pt idx="5">
                  <c:v>Säsong</c:v>
                </c:pt>
                <c:pt idx="6">
                  <c:v>Media</c:v>
                </c:pt>
                <c:pt idx="7">
                  <c:v>Bankernas restriktiva utlåning</c:v>
                </c:pt>
                <c:pt idx="8">
                  <c:v>Räntan</c:v>
                </c:pt>
                <c:pt idx="9">
                  <c:v>Litet utbud</c:v>
                </c:pt>
              </c:strCache>
            </c:strRef>
          </c:cat>
          <c:val>
            <c:numRef>
              <c:f>Påverkan_småhus!$B$17:$B$26</c:f>
              <c:numCache>
                <c:formatCode>0%</c:formatCode>
                <c:ptCount val="10"/>
                <c:pt idx="0">
                  <c:v>0.51</c:v>
                </c:pt>
                <c:pt idx="1">
                  <c:v>0.3</c:v>
                </c:pt>
                <c:pt idx="2">
                  <c:v>0.27</c:v>
                </c:pt>
                <c:pt idx="3">
                  <c:v>7.0000000000000007E-2</c:v>
                </c:pt>
                <c:pt idx="4">
                  <c:v>0.17</c:v>
                </c:pt>
                <c:pt idx="5">
                  <c:v>0.15</c:v>
                </c:pt>
                <c:pt idx="6">
                  <c:v>0.12</c:v>
                </c:pt>
                <c:pt idx="7">
                  <c:v>0.14000000000000001</c:v>
                </c:pt>
                <c:pt idx="8">
                  <c:v>0.1</c:v>
                </c:pt>
                <c:pt idx="9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Påverkan_småhus!$C$16</c:f>
              <c:strCache>
                <c:ptCount val="1"/>
                <c:pt idx="0">
                  <c:v>Stor påverkan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3218890365632274E-17"/>
                  <c:y val="-7.54432289702013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3218890365632274E-17"/>
                  <c:y val="-3.77216144851013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Påverkan_småhus!$A$17:$A$26</c:f>
              <c:strCache>
                <c:ptCount val="10"/>
                <c:pt idx="0">
                  <c:v>Stort utbud</c:v>
                </c:pt>
                <c:pt idx="1">
                  <c:v>Pessimism gällande den egna ekonomin</c:v>
                </c:pt>
                <c:pt idx="2">
                  <c:v>Allmän oro och försiktighet</c:v>
                </c:pt>
                <c:pt idx="3">
                  <c:v>Optimism gällande den egna ekonomin</c:v>
                </c:pt>
                <c:pt idx="4">
                  <c:v>Arbetsmarknaden</c:v>
                </c:pt>
                <c:pt idx="5">
                  <c:v>Säsong</c:v>
                </c:pt>
                <c:pt idx="6">
                  <c:v>Media</c:v>
                </c:pt>
                <c:pt idx="7">
                  <c:v>Bankernas restriktiva utlåning</c:v>
                </c:pt>
                <c:pt idx="8">
                  <c:v>Räntan</c:v>
                </c:pt>
                <c:pt idx="9">
                  <c:v>Litet utbud</c:v>
                </c:pt>
              </c:strCache>
            </c:strRef>
          </c:cat>
          <c:val>
            <c:numRef>
              <c:f>Påverkan_småhus!$C$17:$C$26</c:f>
              <c:numCache>
                <c:formatCode>0%</c:formatCode>
                <c:ptCount val="10"/>
                <c:pt idx="0">
                  <c:v>0.22</c:v>
                </c:pt>
                <c:pt idx="1">
                  <c:v>0.22</c:v>
                </c:pt>
                <c:pt idx="2">
                  <c:v>0.3</c:v>
                </c:pt>
                <c:pt idx="3">
                  <c:v>0.44</c:v>
                </c:pt>
                <c:pt idx="4">
                  <c:v>0.48</c:v>
                </c:pt>
                <c:pt idx="5">
                  <c:v>0.5</c:v>
                </c:pt>
                <c:pt idx="6">
                  <c:v>0.51</c:v>
                </c:pt>
                <c:pt idx="7">
                  <c:v>0.52</c:v>
                </c:pt>
                <c:pt idx="8">
                  <c:v>0.71</c:v>
                </c:pt>
                <c:pt idx="9">
                  <c:v>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6546040"/>
        <c:axId val="296546824"/>
      </c:barChart>
      <c:catAx>
        <c:axId val="296546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96546824"/>
        <c:crosses val="autoZero"/>
        <c:auto val="1"/>
        <c:lblAlgn val="ctr"/>
        <c:lblOffset val="100"/>
        <c:noMultiLvlLbl val="0"/>
      </c:catAx>
      <c:valAx>
        <c:axId val="296546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96546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Påverkan_BR!$B$15</c:f>
              <c:strCache>
                <c:ptCount val="1"/>
                <c:pt idx="0">
                  <c:v>Liten påverkan 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Påverkan_BR!$A$16:$A$25</c:f>
              <c:strCache>
                <c:ptCount val="10"/>
                <c:pt idx="0">
                  <c:v>Pessimism gällande den egna ekonomin</c:v>
                </c:pt>
                <c:pt idx="1">
                  <c:v>Stort utbud</c:v>
                </c:pt>
                <c:pt idx="2">
                  <c:v>Allmän oro och försiktighet</c:v>
                </c:pt>
                <c:pt idx="3">
                  <c:v>Säsong</c:v>
                </c:pt>
                <c:pt idx="4">
                  <c:v>Optimism gällande den egna ekonomin</c:v>
                </c:pt>
                <c:pt idx="5">
                  <c:v>Arbetsmarknaden</c:v>
                </c:pt>
                <c:pt idx="6">
                  <c:v>Bankernas restriktiva utlåning</c:v>
                </c:pt>
                <c:pt idx="7">
                  <c:v>Media</c:v>
                </c:pt>
                <c:pt idx="8">
                  <c:v>Räntan</c:v>
                </c:pt>
                <c:pt idx="9">
                  <c:v>Litet utbud</c:v>
                </c:pt>
              </c:strCache>
            </c:strRef>
          </c:cat>
          <c:val>
            <c:numRef>
              <c:f>Påverkan_BR!$B$16:$B$25</c:f>
              <c:numCache>
                <c:formatCode>0%</c:formatCode>
                <c:ptCount val="10"/>
                <c:pt idx="0">
                  <c:v>0.31</c:v>
                </c:pt>
                <c:pt idx="1">
                  <c:v>0.52</c:v>
                </c:pt>
                <c:pt idx="2">
                  <c:v>0.23</c:v>
                </c:pt>
                <c:pt idx="3">
                  <c:v>0.27</c:v>
                </c:pt>
                <c:pt idx="4">
                  <c:v>0.09</c:v>
                </c:pt>
                <c:pt idx="5">
                  <c:v>0.19</c:v>
                </c:pt>
                <c:pt idx="6">
                  <c:v>0.18</c:v>
                </c:pt>
                <c:pt idx="7">
                  <c:v>0.13</c:v>
                </c:pt>
                <c:pt idx="8">
                  <c:v>0.1</c:v>
                </c:pt>
                <c:pt idx="9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Påverkan_BR!$C$15</c:f>
              <c:strCache>
                <c:ptCount val="1"/>
                <c:pt idx="0">
                  <c:v>Stor påverkan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7.25952813067163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0833869257269799E-17"/>
                  <c:y val="-7.25952813067163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Påverkan_BR!$A$16:$A$25</c:f>
              <c:strCache>
                <c:ptCount val="10"/>
                <c:pt idx="0">
                  <c:v>Pessimism gällande den egna ekonomin</c:v>
                </c:pt>
                <c:pt idx="1">
                  <c:v>Stort utbud</c:v>
                </c:pt>
                <c:pt idx="2">
                  <c:v>Allmän oro och försiktighet</c:v>
                </c:pt>
                <c:pt idx="3">
                  <c:v>Säsong</c:v>
                </c:pt>
                <c:pt idx="4">
                  <c:v>Optimism gällande den egna ekonomin</c:v>
                </c:pt>
                <c:pt idx="5">
                  <c:v>Arbetsmarknaden</c:v>
                </c:pt>
                <c:pt idx="6">
                  <c:v>Bankernas restriktiva utlåning</c:v>
                </c:pt>
                <c:pt idx="7">
                  <c:v>Media</c:v>
                </c:pt>
                <c:pt idx="8">
                  <c:v>Räntan</c:v>
                </c:pt>
                <c:pt idx="9">
                  <c:v>Litet utbud</c:v>
                </c:pt>
              </c:strCache>
            </c:strRef>
          </c:cat>
          <c:val>
            <c:numRef>
              <c:f>Påverkan_BR!$C$16:$C$25</c:f>
              <c:numCache>
                <c:formatCode>0%</c:formatCode>
                <c:ptCount val="10"/>
                <c:pt idx="0">
                  <c:v>0.17</c:v>
                </c:pt>
                <c:pt idx="1">
                  <c:v>0.21</c:v>
                </c:pt>
                <c:pt idx="2">
                  <c:v>0.26</c:v>
                </c:pt>
                <c:pt idx="3">
                  <c:v>0.27</c:v>
                </c:pt>
                <c:pt idx="4">
                  <c:v>0.39</c:v>
                </c:pt>
                <c:pt idx="5">
                  <c:v>0.44</c:v>
                </c:pt>
                <c:pt idx="6">
                  <c:v>0.47</c:v>
                </c:pt>
                <c:pt idx="7">
                  <c:v>0.49</c:v>
                </c:pt>
                <c:pt idx="8">
                  <c:v>0.72</c:v>
                </c:pt>
                <c:pt idx="9">
                  <c:v>0.82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6546432"/>
        <c:axId val="296544472"/>
      </c:barChart>
      <c:catAx>
        <c:axId val="296546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96544472"/>
        <c:crosses val="autoZero"/>
        <c:auto val="1"/>
        <c:lblAlgn val="ctr"/>
        <c:lblOffset val="100"/>
        <c:noMultiLvlLbl val="0"/>
      </c:catAx>
      <c:valAx>
        <c:axId val="296544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9654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Eiken</dc:creator>
  <cp:keywords/>
  <dc:description/>
  <cp:lastModifiedBy>Carina</cp:lastModifiedBy>
  <cp:revision>14</cp:revision>
  <cp:lastPrinted>2015-04-17T13:21:00Z</cp:lastPrinted>
  <dcterms:created xsi:type="dcterms:W3CDTF">2015-04-17T09:47:00Z</dcterms:created>
  <dcterms:modified xsi:type="dcterms:W3CDTF">2015-04-17T13:27:00Z</dcterms:modified>
</cp:coreProperties>
</file>