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46" w:rsidRDefault="00DA1E0A" w:rsidP="00CA7B2A">
      <w:pPr>
        <w:spacing w:after="0"/>
        <w:rPr>
          <w:rFonts w:ascii="AgencyFB-BoldWide" w:hAnsi="AgencyFB-BoldWide" w:cs="Arial"/>
          <w:sz w:val="40"/>
          <w:szCs w:val="40"/>
        </w:rPr>
      </w:pPr>
      <w:r>
        <w:rPr>
          <w:rFonts w:ascii="AgencyFB-BoldWide" w:hAnsi="AgencyFB-BoldWide" w:cs="Arial"/>
          <w:noProof/>
          <w:sz w:val="40"/>
          <w:szCs w:val="40"/>
          <w:lang w:val="en-GB" w:eastAsia="en-GB"/>
        </w:rPr>
        <w:drawing>
          <wp:inline distT="0" distB="0" distL="0" distR="0" wp14:anchorId="2A6FA07D" wp14:editId="176C934F">
            <wp:extent cx="1945005" cy="4876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487680"/>
                    </a:xfrm>
                    <a:prstGeom prst="rect">
                      <a:avLst/>
                    </a:prstGeom>
                    <a:noFill/>
                  </pic:spPr>
                </pic:pic>
              </a:graphicData>
            </a:graphic>
          </wp:inline>
        </w:drawing>
      </w:r>
    </w:p>
    <w:p w:rsidR="00F97113" w:rsidRDefault="00F97113" w:rsidP="00CA7B2A">
      <w:pPr>
        <w:spacing w:after="0"/>
        <w:rPr>
          <w:rFonts w:ascii="AgencyFB-BoldWide" w:hAnsi="AgencyFB-BoldWide" w:cs="Arial"/>
          <w:sz w:val="40"/>
          <w:szCs w:val="40"/>
        </w:rPr>
      </w:pPr>
    </w:p>
    <w:p w:rsidR="004E1D74" w:rsidRPr="005D13A9" w:rsidRDefault="004E1D74" w:rsidP="00CA7B2A">
      <w:pPr>
        <w:spacing w:after="0"/>
        <w:rPr>
          <w:rFonts w:ascii="AgencyFB-BoldWide" w:hAnsi="AgencyFB-BoldWide" w:cs="Arial"/>
          <w:sz w:val="40"/>
          <w:szCs w:val="40"/>
        </w:rPr>
      </w:pPr>
    </w:p>
    <w:p w:rsidR="004E1D74" w:rsidRDefault="004E1D74" w:rsidP="00CA7B2A">
      <w:pPr>
        <w:spacing w:after="0"/>
        <w:rPr>
          <w:rFonts w:ascii="AgencyFB-BoldWide" w:hAnsi="AgencyFB-BoldWide" w:cs="Arial"/>
          <w:sz w:val="32"/>
          <w:szCs w:val="40"/>
        </w:rPr>
      </w:pPr>
    </w:p>
    <w:p w:rsidR="00FC2D88" w:rsidRPr="00655E12" w:rsidRDefault="004F4224" w:rsidP="00CA7B2A">
      <w:pPr>
        <w:spacing w:after="0"/>
        <w:rPr>
          <w:rFonts w:ascii="AgencyFB-BoldWide" w:hAnsi="AgencyFB-BoldWide" w:cs="Arial"/>
          <w:sz w:val="32"/>
          <w:szCs w:val="40"/>
        </w:rPr>
      </w:pPr>
      <w:r>
        <w:rPr>
          <w:rFonts w:ascii="AgencyFB-BoldWide" w:hAnsi="AgencyFB-BoldWide" w:cs="Arial"/>
          <w:sz w:val="32"/>
          <w:szCs w:val="40"/>
        </w:rPr>
        <w:t>DATSCHA LANSERAR DATSCHA INSIGHT™</w:t>
      </w:r>
    </w:p>
    <w:p w:rsidR="00CA7B2A" w:rsidRPr="001013FA" w:rsidRDefault="00890702" w:rsidP="00CA7B2A">
      <w:pPr>
        <w:spacing w:after="0"/>
        <w:rPr>
          <w:rFonts w:ascii="AkzidenzGroteskBQ-Light" w:hAnsi="AkzidenzGroteskBQ-Light" w:cs="Arial"/>
          <w:i/>
          <w:color w:val="FF0000"/>
          <w:sz w:val="20"/>
          <w:szCs w:val="20"/>
        </w:rPr>
      </w:pPr>
      <w:r w:rsidRPr="001013FA">
        <w:rPr>
          <w:rFonts w:ascii="AkzidenzGroteskBQ-Light" w:hAnsi="AkzidenzGroteskBQ-Light" w:cs="Arial"/>
          <w:i/>
          <w:color w:val="FF0000"/>
          <w:sz w:val="20"/>
          <w:szCs w:val="20"/>
        </w:rPr>
        <w:t>Pressmeddelande</w:t>
      </w:r>
      <w:r w:rsidR="004E1D74">
        <w:rPr>
          <w:rFonts w:ascii="AkzidenzGroteskBQ-Light" w:hAnsi="AkzidenzGroteskBQ-Light" w:cs="Arial"/>
          <w:i/>
          <w:color w:val="FF0000"/>
          <w:sz w:val="20"/>
          <w:szCs w:val="20"/>
        </w:rPr>
        <w:t>:</w:t>
      </w:r>
      <w:r w:rsidR="00D8548A">
        <w:rPr>
          <w:rFonts w:ascii="AkzidenzGroteskBQ-Light" w:hAnsi="AkzidenzGroteskBQ-Light" w:cs="Arial"/>
          <w:i/>
          <w:color w:val="FF0000"/>
          <w:sz w:val="20"/>
          <w:szCs w:val="20"/>
        </w:rPr>
        <w:t xml:space="preserve"> 2016-06-13</w:t>
      </w:r>
      <w:bookmarkStart w:id="0" w:name="_GoBack"/>
      <w:bookmarkEnd w:id="0"/>
    </w:p>
    <w:p w:rsidR="00D9002B" w:rsidRDefault="00D9002B" w:rsidP="005D13A9">
      <w:pPr>
        <w:spacing w:after="240"/>
        <w:rPr>
          <w:rFonts w:ascii="AkzidenzGroteskBQ-Medium" w:hAnsi="AkzidenzGroteskBQ-Medium" w:cs="Arial"/>
          <w:sz w:val="20"/>
          <w:szCs w:val="20"/>
        </w:rPr>
      </w:pPr>
    </w:p>
    <w:p w:rsidR="00C153A0" w:rsidRDefault="00C153A0" w:rsidP="005D13A9">
      <w:pPr>
        <w:spacing w:after="240"/>
        <w:rPr>
          <w:rFonts w:ascii="AkzidenzGroteskBQ-Medium" w:hAnsi="AkzidenzGroteskBQ-Medium" w:cs="Arial"/>
          <w:sz w:val="20"/>
          <w:szCs w:val="20"/>
        </w:rPr>
      </w:pPr>
    </w:p>
    <w:p w:rsidR="004F4224" w:rsidRDefault="004F4224" w:rsidP="005D13A9">
      <w:pPr>
        <w:spacing w:after="240"/>
        <w:rPr>
          <w:rFonts w:ascii="AkzidenzGroteskBQ-Medium" w:hAnsi="AkzidenzGroteskBQ-Medium" w:cs="Arial"/>
          <w:sz w:val="20"/>
          <w:szCs w:val="20"/>
        </w:rPr>
      </w:pPr>
    </w:p>
    <w:p w:rsidR="004F4224" w:rsidRPr="004F4224" w:rsidRDefault="004F4224" w:rsidP="004F4224">
      <w:pPr>
        <w:rPr>
          <w:rFonts w:ascii="AkzidenzGroteskBQ-Bold" w:hAnsi="AkzidenzGroteskBQ-Bold"/>
          <w:bCs/>
          <w:sz w:val="21"/>
          <w:szCs w:val="21"/>
        </w:rPr>
      </w:pPr>
      <w:r w:rsidRPr="004F4224">
        <w:rPr>
          <w:rFonts w:ascii="AkzidenzGroteskBQ-Bold" w:hAnsi="AkzidenzGroteskBQ-Bold"/>
          <w:bCs/>
          <w:sz w:val="21"/>
          <w:szCs w:val="21"/>
        </w:rPr>
        <w:t xml:space="preserve">Datscha skapar möjlighet för fastighetsmarknadens aktörer att positionera sig i digitaliseringens framkant. Datscha </w:t>
      </w:r>
      <w:proofErr w:type="spellStart"/>
      <w:r w:rsidRPr="004F4224">
        <w:rPr>
          <w:rFonts w:ascii="AkzidenzGroteskBQ-Bold" w:hAnsi="AkzidenzGroteskBQ-Bold"/>
          <w:bCs/>
          <w:sz w:val="21"/>
          <w:szCs w:val="21"/>
        </w:rPr>
        <w:t>Insight</w:t>
      </w:r>
      <w:proofErr w:type="spellEnd"/>
      <w:r>
        <w:rPr>
          <w:rFonts w:ascii="AkzidenzGroteskBQ-Bold" w:hAnsi="AkzidenzGroteskBQ-Bold"/>
          <w:bCs/>
          <w:sz w:val="21"/>
          <w:szCs w:val="21"/>
        </w:rPr>
        <w:t>™</w:t>
      </w:r>
      <w:r w:rsidRPr="004F4224">
        <w:rPr>
          <w:rFonts w:ascii="AkzidenzGroteskBQ-Bold" w:hAnsi="AkzidenzGroteskBQ-Bold"/>
          <w:bCs/>
          <w:sz w:val="21"/>
          <w:szCs w:val="21"/>
        </w:rPr>
        <w:t xml:space="preserve"> gör det möjligt att ladda upp, dela, skapa, jämföra och visualisera egen data </w:t>
      </w:r>
      <w:r w:rsidR="00E55533">
        <w:rPr>
          <w:rFonts w:ascii="AkzidenzGroteskBQ-Bold" w:hAnsi="AkzidenzGroteskBQ-Bold"/>
          <w:bCs/>
          <w:sz w:val="21"/>
          <w:szCs w:val="21"/>
        </w:rPr>
        <w:t>tillsammans med</w:t>
      </w:r>
      <w:r w:rsidRPr="004F4224">
        <w:rPr>
          <w:rFonts w:ascii="AkzidenzGroteskBQ-Bold" w:hAnsi="AkzidenzGroteskBQ-Bold"/>
          <w:bCs/>
          <w:sz w:val="21"/>
          <w:szCs w:val="21"/>
        </w:rPr>
        <w:t xml:space="preserve"> officiell fastighetsdata i Datscha.</w:t>
      </w:r>
    </w:p>
    <w:p w:rsidR="004F4224" w:rsidRDefault="004F4224" w:rsidP="004F4224">
      <w:pPr>
        <w:rPr>
          <w:rFonts w:ascii="AkzidenzGroteskBQ-Reg" w:hAnsi="AkzidenzGroteskBQ-Reg"/>
          <w:sz w:val="21"/>
          <w:szCs w:val="21"/>
        </w:rPr>
      </w:pPr>
      <w:r w:rsidRPr="004F4224">
        <w:rPr>
          <w:rFonts w:ascii="AkzidenzGroteskBQ-Reg" w:hAnsi="AkzidenzGroteskBQ-Reg"/>
          <w:sz w:val="21"/>
          <w:szCs w:val="21"/>
        </w:rPr>
        <w:t xml:space="preserve">Många aktörer i fastighetsbranschen har idag stora och unika mängder värdefull information om fastighetsmarknaden. Det kan handla om insikter </w:t>
      </w:r>
      <w:r>
        <w:rPr>
          <w:rFonts w:ascii="AkzidenzGroteskBQ-Reg" w:hAnsi="AkzidenzGroteskBQ-Reg"/>
          <w:sz w:val="21"/>
          <w:szCs w:val="21"/>
        </w:rPr>
        <w:t xml:space="preserve">kring hyresgäster, hyror, </w:t>
      </w:r>
      <w:proofErr w:type="gramStart"/>
      <w:r w:rsidRPr="004F4224">
        <w:rPr>
          <w:rFonts w:ascii="AkzidenzGroteskBQ-Reg" w:hAnsi="AkzidenzGroteskBQ-Reg"/>
          <w:sz w:val="21"/>
          <w:szCs w:val="21"/>
        </w:rPr>
        <w:t>nyttjande</w:t>
      </w:r>
      <w:proofErr w:type="gramEnd"/>
      <w:r w:rsidRPr="004F4224">
        <w:rPr>
          <w:rFonts w:ascii="AkzidenzGroteskBQ-Reg" w:hAnsi="AkzidenzGroteskBQ-Reg"/>
          <w:sz w:val="21"/>
          <w:szCs w:val="21"/>
        </w:rPr>
        <w:t xml:space="preserve"> av lokaler, tra</w:t>
      </w:r>
      <w:r>
        <w:rPr>
          <w:rFonts w:ascii="AkzidenzGroteskBQ-Reg" w:hAnsi="AkzidenzGroteskBQ-Reg"/>
          <w:sz w:val="21"/>
          <w:szCs w:val="21"/>
        </w:rPr>
        <w:t xml:space="preserve">nsaktionsinformation, ytor och mer. </w:t>
      </w:r>
      <w:r w:rsidRPr="004F4224">
        <w:rPr>
          <w:rFonts w:ascii="AkzidenzGroteskBQ-Reg" w:hAnsi="AkzidenzGroteskBQ-Reg"/>
          <w:sz w:val="21"/>
          <w:szCs w:val="21"/>
        </w:rPr>
        <w:t>V</w:t>
      </w:r>
      <w:r>
        <w:rPr>
          <w:rFonts w:ascii="AkzidenzGroteskBQ-Reg" w:hAnsi="AkzidenzGroteskBQ-Reg"/>
          <w:sz w:val="21"/>
          <w:szCs w:val="21"/>
        </w:rPr>
        <w:t xml:space="preserve">äl använd är sådan information, </w:t>
      </w:r>
      <w:r w:rsidRPr="004F4224">
        <w:rPr>
          <w:rFonts w:ascii="AkzidenzGroteskBQ-Reg" w:hAnsi="AkzidenzGroteskBQ-Reg"/>
          <w:sz w:val="21"/>
          <w:szCs w:val="21"/>
        </w:rPr>
        <w:t>kunskaper och referenser viktiga konku</w:t>
      </w:r>
      <w:r w:rsidR="00E55533">
        <w:rPr>
          <w:rFonts w:ascii="AkzidenzGroteskBQ-Reg" w:hAnsi="AkzidenzGroteskBQ-Reg"/>
          <w:sz w:val="21"/>
          <w:szCs w:val="21"/>
        </w:rPr>
        <w:t>rrensfördelar för bolagen</w:t>
      </w:r>
      <w:r w:rsidRPr="004F4224">
        <w:rPr>
          <w:rFonts w:ascii="AkzidenzGroteskBQ-Reg" w:hAnsi="AkzidenzGroteskBQ-Reg"/>
          <w:sz w:val="21"/>
          <w:szCs w:val="21"/>
        </w:rPr>
        <w:t xml:space="preserve">. </w:t>
      </w:r>
    </w:p>
    <w:p w:rsidR="004F4224" w:rsidRPr="004F4224" w:rsidRDefault="004F4224" w:rsidP="004F4224">
      <w:pPr>
        <w:rPr>
          <w:rFonts w:ascii="AkzidenzGroteskBQ-Reg" w:hAnsi="AkzidenzGroteskBQ-Reg"/>
          <w:sz w:val="21"/>
          <w:szCs w:val="21"/>
        </w:rPr>
      </w:pPr>
      <w:r w:rsidRPr="004F4224">
        <w:rPr>
          <w:rFonts w:ascii="AkzidenzGroteskBQ-Reg" w:hAnsi="AkzidenzGroteskBQ-Reg"/>
          <w:sz w:val="21"/>
          <w:szCs w:val="21"/>
        </w:rPr>
        <w:t xml:space="preserve">Datscha </w:t>
      </w:r>
      <w:proofErr w:type="spellStart"/>
      <w:r w:rsidRPr="004F4224">
        <w:rPr>
          <w:rFonts w:ascii="AkzidenzGroteskBQ-Reg" w:hAnsi="AkzidenzGroteskBQ-Reg"/>
          <w:sz w:val="21"/>
          <w:szCs w:val="21"/>
        </w:rPr>
        <w:t>Insight</w:t>
      </w:r>
      <w:proofErr w:type="spellEnd"/>
      <w:r>
        <w:rPr>
          <w:rFonts w:ascii="AkzidenzGroteskBQ-Reg" w:hAnsi="AkzidenzGroteskBQ-Reg"/>
          <w:sz w:val="21"/>
          <w:szCs w:val="21"/>
        </w:rPr>
        <w:t>™</w:t>
      </w:r>
      <w:r w:rsidR="00E55533">
        <w:rPr>
          <w:rFonts w:ascii="AkzidenzGroteskBQ-Reg" w:hAnsi="AkzidenzGroteskBQ-Reg"/>
          <w:sz w:val="21"/>
          <w:szCs w:val="21"/>
        </w:rPr>
        <w:t xml:space="preserve"> innebär </w:t>
      </w:r>
      <w:r w:rsidRPr="004F4224">
        <w:rPr>
          <w:rFonts w:ascii="AkzidenzGroteskBQ-Reg" w:hAnsi="AkzidenzGroteskBQ-Reg"/>
          <w:sz w:val="21"/>
          <w:szCs w:val="21"/>
        </w:rPr>
        <w:t>ett enklare och effektivare sätt att kapitalisera på sina insikter om fastighetsmarknaden då användarna enkelt kan ladda upp, visualisera och dela data och insikter med andra användare.</w:t>
      </w:r>
    </w:p>
    <w:p w:rsidR="004F4224" w:rsidRPr="004F4224" w:rsidRDefault="004F4224" w:rsidP="004F4224">
      <w:pPr>
        <w:rPr>
          <w:rFonts w:ascii="AkzidenzGroteskBQ-Reg" w:hAnsi="AkzidenzGroteskBQ-Reg"/>
          <w:sz w:val="21"/>
          <w:szCs w:val="21"/>
        </w:rPr>
      </w:pPr>
      <w:r w:rsidRPr="004F4224">
        <w:rPr>
          <w:rFonts w:ascii="AkzidenzGroteskBQ-Reg" w:hAnsi="AkzidenzGroteskBQ-Reg"/>
          <w:sz w:val="21"/>
          <w:szCs w:val="21"/>
        </w:rPr>
        <w:t>Det är alltid användaren själv som avgör hur och vilka uppgifter som skall visualiseras och med vilka kollegor - och i vissa fall t.o.m. övergripande information och referenspunkter med externa kunder och partners.</w:t>
      </w:r>
    </w:p>
    <w:p w:rsidR="004F4224" w:rsidRDefault="004F4224" w:rsidP="004F4224">
      <w:pPr>
        <w:rPr>
          <w:rFonts w:ascii="AkzidenzGroteskBQ-Reg" w:hAnsi="AkzidenzGroteskBQ-Reg"/>
          <w:i/>
          <w:iCs/>
          <w:sz w:val="21"/>
          <w:szCs w:val="21"/>
        </w:rPr>
      </w:pPr>
      <w:r>
        <w:rPr>
          <w:rFonts w:ascii="AkzidenzGroteskBQ-Reg" w:hAnsi="AkzidenzGroteskBQ-Reg"/>
          <w:i/>
          <w:iCs/>
          <w:sz w:val="21"/>
          <w:szCs w:val="21"/>
        </w:rPr>
        <w:t>”</w:t>
      </w:r>
      <w:proofErr w:type="spellStart"/>
      <w:r>
        <w:rPr>
          <w:rFonts w:ascii="AkzidenzGroteskBQ-Reg" w:hAnsi="AkzidenzGroteskBQ-Reg"/>
          <w:i/>
          <w:iCs/>
          <w:sz w:val="21"/>
          <w:szCs w:val="21"/>
        </w:rPr>
        <w:t>Datsha</w:t>
      </w:r>
      <w:proofErr w:type="spellEnd"/>
      <w:r>
        <w:rPr>
          <w:rFonts w:ascii="AkzidenzGroteskBQ-Reg" w:hAnsi="AkzidenzGroteskBQ-Reg"/>
          <w:i/>
          <w:iCs/>
          <w:sz w:val="21"/>
          <w:szCs w:val="21"/>
        </w:rPr>
        <w:t xml:space="preserve"> </w:t>
      </w:r>
      <w:proofErr w:type="spellStart"/>
      <w:r>
        <w:rPr>
          <w:rFonts w:ascii="AkzidenzGroteskBQ-Reg" w:hAnsi="AkzidenzGroteskBQ-Reg"/>
          <w:i/>
          <w:iCs/>
          <w:sz w:val="21"/>
          <w:szCs w:val="21"/>
        </w:rPr>
        <w:t>Insight</w:t>
      </w:r>
      <w:proofErr w:type="spellEnd"/>
      <w:r>
        <w:rPr>
          <w:rFonts w:ascii="AkzidenzGroteskBQ-Reg" w:hAnsi="AkzidenzGroteskBQ-Reg"/>
          <w:i/>
          <w:iCs/>
          <w:sz w:val="21"/>
          <w:szCs w:val="21"/>
        </w:rPr>
        <w:t xml:space="preserve">™ </w:t>
      </w:r>
      <w:r w:rsidRPr="004F4224">
        <w:rPr>
          <w:rFonts w:ascii="AkzidenzGroteskBQ-Reg" w:hAnsi="AkzidenzGroteskBQ-Reg"/>
          <w:i/>
          <w:iCs/>
          <w:sz w:val="21"/>
          <w:szCs w:val="21"/>
        </w:rPr>
        <w:t>kommer hjälpa våra kunder att dra nytta av den digitala utvecklingen och bidra till ökad konkurrensfördel för kunskapsintensiva fastighetsaktörer. Kunder kan nu enkelt visa upp och marknadsföra referenser och nyckeltal samt effektivisera internt kunskapsutbyte - och i vissa f</w:t>
      </w:r>
      <w:r w:rsidR="00E55533">
        <w:rPr>
          <w:rFonts w:ascii="AkzidenzGroteskBQ-Reg" w:hAnsi="AkzidenzGroteskBQ-Reg"/>
          <w:i/>
          <w:iCs/>
          <w:sz w:val="21"/>
          <w:szCs w:val="21"/>
        </w:rPr>
        <w:t>all även externt</w:t>
      </w:r>
      <w:r w:rsidRPr="004F4224">
        <w:rPr>
          <w:rFonts w:ascii="AkzidenzGroteskBQ-Reg" w:hAnsi="AkzidenzGroteskBQ-Reg"/>
          <w:i/>
          <w:iCs/>
          <w:sz w:val="21"/>
          <w:szCs w:val="21"/>
        </w:rPr>
        <w:t>. Det är enkelt att komma igång och användaren har full ägande och kontroll till all information de laddar upp”, säger Jacob Philipson, VD på Datscha.</w:t>
      </w:r>
      <w:r>
        <w:rPr>
          <w:rFonts w:ascii="AkzidenzGroteskBQ-Reg" w:hAnsi="AkzidenzGroteskBQ-Reg"/>
          <w:i/>
          <w:iCs/>
          <w:sz w:val="21"/>
          <w:szCs w:val="21"/>
        </w:rPr>
        <w:t>”</w:t>
      </w:r>
    </w:p>
    <w:p w:rsidR="00A845BA" w:rsidRPr="004F4224" w:rsidRDefault="00A845BA" w:rsidP="004F4224">
      <w:pPr>
        <w:rPr>
          <w:rFonts w:ascii="AkzidenzGroteskBQ-Reg" w:hAnsi="AkzidenzGroteskBQ-Reg"/>
          <w:i/>
          <w:iCs/>
          <w:sz w:val="21"/>
          <w:szCs w:val="21"/>
        </w:rPr>
      </w:pPr>
      <w:r w:rsidRPr="00A845BA">
        <w:rPr>
          <w:rFonts w:ascii="AkzidenzGroteskBQ-Reg" w:hAnsi="AkzidenzGroteskBQ-Reg"/>
          <w:i/>
          <w:iCs/>
          <w:sz w:val="21"/>
          <w:szCs w:val="21"/>
        </w:rPr>
        <w:t>”Som en ledande rådgivningsaktör på fastighetsmarknaden har vi stora mängder information och insikter om fastighetsmarknaden och vi ser med tillförsikt hur en digitalisering av våra kunskaper kan gynna både oss och våra kunder</w:t>
      </w:r>
      <w:r w:rsidR="00E55533">
        <w:rPr>
          <w:rFonts w:ascii="AkzidenzGroteskBQ-Reg" w:hAnsi="AkzidenzGroteskBQ-Reg"/>
          <w:i/>
          <w:iCs/>
          <w:sz w:val="21"/>
          <w:szCs w:val="21"/>
        </w:rPr>
        <w:t xml:space="preserve">. Vi har följt </w:t>
      </w:r>
      <w:r w:rsidRPr="00A845BA">
        <w:rPr>
          <w:rFonts w:ascii="AkzidenzGroteskBQ-Reg" w:hAnsi="AkzidenzGroteskBQ-Reg"/>
          <w:i/>
          <w:iCs/>
          <w:sz w:val="21"/>
          <w:szCs w:val="21"/>
        </w:rPr>
        <w:t>utveckling</w:t>
      </w:r>
      <w:r w:rsidR="00E55533">
        <w:rPr>
          <w:rFonts w:ascii="AkzidenzGroteskBQ-Reg" w:hAnsi="AkzidenzGroteskBQ-Reg"/>
          <w:i/>
          <w:iCs/>
          <w:sz w:val="21"/>
          <w:szCs w:val="21"/>
        </w:rPr>
        <w:t>en</w:t>
      </w:r>
      <w:r w:rsidRPr="00A845BA">
        <w:rPr>
          <w:rFonts w:ascii="AkzidenzGroteskBQ-Reg" w:hAnsi="AkzidenzGroteskBQ-Reg"/>
          <w:i/>
          <w:iCs/>
          <w:sz w:val="21"/>
          <w:szCs w:val="21"/>
        </w:rPr>
        <w:t xml:space="preserve"> av Datscha </w:t>
      </w:r>
      <w:proofErr w:type="spellStart"/>
      <w:r w:rsidRPr="00A845BA">
        <w:rPr>
          <w:rFonts w:ascii="AkzidenzGroteskBQ-Reg" w:hAnsi="AkzidenzGroteskBQ-Reg"/>
          <w:i/>
          <w:iCs/>
          <w:sz w:val="21"/>
          <w:szCs w:val="21"/>
        </w:rPr>
        <w:t>Insight</w:t>
      </w:r>
      <w:proofErr w:type="spellEnd"/>
      <w:r>
        <w:rPr>
          <w:rFonts w:ascii="AkzidenzGroteskBQ-Reg" w:hAnsi="AkzidenzGroteskBQ-Reg"/>
          <w:i/>
          <w:iCs/>
          <w:sz w:val="21"/>
          <w:szCs w:val="21"/>
        </w:rPr>
        <w:t>™</w:t>
      </w:r>
      <w:r w:rsidRPr="00A845BA">
        <w:rPr>
          <w:rFonts w:ascii="AkzidenzGroteskBQ-Reg" w:hAnsi="AkzidenzGroteskBQ-Reg"/>
          <w:i/>
          <w:iCs/>
          <w:sz w:val="21"/>
          <w:szCs w:val="21"/>
        </w:rPr>
        <w:t xml:space="preserve"> och ser fram emot att</w:t>
      </w:r>
      <w:r w:rsidR="00E55533">
        <w:rPr>
          <w:rFonts w:ascii="AkzidenzGroteskBQ-Reg" w:hAnsi="AkzidenzGroteskBQ-Reg"/>
          <w:i/>
          <w:iCs/>
          <w:sz w:val="21"/>
          <w:szCs w:val="21"/>
        </w:rPr>
        <w:t xml:space="preserve"> nu</w:t>
      </w:r>
      <w:r w:rsidRPr="00A845BA">
        <w:rPr>
          <w:rFonts w:ascii="AkzidenzGroteskBQ-Reg" w:hAnsi="AkzidenzGroteskBQ-Reg"/>
          <w:i/>
          <w:iCs/>
          <w:sz w:val="21"/>
          <w:szCs w:val="21"/>
        </w:rPr>
        <w:t xml:space="preserve"> få använda</w:t>
      </w:r>
      <w:r w:rsidR="00E55533">
        <w:rPr>
          <w:rFonts w:ascii="AkzidenzGroteskBQ-Reg" w:hAnsi="AkzidenzGroteskBQ-Reg"/>
          <w:i/>
          <w:iCs/>
          <w:sz w:val="21"/>
          <w:szCs w:val="21"/>
        </w:rPr>
        <w:t xml:space="preserve"> det i praktiken </w:t>
      </w:r>
      <w:r w:rsidRPr="00A845BA">
        <w:rPr>
          <w:rFonts w:ascii="AkzidenzGroteskBQ-Reg" w:hAnsi="AkzidenzGroteskBQ-Reg"/>
          <w:i/>
          <w:iCs/>
          <w:sz w:val="21"/>
          <w:szCs w:val="21"/>
        </w:rPr>
        <w:t>säger Dani</w:t>
      </w:r>
      <w:r>
        <w:rPr>
          <w:rFonts w:ascii="AkzidenzGroteskBQ-Reg" w:hAnsi="AkzidenzGroteskBQ-Reg"/>
          <w:i/>
          <w:iCs/>
          <w:sz w:val="21"/>
          <w:szCs w:val="21"/>
        </w:rPr>
        <w:t xml:space="preserve">el </w:t>
      </w:r>
      <w:proofErr w:type="spellStart"/>
      <w:r>
        <w:rPr>
          <w:rFonts w:ascii="AkzidenzGroteskBQ-Reg" w:hAnsi="AkzidenzGroteskBQ-Reg"/>
          <w:i/>
          <w:iCs/>
          <w:sz w:val="21"/>
          <w:szCs w:val="21"/>
        </w:rPr>
        <w:t>Gorosch</w:t>
      </w:r>
      <w:proofErr w:type="spellEnd"/>
      <w:r>
        <w:rPr>
          <w:rFonts w:ascii="AkzidenzGroteskBQ-Reg" w:hAnsi="AkzidenzGroteskBQ-Reg"/>
          <w:i/>
          <w:iCs/>
          <w:sz w:val="21"/>
          <w:szCs w:val="21"/>
        </w:rPr>
        <w:t>, VD på JLL Sverige”</w:t>
      </w:r>
    </w:p>
    <w:p w:rsidR="00AD4056" w:rsidRPr="00F026FB" w:rsidRDefault="00C153A0" w:rsidP="00C153A0">
      <w:pPr>
        <w:spacing w:line="240" w:lineRule="auto"/>
        <w:rPr>
          <w:rFonts w:ascii="AkzidenzGroteskBQ-Reg" w:hAnsi="AkzidenzGroteskBQ-Reg" w:cs="Arial"/>
          <w:sz w:val="21"/>
          <w:szCs w:val="21"/>
        </w:rPr>
      </w:pPr>
      <w:r>
        <w:rPr>
          <w:rFonts w:ascii="AkzidenzGroteskBQ-Reg" w:hAnsi="AkzidenzGroteskBQ-Reg" w:cs="Arial"/>
          <w:i/>
          <w:sz w:val="21"/>
          <w:szCs w:val="21"/>
        </w:rPr>
        <w:br w:type="page"/>
      </w:r>
    </w:p>
    <w:p w:rsidR="00F707E6" w:rsidRPr="00C153A0" w:rsidRDefault="00F707E6" w:rsidP="00F707E6">
      <w:pPr>
        <w:spacing w:line="240" w:lineRule="auto"/>
        <w:rPr>
          <w:rFonts w:ascii="AkzidenzGroteskBQ-Reg" w:hAnsi="AkzidenzGroteskBQ-Reg" w:cs="Arial"/>
          <w:sz w:val="21"/>
          <w:szCs w:val="21"/>
        </w:rPr>
      </w:pPr>
      <w:r w:rsidRPr="00A60BB1">
        <w:rPr>
          <w:rFonts w:ascii="AgencyFB-BoldWide" w:hAnsi="AgencyFB-BoldWide" w:cs="Arial"/>
          <w:noProof/>
          <w:sz w:val="21"/>
          <w:szCs w:val="21"/>
          <w:lang w:val="en-GB" w:eastAsia="en-GB"/>
        </w:rPr>
        <w:lastRenderedPageBreak/>
        <w:drawing>
          <wp:inline distT="0" distB="0" distL="0" distR="0" wp14:anchorId="4C9A2814" wp14:editId="510067D9">
            <wp:extent cx="1945005" cy="487680"/>
            <wp:effectExtent l="0" t="0" r="0" b="762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487680"/>
                    </a:xfrm>
                    <a:prstGeom prst="rect">
                      <a:avLst/>
                    </a:prstGeom>
                    <a:noFill/>
                  </pic:spPr>
                </pic:pic>
              </a:graphicData>
            </a:graphic>
          </wp:inline>
        </w:drawing>
      </w:r>
    </w:p>
    <w:p w:rsidR="00C153A0" w:rsidRDefault="00C153A0" w:rsidP="00D9002B">
      <w:pPr>
        <w:spacing w:after="120"/>
        <w:rPr>
          <w:rFonts w:ascii="AkzidenzGroteskBQ-Bold" w:hAnsi="AkzidenzGroteskBQ-Bold" w:cs="Arial"/>
          <w:bCs/>
          <w:sz w:val="21"/>
          <w:szCs w:val="21"/>
        </w:rPr>
      </w:pPr>
    </w:p>
    <w:p w:rsidR="004E1D74" w:rsidRDefault="004E1D74" w:rsidP="00D9002B">
      <w:pPr>
        <w:spacing w:after="120"/>
        <w:rPr>
          <w:rFonts w:ascii="AkzidenzGroteskBQ-Bold" w:hAnsi="AkzidenzGroteskBQ-Bold" w:cs="Arial"/>
          <w:bCs/>
          <w:sz w:val="21"/>
          <w:szCs w:val="21"/>
        </w:rPr>
      </w:pPr>
    </w:p>
    <w:p w:rsidR="00C153A0" w:rsidRDefault="00C153A0" w:rsidP="00D9002B">
      <w:pPr>
        <w:spacing w:after="120"/>
        <w:rPr>
          <w:rFonts w:ascii="AkzidenzGroteskBQ-Bold" w:hAnsi="AkzidenzGroteskBQ-Bold" w:cs="Arial"/>
          <w:bCs/>
          <w:sz w:val="21"/>
          <w:szCs w:val="21"/>
        </w:rPr>
      </w:pPr>
    </w:p>
    <w:p w:rsidR="004F4224" w:rsidRDefault="004F4224" w:rsidP="00D9002B">
      <w:pPr>
        <w:spacing w:after="120"/>
        <w:rPr>
          <w:rFonts w:ascii="AkzidenzGroteskBQ-Bold" w:hAnsi="AkzidenzGroteskBQ-Bold" w:cs="Arial"/>
          <w:bCs/>
          <w:sz w:val="21"/>
          <w:szCs w:val="21"/>
        </w:rPr>
      </w:pPr>
    </w:p>
    <w:p w:rsidR="00C153A0" w:rsidRDefault="00C153A0" w:rsidP="00D9002B">
      <w:pPr>
        <w:spacing w:after="120"/>
        <w:rPr>
          <w:rFonts w:ascii="AkzidenzGroteskBQ-Bold" w:hAnsi="AkzidenzGroteskBQ-Bold" w:cs="Arial"/>
          <w:bCs/>
          <w:sz w:val="21"/>
          <w:szCs w:val="21"/>
        </w:rPr>
      </w:pPr>
    </w:p>
    <w:p w:rsidR="004E1D74" w:rsidRDefault="004E1D74" w:rsidP="00D9002B">
      <w:pPr>
        <w:spacing w:after="120"/>
        <w:rPr>
          <w:rFonts w:ascii="AkzidenzGroteskBQ-Bold" w:hAnsi="AkzidenzGroteskBQ-Bold" w:cs="Arial"/>
          <w:bCs/>
          <w:sz w:val="21"/>
          <w:szCs w:val="21"/>
        </w:rPr>
      </w:pPr>
    </w:p>
    <w:p w:rsidR="004E1D74" w:rsidRDefault="004E1D74" w:rsidP="00D9002B">
      <w:pPr>
        <w:spacing w:after="120"/>
        <w:rPr>
          <w:rFonts w:ascii="AkzidenzGroteskBQ-Bold" w:hAnsi="AkzidenzGroteskBQ-Bold" w:cs="Arial"/>
          <w:bCs/>
          <w:sz w:val="21"/>
          <w:szCs w:val="21"/>
        </w:rPr>
      </w:pPr>
    </w:p>
    <w:p w:rsidR="00C153A0" w:rsidRDefault="00C153A0" w:rsidP="00D9002B">
      <w:pPr>
        <w:spacing w:after="120"/>
        <w:rPr>
          <w:rFonts w:ascii="AkzidenzGroteskBQ-Bold" w:hAnsi="AkzidenzGroteskBQ-Bold" w:cs="Arial"/>
          <w:bCs/>
          <w:sz w:val="21"/>
          <w:szCs w:val="21"/>
        </w:rPr>
      </w:pPr>
    </w:p>
    <w:p w:rsidR="00C153A0" w:rsidRDefault="00C153A0" w:rsidP="00D9002B">
      <w:pPr>
        <w:spacing w:after="120"/>
        <w:rPr>
          <w:rFonts w:ascii="AkzidenzGroteskBQ-Bold" w:hAnsi="AkzidenzGroteskBQ-Bold" w:cs="Arial"/>
          <w:bCs/>
          <w:sz w:val="21"/>
          <w:szCs w:val="21"/>
        </w:rPr>
      </w:pPr>
    </w:p>
    <w:p w:rsidR="002411B8" w:rsidRPr="00A60BB1" w:rsidRDefault="002411B8" w:rsidP="00D9002B">
      <w:pPr>
        <w:spacing w:after="120"/>
        <w:rPr>
          <w:rFonts w:ascii="AkzidenzGroteskBQ-Bold" w:hAnsi="AkzidenzGroteskBQ-Bold" w:cs="Arial"/>
          <w:bCs/>
          <w:sz w:val="21"/>
          <w:szCs w:val="21"/>
        </w:rPr>
      </w:pPr>
      <w:r w:rsidRPr="00A60BB1">
        <w:rPr>
          <w:rFonts w:ascii="AkzidenzGroteskBQ-Bold" w:hAnsi="AkzidenzGroteskBQ-Bold" w:cs="Arial"/>
          <w:bCs/>
          <w:sz w:val="21"/>
          <w:szCs w:val="21"/>
        </w:rPr>
        <w:t>Med Datscha </w:t>
      </w:r>
      <w:proofErr w:type="spellStart"/>
      <w:r w:rsidRPr="00A60BB1">
        <w:rPr>
          <w:rFonts w:ascii="AkzidenzGroteskBQ-Bold" w:hAnsi="AkzidenzGroteskBQ-Bold" w:cs="Arial"/>
          <w:bCs/>
          <w:sz w:val="21"/>
          <w:szCs w:val="21"/>
        </w:rPr>
        <w:t>Insight</w:t>
      </w:r>
      <w:proofErr w:type="spellEnd"/>
      <w:r w:rsidRPr="00A60BB1">
        <w:rPr>
          <w:rFonts w:ascii="AkzidenzGroteskBQ-Bold" w:hAnsi="AkzidenzGroteskBQ-Bold" w:cs="Arial"/>
          <w:bCs/>
          <w:sz w:val="21"/>
          <w:szCs w:val="21"/>
        </w:rPr>
        <w:t>™</w:t>
      </w:r>
    </w:p>
    <w:p w:rsidR="002411B8" w:rsidRPr="00A60BB1" w:rsidRDefault="000B065C" w:rsidP="00D9002B">
      <w:pPr>
        <w:numPr>
          <w:ilvl w:val="0"/>
          <w:numId w:val="6"/>
        </w:numPr>
        <w:spacing w:after="120"/>
        <w:ind w:left="714" w:hanging="357"/>
        <w:rPr>
          <w:rFonts w:ascii="AkzidenzGroteskBQ-Reg" w:hAnsi="AkzidenzGroteskBQ-Reg" w:cs="Arial"/>
          <w:sz w:val="21"/>
          <w:szCs w:val="21"/>
        </w:rPr>
      </w:pPr>
      <w:r w:rsidRPr="00A60BB1">
        <w:rPr>
          <w:rFonts w:ascii="AkzidenzGroteskBQ-Reg" w:hAnsi="AkzidenzGroteskBQ-Reg" w:cs="Arial"/>
          <w:sz w:val="21"/>
          <w:szCs w:val="21"/>
        </w:rPr>
        <w:t xml:space="preserve">Ökar värdet av </w:t>
      </w:r>
      <w:r w:rsidR="00D74950" w:rsidRPr="00A60BB1">
        <w:rPr>
          <w:rFonts w:ascii="AkzidenzGroteskBQ-Reg" w:hAnsi="AkzidenzGroteskBQ-Reg" w:cs="Arial"/>
          <w:sz w:val="21"/>
          <w:szCs w:val="21"/>
        </w:rPr>
        <w:t>kundernas egen</w:t>
      </w:r>
      <w:r w:rsidRPr="00A60BB1">
        <w:rPr>
          <w:rFonts w:ascii="AkzidenzGroteskBQ-Reg" w:hAnsi="AkzidenzGroteskBQ-Reg" w:cs="Arial"/>
          <w:sz w:val="21"/>
          <w:szCs w:val="21"/>
        </w:rPr>
        <w:t xml:space="preserve"> information</w:t>
      </w:r>
      <w:r w:rsidR="007E0E6E" w:rsidRPr="00A60BB1">
        <w:rPr>
          <w:rFonts w:ascii="AkzidenzGroteskBQ-Reg" w:hAnsi="AkzidenzGroteskBQ-Reg" w:cs="Arial"/>
          <w:sz w:val="21"/>
          <w:szCs w:val="21"/>
        </w:rPr>
        <w:t xml:space="preserve"> som t ex transaktioner, förvaltning och värderingar</w:t>
      </w:r>
      <w:r w:rsidRPr="00A60BB1">
        <w:rPr>
          <w:rFonts w:ascii="AkzidenzGroteskBQ-Reg" w:hAnsi="AkzidenzGroteskBQ-Reg" w:cs="Arial"/>
          <w:sz w:val="21"/>
          <w:szCs w:val="21"/>
        </w:rPr>
        <w:t xml:space="preserve"> eftersom de enkelt kan</w:t>
      </w:r>
      <w:r w:rsidR="002411B8" w:rsidRPr="00A60BB1">
        <w:rPr>
          <w:rFonts w:ascii="AkzidenzGroteskBQ-Reg" w:hAnsi="AkzidenzGroteskBQ-Reg" w:cs="Arial"/>
          <w:sz w:val="21"/>
          <w:szCs w:val="21"/>
        </w:rPr>
        <w:t xml:space="preserve"> kombinera den med officiell Datscha data</w:t>
      </w:r>
    </w:p>
    <w:p w:rsidR="002411B8" w:rsidRPr="00A60BB1" w:rsidRDefault="007E0E6E" w:rsidP="00D9002B">
      <w:pPr>
        <w:numPr>
          <w:ilvl w:val="0"/>
          <w:numId w:val="6"/>
        </w:numPr>
        <w:spacing w:after="120"/>
        <w:ind w:left="714" w:hanging="357"/>
        <w:rPr>
          <w:rFonts w:ascii="AkzidenzGroteskBQ-Reg" w:hAnsi="AkzidenzGroteskBQ-Reg" w:cs="Arial"/>
          <w:sz w:val="21"/>
          <w:szCs w:val="21"/>
        </w:rPr>
      </w:pPr>
      <w:r w:rsidRPr="00A60BB1">
        <w:rPr>
          <w:rFonts w:ascii="AkzidenzGroteskBQ-Reg" w:hAnsi="AkzidenzGroteskBQ-Reg" w:cs="Arial"/>
          <w:sz w:val="21"/>
          <w:szCs w:val="21"/>
        </w:rPr>
        <w:t xml:space="preserve">Ökar kundernas </w:t>
      </w:r>
      <w:r w:rsidR="002411B8" w:rsidRPr="00A60BB1">
        <w:rPr>
          <w:rFonts w:ascii="AkzidenzGroteskBQ-Reg" w:hAnsi="AkzidenzGroteskBQ-Reg" w:cs="Arial"/>
          <w:sz w:val="21"/>
          <w:szCs w:val="21"/>
        </w:rPr>
        <w:t>konkurrenskraft genom att</w:t>
      </w:r>
      <w:r w:rsidRPr="00A60BB1">
        <w:rPr>
          <w:rFonts w:ascii="AkzidenzGroteskBQ-Reg" w:hAnsi="AkzidenzGroteskBQ-Reg" w:cs="Arial"/>
          <w:sz w:val="21"/>
          <w:szCs w:val="21"/>
        </w:rPr>
        <w:t xml:space="preserve"> de kan </w:t>
      </w:r>
      <w:r w:rsidR="002411B8" w:rsidRPr="00A60BB1">
        <w:rPr>
          <w:rFonts w:ascii="AkzidenzGroteskBQ-Reg" w:hAnsi="AkzidenzGroteskBQ-Reg" w:cs="Arial"/>
          <w:sz w:val="21"/>
          <w:szCs w:val="21"/>
        </w:rPr>
        <w:t xml:space="preserve">skapa </w:t>
      </w:r>
      <w:r w:rsidRPr="00A60BB1">
        <w:rPr>
          <w:rFonts w:ascii="AkzidenzGroteskBQ-Reg" w:hAnsi="AkzidenzGroteskBQ-Reg" w:cs="Arial"/>
          <w:sz w:val="21"/>
          <w:szCs w:val="21"/>
        </w:rPr>
        <w:t xml:space="preserve">nya </w:t>
      </w:r>
      <w:r w:rsidR="002411B8" w:rsidRPr="00A60BB1">
        <w:rPr>
          <w:rFonts w:ascii="AkzidenzGroteskBQ-Reg" w:hAnsi="AkzidenzGroteskBQ-Reg" w:cs="Arial"/>
          <w:sz w:val="21"/>
          <w:szCs w:val="21"/>
        </w:rPr>
        <w:t>och jämföra nyckeltal på en övergripande nivå </w:t>
      </w:r>
    </w:p>
    <w:p w:rsidR="002411B8" w:rsidRDefault="002411B8" w:rsidP="00D9002B">
      <w:pPr>
        <w:numPr>
          <w:ilvl w:val="0"/>
          <w:numId w:val="6"/>
        </w:numPr>
        <w:spacing w:after="120"/>
        <w:ind w:left="714" w:hanging="357"/>
        <w:rPr>
          <w:rFonts w:ascii="AkzidenzGroteskBQ-Reg" w:hAnsi="AkzidenzGroteskBQ-Reg" w:cs="Arial"/>
          <w:sz w:val="21"/>
          <w:szCs w:val="21"/>
        </w:rPr>
      </w:pPr>
      <w:r w:rsidRPr="00A60BB1">
        <w:rPr>
          <w:rFonts w:ascii="AkzidenzGroteskBQ-Reg" w:hAnsi="AkzidenzGroteskBQ-Reg" w:cs="Arial"/>
          <w:sz w:val="21"/>
          <w:szCs w:val="21"/>
        </w:rPr>
        <w:t xml:space="preserve">Ökar </w:t>
      </w:r>
      <w:r w:rsidR="007E0E6E" w:rsidRPr="00A60BB1">
        <w:rPr>
          <w:rFonts w:ascii="AkzidenzGroteskBQ-Reg" w:hAnsi="AkzidenzGroteskBQ-Reg" w:cs="Arial"/>
          <w:sz w:val="21"/>
          <w:szCs w:val="21"/>
        </w:rPr>
        <w:t>kundernas</w:t>
      </w:r>
      <w:r w:rsidRPr="00A60BB1">
        <w:rPr>
          <w:rFonts w:ascii="AkzidenzGroteskBQ-Reg" w:hAnsi="AkzidenzGroteskBQ-Reg" w:cs="Arial"/>
          <w:sz w:val="21"/>
          <w:szCs w:val="21"/>
        </w:rPr>
        <w:t xml:space="preserve"> effektivitet genom att </w:t>
      </w:r>
      <w:r w:rsidR="007E0E6E" w:rsidRPr="00A60BB1">
        <w:rPr>
          <w:rFonts w:ascii="AkzidenzGroteskBQ-Reg" w:hAnsi="AkzidenzGroteskBQ-Reg" w:cs="Arial"/>
          <w:sz w:val="21"/>
          <w:szCs w:val="21"/>
        </w:rPr>
        <w:t xml:space="preserve">de </w:t>
      </w:r>
      <w:r w:rsidRPr="00A60BB1">
        <w:rPr>
          <w:rFonts w:ascii="AkzidenzGroteskBQ-Reg" w:hAnsi="AkzidenzGroteskBQ-Reg" w:cs="Arial"/>
          <w:sz w:val="21"/>
          <w:szCs w:val="21"/>
        </w:rPr>
        <w:t xml:space="preserve">snabbt, enkelt och på ett kontrollerat sätt </w:t>
      </w:r>
      <w:r w:rsidR="007E0E6E" w:rsidRPr="00A60BB1">
        <w:rPr>
          <w:rFonts w:ascii="AkzidenzGroteskBQ-Reg" w:hAnsi="AkzidenzGroteskBQ-Reg" w:cs="Arial"/>
          <w:sz w:val="21"/>
          <w:szCs w:val="21"/>
        </w:rPr>
        <w:t>kommer att kunna</w:t>
      </w:r>
      <w:r w:rsidRPr="00A60BB1">
        <w:rPr>
          <w:rFonts w:ascii="AkzidenzGroteskBQ-Reg" w:hAnsi="AkzidenzGroteskBQ-Reg" w:cs="Arial"/>
          <w:sz w:val="21"/>
          <w:szCs w:val="21"/>
        </w:rPr>
        <w:t xml:space="preserve"> del</w:t>
      </w:r>
      <w:r w:rsidR="007E0E6E" w:rsidRPr="00A60BB1">
        <w:rPr>
          <w:rFonts w:ascii="AkzidenzGroteskBQ-Reg" w:hAnsi="AkzidenzGroteskBQ-Reg" w:cs="Arial"/>
          <w:sz w:val="21"/>
          <w:szCs w:val="21"/>
        </w:rPr>
        <w:t>a information internt och, om de</w:t>
      </w:r>
      <w:r w:rsidRPr="00A60BB1">
        <w:rPr>
          <w:rFonts w:ascii="AkzidenzGroteskBQ-Reg" w:hAnsi="AkzidenzGroteskBQ-Reg" w:cs="Arial"/>
          <w:sz w:val="21"/>
          <w:szCs w:val="21"/>
        </w:rPr>
        <w:t xml:space="preserve"> vill, externt</w:t>
      </w:r>
    </w:p>
    <w:p w:rsidR="00D90761" w:rsidRPr="00D90761" w:rsidRDefault="00D90761" w:rsidP="00D90761">
      <w:pPr>
        <w:numPr>
          <w:ilvl w:val="0"/>
          <w:numId w:val="6"/>
        </w:numPr>
        <w:spacing w:after="120"/>
        <w:ind w:left="714" w:hanging="357"/>
        <w:rPr>
          <w:rFonts w:ascii="AkzidenzGroteskBQ-Reg" w:hAnsi="AkzidenzGroteskBQ-Reg" w:cs="Arial"/>
          <w:sz w:val="21"/>
          <w:szCs w:val="21"/>
        </w:rPr>
      </w:pPr>
      <w:r>
        <w:rPr>
          <w:rFonts w:ascii="AkzidenzGroteskBQ-Reg" w:hAnsi="AkzidenzGroteskBQ-Reg" w:cs="Arial"/>
          <w:sz w:val="21"/>
          <w:szCs w:val="21"/>
        </w:rPr>
        <w:t>Kan kunderna minska risken för mänskliga fel och felaktigheter</w:t>
      </w:r>
    </w:p>
    <w:p w:rsidR="002411B8" w:rsidRPr="00A60BB1" w:rsidRDefault="007E0E6E" w:rsidP="00D9002B">
      <w:pPr>
        <w:numPr>
          <w:ilvl w:val="0"/>
          <w:numId w:val="6"/>
        </w:numPr>
        <w:spacing w:after="120"/>
        <w:rPr>
          <w:rFonts w:ascii="AkzidenzGroteskBQ-Reg" w:hAnsi="AkzidenzGroteskBQ-Reg" w:cs="Arial"/>
          <w:sz w:val="21"/>
          <w:szCs w:val="21"/>
        </w:rPr>
      </w:pPr>
      <w:r w:rsidRPr="00A60BB1">
        <w:rPr>
          <w:rFonts w:ascii="AkzidenzGroteskBQ-Reg" w:hAnsi="AkzidenzGroteskBQ-Reg" w:cs="Arial"/>
          <w:sz w:val="21"/>
          <w:szCs w:val="21"/>
        </w:rPr>
        <w:t xml:space="preserve">Kan kunderna tydliggöra sin </w:t>
      </w:r>
      <w:r w:rsidR="002411B8" w:rsidRPr="00A60BB1">
        <w:rPr>
          <w:rFonts w:ascii="AkzidenzGroteskBQ-Reg" w:hAnsi="AkzidenzGroteskBQ-Reg" w:cs="Arial"/>
          <w:sz w:val="21"/>
          <w:szCs w:val="21"/>
        </w:rPr>
        <w:t>kompetens och erfarenhet genom att</w:t>
      </w:r>
      <w:r w:rsidRPr="00A60BB1">
        <w:rPr>
          <w:rFonts w:ascii="AkzidenzGroteskBQ-Reg" w:hAnsi="AkzidenzGroteskBQ-Reg" w:cs="Arial"/>
          <w:sz w:val="21"/>
          <w:szCs w:val="21"/>
        </w:rPr>
        <w:t xml:space="preserve"> de enkelt kan </w:t>
      </w:r>
      <w:r w:rsidR="002411B8" w:rsidRPr="00A60BB1">
        <w:rPr>
          <w:rFonts w:ascii="AkzidenzGroteskBQ-Reg" w:hAnsi="AkzidenzGroteskBQ-Reg" w:cs="Arial"/>
          <w:sz w:val="21"/>
          <w:szCs w:val="21"/>
        </w:rPr>
        <w:t>visualisera den på karta eller i grafer och diagram</w:t>
      </w:r>
    </w:p>
    <w:p w:rsidR="00D9002B" w:rsidRPr="00A60BB1" w:rsidRDefault="00D9002B" w:rsidP="00D9002B">
      <w:pPr>
        <w:pStyle w:val="Default"/>
        <w:spacing w:after="120"/>
        <w:rPr>
          <w:rFonts w:ascii="AkzidenzGroteskBQ-Reg" w:hAnsi="AkzidenzGroteskBQ-Reg"/>
          <w:color w:val="auto"/>
          <w:sz w:val="21"/>
          <w:szCs w:val="21"/>
        </w:rPr>
      </w:pPr>
    </w:p>
    <w:p w:rsidR="00D9002B" w:rsidRPr="00A60BB1" w:rsidRDefault="00C92FBC" w:rsidP="00D9002B">
      <w:pPr>
        <w:pStyle w:val="Default"/>
        <w:spacing w:after="120"/>
        <w:rPr>
          <w:rFonts w:ascii="AkzidenzGroteskBQ-Bold" w:hAnsi="AkzidenzGroteskBQ-Bold"/>
          <w:color w:val="auto"/>
          <w:sz w:val="21"/>
          <w:szCs w:val="21"/>
        </w:rPr>
      </w:pPr>
      <w:r w:rsidRPr="00A60BB1">
        <w:rPr>
          <w:rFonts w:ascii="AkzidenzGroteskBQ-Bold" w:hAnsi="AkzidenzGroteskBQ-Bold"/>
          <w:color w:val="auto"/>
          <w:sz w:val="21"/>
          <w:szCs w:val="21"/>
        </w:rPr>
        <w:t>För mer</w:t>
      </w:r>
      <w:r w:rsidR="002A633C" w:rsidRPr="00A60BB1">
        <w:rPr>
          <w:rFonts w:ascii="AkzidenzGroteskBQ-Bold" w:hAnsi="AkzidenzGroteskBQ-Bold"/>
          <w:color w:val="auto"/>
          <w:sz w:val="21"/>
          <w:szCs w:val="21"/>
        </w:rPr>
        <w:t xml:space="preserve"> information</w:t>
      </w:r>
      <w:r w:rsidR="002411B8" w:rsidRPr="00A60BB1">
        <w:rPr>
          <w:rFonts w:ascii="AkzidenzGroteskBQ-Bold" w:hAnsi="AkzidenzGroteskBQ-Bold"/>
          <w:color w:val="auto"/>
          <w:sz w:val="21"/>
          <w:szCs w:val="21"/>
        </w:rPr>
        <w:t xml:space="preserve"> om Datscha </w:t>
      </w:r>
      <w:proofErr w:type="spellStart"/>
      <w:r w:rsidR="002411B8" w:rsidRPr="00A60BB1">
        <w:rPr>
          <w:rFonts w:ascii="AkzidenzGroteskBQ-Bold" w:hAnsi="AkzidenzGroteskBQ-Bold"/>
          <w:color w:val="auto"/>
          <w:sz w:val="21"/>
          <w:szCs w:val="21"/>
        </w:rPr>
        <w:t>Insight</w:t>
      </w:r>
      <w:proofErr w:type="spellEnd"/>
      <w:r w:rsidR="002411B8" w:rsidRPr="00A60BB1">
        <w:rPr>
          <w:rFonts w:ascii="AkzidenzGroteskBQ-Bold" w:hAnsi="AkzidenzGroteskBQ-Bold"/>
          <w:color w:val="auto"/>
          <w:sz w:val="21"/>
          <w:szCs w:val="21"/>
        </w:rPr>
        <w:t>™</w:t>
      </w:r>
      <w:r w:rsidR="000326F6" w:rsidRPr="00A60BB1">
        <w:rPr>
          <w:rFonts w:ascii="AkzidenzGroteskBQ-Bold" w:hAnsi="AkzidenzGroteskBQ-Bold"/>
          <w:color w:val="auto"/>
          <w:sz w:val="21"/>
          <w:szCs w:val="21"/>
        </w:rPr>
        <w:t xml:space="preserve"> </w:t>
      </w:r>
      <w:r w:rsidRPr="00A60BB1">
        <w:rPr>
          <w:rFonts w:ascii="AkzidenzGroteskBQ-Bold" w:hAnsi="AkzidenzGroteskBQ-Bold"/>
          <w:color w:val="auto"/>
          <w:sz w:val="21"/>
          <w:szCs w:val="21"/>
        </w:rPr>
        <w:t xml:space="preserve">är ni välkomna att besöka </w:t>
      </w:r>
      <w:hyperlink r:id="rId10" w:history="1">
        <w:r w:rsidR="007D7B97" w:rsidRPr="00A60BB1">
          <w:rPr>
            <w:rStyle w:val="Hyperlink"/>
            <w:rFonts w:ascii="AkzidenzGroteskBQ-Bold" w:hAnsi="AkzidenzGroteskBQ-Bold"/>
            <w:color w:val="auto"/>
            <w:sz w:val="21"/>
            <w:szCs w:val="21"/>
          </w:rPr>
          <w:t>www.datscha.</w:t>
        </w:r>
      </w:hyperlink>
      <w:r w:rsidR="007D7B97" w:rsidRPr="00A60BB1">
        <w:rPr>
          <w:rStyle w:val="Hyperlink"/>
          <w:rFonts w:ascii="AkzidenzGroteskBQ-Bold" w:hAnsi="AkzidenzGroteskBQ-Bold"/>
          <w:color w:val="auto"/>
          <w:sz w:val="21"/>
          <w:szCs w:val="21"/>
        </w:rPr>
        <w:t>se</w:t>
      </w:r>
      <w:r w:rsidRPr="00A60BB1">
        <w:rPr>
          <w:rFonts w:ascii="AkzidenzGroteskBQ-Bold" w:hAnsi="AkzidenzGroteskBQ-Bold"/>
          <w:color w:val="auto"/>
          <w:sz w:val="21"/>
          <w:szCs w:val="21"/>
        </w:rPr>
        <w:t xml:space="preserve"> </w:t>
      </w:r>
      <w:r w:rsidR="00692158" w:rsidRPr="00A60BB1">
        <w:rPr>
          <w:rFonts w:ascii="AkzidenzGroteskBQ-Bold" w:hAnsi="AkzidenzGroteskBQ-Bold"/>
          <w:color w:val="auto"/>
          <w:sz w:val="21"/>
          <w:szCs w:val="21"/>
        </w:rPr>
        <w:br/>
      </w:r>
      <w:r w:rsidRPr="00A60BB1">
        <w:rPr>
          <w:rFonts w:ascii="AkzidenzGroteskBQ-Bold" w:hAnsi="AkzidenzGroteskBQ-Bold"/>
          <w:color w:val="auto"/>
          <w:sz w:val="21"/>
          <w:szCs w:val="21"/>
        </w:rPr>
        <w:t>eller</w:t>
      </w:r>
      <w:r w:rsidR="001013FA" w:rsidRPr="00A60BB1">
        <w:rPr>
          <w:rFonts w:ascii="AkzidenzGroteskBQ-Bold" w:hAnsi="AkzidenzGroteskBQ-Bold"/>
          <w:color w:val="auto"/>
          <w:sz w:val="21"/>
          <w:szCs w:val="21"/>
        </w:rPr>
        <w:t xml:space="preserve"> kontakta:</w:t>
      </w:r>
    </w:p>
    <w:p w:rsidR="00D9002B" w:rsidRPr="00A60BB1" w:rsidRDefault="002A633C" w:rsidP="00D9002B">
      <w:pPr>
        <w:pStyle w:val="Default"/>
        <w:spacing w:after="120"/>
        <w:rPr>
          <w:rStyle w:val="Hyperlink"/>
          <w:rFonts w:ascii="AkzidenzGroteskBQ-Reg" w:hAnsi="AkzidenzGroteskBQ-Reg"/>
          <w:color w:val="auto"/>
          <w:sz w:val="21"/>
          <w:szCs w:val="21"/>
          <w:u w:val="none"/>
        </w:rPr>
      </w:pPr>
      <w:r w:rsidRPr="00A60BB1">
        <w:rPr>
          <w:rFonts w:ascii="AkzidenzGroteskBQ-Reg" w:hAnsi="AkzidenzGroteskBQ-Reg"/>
          <w:color w:val="auto"/>
          <w:sz w:val="21"/>
          <w:szCs w:val="21"/>
        </w:rPr>
        <w:t>Jacob Philipson, VD Datscha AB, 0</w:t>
      </w:r>
      <w:r w:rsidRPr="00A60BB1">
        <w:rPr>
          <w:rFonts w:ascii="AkzidenzGroteskBQ-Reg" w:eastAsia="Times New Roman" w:hAnsi="AkzidenzGroteskBQ-Reg"/>
          <w:color w:val="auto"/>
          <w:sz w:val="21"/>
          <w:szCs w:val="21"/>
        </w:rPr>
        <w:t>703-89 51 55</w:t>
      </w:r>
      <w:r w:rsidRPr="00A60BB1">
        <w:rPr>
          <w:rFonts w:ascii="AkzidenzGroteskBQ-Reg" w:hAnsi="AkzidenzGroteskBQ-Reg"/>
          <w:color w:val="auto"/>
          <w:sz w:val="21"/>
          <w:szCs w:val="21"/>
        </w:rPr>
        <w:t xml:space="preserve">, </w:t>
      </w:r>
      <w:hyperlink r:id="rId11" w:history="1">
        <w:r w:rsidR="00636699" w:rsidRPr="00A60BB1">
          <w:rPr>
            <w:rStyle w:val="Hyperlink"/>
            <w:rFonts w:ascii="AkzidenzGroteskBQ-Reg" w:hAnsi="AkzidenzGroteskBQ-Reg"/>
            <w:color w:val="auto"/>
            <w:sz w:val="21"/>
            <w:szCs w:val="21"/>
          </w:rPr>
          <w:t>jacob.philipson@datscha.com</w:t>
        </w:r>
      </w:hyperlink>
    </w:p>
    <w:p w:rsidR="00D9002B" w:rsidRPr="00A60BB1" w:rsidRDefault="000326F6" w:rsidP="00D9002B">
      <w:pPr>
        <w:pStyle w:val="Default"/>
        <w:spacing w:after="120"/>
        <w:rPr>
          <w:rStyle w:val="Hyperlink"/>
          <w:rFonts w:ascii="AkzidenzGroteskBQ-Reg" w:hAnsi="AkzidenzGroteskBQ-Reg"/>
          <w:color w:val="auto"/>
          <w:sz w:val="21"/>
          <w:szCs w:val="21"/>
          <w:u w:val="none"/>
        </w:rPr>
      </w:pPr>
      <w:r w:rsidRPr="00A60BB1">
        <w:rPr>
          <w:rStyle w:val="Hyperlink"/>
          <w:rFonts w:ascii="AkzidenzGroteskBQ-Reg" w:hAnsi="AkzidenzGroteskBQ-Reg"/>
          <w:color w:val="auto"/>
          <w:sz w:val="21"/>
          <w:szCs w:val="21"/>
          <w:u w:val="none"/>
        </w:rPr>
        <w:t xml:space="preserve">Johan Hill, Försäljningschef Sverige, 070-568 99 05, </w:t>
      </w:r>
      <w:r w:rsidR="00D9002B" w:rsidRPr="00A60BB1">
        <w:rPr>
          <w:rStyle w:val="Hyperlink"/>
          <w:rFonts w:ascii="AkzidenzGroteskBQ-Reg" w:hAnsi="AkzidenzGroteskBQ-Reg"/>
          <w:color w:val="auto"/>
          <w:sz w:val="21"/>
          <w:szCs w:val="21"/>
        </w:rPr>
        <w:t>johan.hill@datscha.com</w:t>
      </w:r>
    </w:p>
    <w:p w:rsidR="00060375" w:rsidRPr="00A60BB1" w:rsidRDefault="00060375" w:rsidP="00D9002B">
      <w:pPr>
        <w:pStyle w:val="Default"/>
        <w:spacing w:after="120"/>
        <w:rPr>
          <w:rStyle w:val="Hyperlink"/>
          <w:rFonts w:ascii="AkzidenzGroteskBQ-Reg" w:hAnsi="AkzidenzGroteskBQ-Reg"/>
          <w:color w:val="auto"/>
          <w:sz w:val="21"/>
          <w:szCs w:val="21"/>
          <w:u w:val="none"/>
        </w:rPr>
      </w:pPr>
      <w:r w:rsidRPr="00A60BB1">
        <w:rPr>
          <w:rStyle w:val="Hyperlink"/>
          <w:rFonts w:ascii="AkzidenzGroteskBQ-Reg" w:hAnsi="AkzidenzGroteskBQ-Reg"/>
          <w:color w:val="auto"/>
          <w:sz w:val="21"/>
          <w:szCs w:val="21"/>
          <w:u w:val="none"/>
        </w:rPr>
        <w:t>Johan Hopstadius, Marknadschef Datscha AB, 0766-34 20 05,</w:t>
      </w:r>
      <w:r w:rsidRPr="00A60BB1">
        <w:rPr>
          <w:rStyle w:val="Hyperlink"/>
          <w:rFonts w:ascii="AkzidenzGroteskBQ-Reg" w:hAnsi="AkzidenzGroteskBQ-Reg"/>
          <w:color w:val="auto"/>
          <w:sz w:val="21"/>
          <w:szCs w:val="21"/>
        </w:rPr>
        <w:t xml:space="preserve"> johan.hopstadius@datscha.com</w:t>
      </w:r>
    </w:p>
    <w:p w:rsidR="005D13A9" w:rsidRDefault="005D13A9" w:rsidP="00A3030D">
      <w:pPr>
        <w:autoSpaceDE w:val="0"/>
        <w:autoSpaceDN w:val="0"/>
        <w:adjustRightInd w:val="0"/>
        <w:spacing w:after="0" w:line="240" w:lineRule="auto"/>
        <w:rPr>
          <w:rFonts w:ascii="AkzidenzGroteskBQ-Reg" w:eastAsiaTheme="minorHAnsi" w:hAnsi="AkzidenzGroteskBQ-Reg" w:cs="Arial"/>
          <w:iCs/>
          <w:color w:val="000000"/>
          <w:sz w:val="16"/>
          <w:szCs w:val="18"/>
          <w:lang w:eastAsia="en-US"/>
        </w:rPr>
      </w:pPr>
    </w:p>
    <w:p w:rsidR="00D9002B" w:rsidRDefault="00D9002B" w:rsidP="00A3030D">
      <w:pPr>
        <w:autoSpaceDE w:val="0"/>
        <w:autoSpaceDN w:val="0"/>
        <w:adjustRightInd w:val="0"/>
        <w:spacing w:after="0" w:line="240" w:lineRule="auto"/>
        <w:rPr>
          <w:rFonts w:ascii="AkzidenzGroteskBQ-Reg" w:eastAsiaTheme="minorHAnsi" w:hAnsi="AkzidenzGroteskBQ-Reg" w:cs="Arial"/>
          <w:iCs/>
          <w:color w:val="000000"/>
          <w:sz w:val="16"/>
          <w:szCs w:val="18"/>
          <w:lang w:eastAsia="en-US"/>
        </w:rPr>
      </w:pPr>
    </w:p>
    <w:p w:rsidR="00D9002B" w:rsidRDefault="00D9002B" w:rsidP="00A3030D">
      <w:pPr>
        <w:autoSpaceDE w:val="0"/>
        <w:autoSpaceDN w:val="0"/>
        <w:adjustRightInd w:val="0"/>
        <w:spacing w:after="0" w:line="240" w:lineRule="auto"/>
        <w:rPr>
          <w:rFonts w:ascii="AkzidenzGroteskBQ-Reg" w:eastAsiaTheme="minorHAnsi" w:hAnsi="AkzidenzGroteskBQ-Reg" w:cs="Arial"/>
          <w:iCs/>
          <w:color w:val="000000"/>
          <w:sz w:val="16"/>
          <w:szCs w:val="18"/>
          <w:lang w:eastAsia="en-US"/>
        </w:rPr>
      </w:pPr>
    </w:p>
    <w:p w:rsidR="00D9002B" w:rsidRDefault="00D9002B" w:rsidP="00A3030D">
      <w:pPr>
        <w:autoSpaceDE w:val="0"/>
        <w:autoSpaceDN w:val="0"/>
        <w:adjustRightInd w:val="0"/>
        <w:spacing w:after="0" w:line="240" w:lineRule="auto"/>
        <w:rPr>
          <w:rFonts w:ascii="AkzidenzGroteskBQ-Reg" w:eastAsiaTheme="minorHAnsi" w:hAnsi="AkzidenzGroteskBQ-Reg" w:cs="Arial"/>
          <w:iCs/>
          <w:color w:val="000000"/>
          <w:sz w:val="16"/>
          <w:szCs w:val="18"/>
          <w:lang w:eastAsia="en-US"/>
        </w:rPr>
      </w:pPr>
    </w:p>
    <w:p w:rsidR="00D9002B" w:rsidRDefault="00D9002B" w:rsidP="00A3030D">
      <w:pPr>
        <w:autoSpaceDE w:val="0"/>
        <w:autoSpaceDN w:val="0"/>
        <w:adjustRightInd w:val="0"/>
        <w:spacing w:after="0" w:line="240" w:lineRule="auto"/>
        <w:rPr>
          <w:rFonts w:ascii="AkzidenzGroteskBQ-Reg" w:eastAsiaTheme="minorHAnsi" w:hAnsi="AkzidenzGroteskBQ-Reg" w:cs="Arial"/>
          <w:iCs/>
          <w:color w:val="000000"/>
          <w:sz w:val="16"/>
          <w:szCs w:val="18"/>
          <w:lang w:eastAsia="en-US"/>
        </w:rPr>
      </w:pPr>
    </w:p>
    <w:p w:rsidR="009C55B7" w:rsidRDefault="00F97113" w:rsidP="00A3030D">
      <w:pPr>
        <w:autoSpaceDE w:val="0"/>
        <w:autoSpaceDN w:val="0"/>
        <w:adjustRightInd w:val="0"/>
        <w:spacing w:after="0" w:line="240" w:lineRule="auto"/>
        <w:rPr>
          <w:rStyle w:val="Hyperlink"/>
          <w:rFonts w:ascii="AkzidenzGroteskBQ-Reg" w:eastAsiaTheme="minorHAnsi" w:hAnsi="AkzidenzGroteskBQ-Reg" w:cs="Arial"/>
          <w:iCs/>
          <w:color w:val="auto"/>
          <w:sz w:val="16"/>
          <w:szCs w:val="18"/>
          <w:lang w:eastAsia="en-US"/>
        </w:rPr>
      </w:pPr>
      <w:r w:rsidRPr="001013FA">
        <w:rPr>
          <w:rFonts w:ascii="AkzidenzGroteskBQ-Reg" w:eastAsiaTheme="minorHAnsi" w:hAnsi="AkzidenzGroteskBQ-Reg" w:cs="Arial"/>
          <w:iCs/>
          <w:color w:val="000000"/>
          <w:sz w:val="16"/>
          <w:szCs w:val="18"/>
          <w:lang w:eastAsia="en-US"/>
        </w:rPr>
        <w:t>Datscha</w:t>
      </w:r>
      <w:r w:rsidR="00E71334" w:rsidRPr="001013FA">
        <w:rPr>
          <w:rFonts w:ascii="AkzidenzGroteskBQ-Reg" w:eastAsiaTheme="minorHAnsi" w:hAnsi="AkzidenzGroteskBQ-Reg" w:cs="Arial"/>
          <w:iCs/>
          <w:color w:val="000000"/>
          <w:sz w:val="16"/>
          <w:szCs w:val="18"/>
          <w:lang w:eastAsia="en-US"/>
        </w:rPr>
        <w:t xml:space="preserve"> AB</w:t>
      </w:r>
      <w:r w:rsidRPr="001013FA">
        <w:rPr>
          <w:rFonts w:ascii="AkzidenzGroteskBQ-Reg" w:eastAsiaTheme="minorHAnsi" w:hAnsi="AkzidenzGroteskBQ-Reg" w:cs="Arial"/>
          <w:iCs/>
          <w:color w:val="000000"/>
          <w:sz w:val="16"/>
          <w:szCs w:val="18"/>
          <w:lang w:eastAsia="en-US"/>
        </w:rPr>
        <w:t xml:space="preserve"> erbjuder via en web</w:t>
      </w:r>
      <w:r w:rsidR="007E69F1" w:rsidRPr="001013FA">
        <w:rPr>
          <w:rFonts w:ascii="AkzidenzGroteskBQ-Reg" w:eastAsiaTheme="minorHAnsi" w:hAnsi="AkzidenzGroteskBQ-Reg" w:cs="Arial"/>
          <w:iCs/>
          <w:color w:val="000000"/>
          <w:sz w:val="16"/>
          <w:szCs w:val="18"/>
          <w:lang w:eastAsia="en-US"/>
        </w:rPr>
        <w:t>b</w:t>
      </w:r>
      <w:r w:rsidRPr="001013FA">
        <w:rPr>
          <w:rFonts w:ascii="AkzidenzGroteskBQ-Reg" w:eastAsiaTheme="minorHAnsi" w:hAnsi="AkzidenzGroteskBQ-Reg" w:cs="Arial"/>
          <w:iCs/>
          <w:color w:val="000000"/>
          <w:sz w:val="16"/>
          <w:szCs w:val="18"/>
          <w:lang w:eastAsia="en-US"/>
        </w:rPr>
        <w:t>tjänst information om kommersiella fastigheter i Sverige</w:t>
      </w:r>
      <w:r w:rsidR="002411B8" w:rsidRPr="001013FA">
        <w:rPr>
          <w:rFonts w:ascii="AkzidenzGroteskBQ-Reg" w:eastAsiaTheme="minorHAnsi" w:hAnsi="AkzidenzGroteskBQ-Reg" w:cs="Arial"/>
          <w:iCs/>
          <w:color w:val="000000"/>
          <w:sz w:val="16"/>
          <w:szCs w:val="18"/>
          <w:lang w:eastAsia="en-US"/>
        </w:rPr>
        <w:t xml:space="preserve">, </w:t>
      </w:r>
      <w:r w:rsidRPr="001013FA">
        <w:rPr>
          <w:rFonts w:ascii="AkzidenzGroteskBQ-Reg" w:eastAsiaTheme="minorHAnsi" w:hAnsi="AkzidenzGroteskBQ-Reg" w:cs="Arial"/>
          <w:iCs/>
          <w:color w:val="000000"/>
          <w:sz w:val="16"/>
          <w:szCs w:val="18"/>
          <w:lang w:eastAsia="en-US"/>
        </w:rPr>
        <w:t>Finland</w:t>
      </w:r>
      <w:r w:rsidR="002411B8" w:rsidRPr="001013FA">
        <w:rPr>
          <w:rFonts w:ascii="AkzidenzGroteskBQ-Reg" w:eastAsiaTheme="minorHAnsi" w:hAnsi="AkzidenzGroteskBQ-Reg" w:cs="Arial"/>
          <w:iCs/>
          <w:color w:val="000000"/>
          <w:sz w:val="16"/>
          <w:szCs w:val="18"/>
          <w:lang w:eastAsia="en-US"/>
        </w:rPr>
        <w:t xml:space="preserve"> och Storbritannien</w:t>
      </w:r>
      <w:r w:rsidRPr="001013FA">
        <w:rPr>
          <w:rFonts w:ascii="AkzidenzGroteskBQ-Reg" w:eastAsiaTheme="minorHAnsi" w:hAnsi="AkzidenzGroteskBQ-Reg" w:cs="Arial"/>
          <w:iCs/>
          <w:color w:val="000000"/>
          <w:sz w:val="16"/>
          <w:szCs w:val="18"/>
          <w:lang w:eastAsia="en-US"/>
        </w:rPr>
        <w:t xml:space="preserve">. I </w:t>
      </w:r>
      <w:r w:rsidR="007E69F1" w:rsidRPr="001013FA">
        <w:rPr>
          <w:rFonts w:ascii="AkzidenzGroteskBQ-Reg" w:eastAsiaTheme="minorHAnsi" w:hAnsi="AkzidenzGroteskBQ-Reg" w:cs="Arial"/>
          <w:iCs/>
          <w:color w:val="000000"/>
          <w:sz w:val="16"/>
          <w:szCs w:val="18"/>
          <w:lang w:eastAsia="en-US"/>
        </w:rPr>
        <w:t xml:space="preserve">tjänsten </w:t>
      </w:r>
      <w:r w:rsidRPr="001013FA">
        <w:rPr>
          <w:rFonts w:ascii="AkzidenzGroteskBQ-Reg" w:eastAsiaTheme="minorHAnsi" w:hAnsi="AkzidenzGroteskBQ-Reg" w:cs="Arial"/>
          <w:iCs/>
          <w:color w:val="000000"/>
          <w:sz w:val="16"/>
          <w:szCs w:val="18"/>
          <w:lang w:eastAsia="en-US"/>
        </w:rPr>
        <w:t>Datscha finns bland annat information om ägarförhållanden, storlek, taxeringsvärden, hyresnivåer, förväntade</w:t>
      </w:r>
      <w:r w:rsidR="001D3D65">
        <w:rPr>
          <w:rFonts w:ascii="AkzidenzGroteskBQ-Reg" w:eastAsiaTheme="minorHAnsi" w:hAnsi="AkzidenzGroteskBQ-Reg" w:cs="Arial"/>
          <w:iCs/>
          <w:color w:val="000000"/>
          <w:sz w:val="16"/>
          <w:szCs w:val="18"/>
          <w:lang w:eastAsia="en-US"/>
        </w:rPr>
        <w:t xml:space="preserve"> kassaflöden, marknadsvärden mm</w:t>
      </w:r>
      <w:r w:rsidRPr="001013FA">
        <w:rPr>
          <w:rFonts w:ascii="AkzidenzGroteskBQ-Reg" w:eastAsiaTheme="minorHAnsi" w:hAnsi="AkzidenzGroteskBQ-Reg" w:cs="Arial"/>
          <w:iCs/>
          <w:color w:val="000000"/>
          <w:sz w:val="16"/>
          <w:szCs w:val="18"/>
          <w:lang w:eastAsia="en-US"/>
        </w:rPr>
        <w:t>. Datscha</w:t>
      </w:r>
      <w:r w:rsidR="007E69F1" w:rsidRPr="001013FA">
        <w:rPr>
          <w:rFonts w:ascii="AkzidenzGroteskBQ-Reg" w:eastAsiaTheme="minorHAnsi" w:hAnsi="AkzidenzGroteskBQ-Reg" w:cs="Arial"/>
          <w:iCs/>
          <w:color w:val="000000"/>
          <w:sz w:val="16"/>
          <w:szCs w:val="18"/>
          <w:lang w:eastAsia="en-US"/>
        </w:rPr>
        <w:t xml:space="preserve"> AB</w:t>
      </w:r>
      <w:r w:rsidR="002411B8" w:rsidRPr="001013FA">
        <w:rPr>
          <w:rFonts w:ascii="AkzidenzGroteskBQ-Reg" w:eastAsiaTheme="minorHAnsi" w:hAnsi="AkzidenzGroteskBQ-Reg" w:cs="Arial"/>
          <w:iCs/>
          <w:color w:val="000000"/>
          <w:sz w:val="16"/>
          <w:szCs w:val="18"/>
          <w:lang w:eastAsia="en-US"/>
        </w:rPr>
        <w:t xml:space="preserve"> har över 600</w:t>
      </w:r>
      <w:r w:rsidRPr="001013FA">
        <w:rPr>
          <w:rFonts w:ascii="AkzidenzGroteskBQ-Reg" w:eastAsiaTheme="minorHAnsi" w:hAnsi="AkzidenzGroteskBQ-Reg" w:cs="Arial"/>
          <w:iCs/>
          <w:color w:val="000000"/>
          <w:sz w:val="16"/>
          <w:szCs w:val="18"/>
          <w:lang w:eastAsia="en-US"/>
        </w:rPr>
        <w:t xml:space="preserve"> företagskunder i sju länder vilka merparten är verksamma inom finans- eller fastighetsmarknaden. Datscha</w:t>
      </w:r>
      <w:r w:rsidR="007E69F1" w:rsidRPr="001013FA">
        <w:rPr>
          <w:rFonts w:ascii="AkzidenzGroteskBQ-Reg" w:eastAsiaTheme="minorHAnsi" w:hAnsi="AkzidenzGroteskBQ-Reg" w:cs="Arial"/>
          <w:iCs/>
          <w:color w:val="000000"/>
          <w:sz w:val="16"/>
          <w:szCs w:val="18"/>
          <w:lang w:eastAsia="en-US"/>
        </w:rPr>
        <w:t xml:space="preserve"> AB</w:t>
      </w:r>
      <w:r w:rsidRPr="001013FA">
        <w:rPr>
          <w:rFonts w:ascii="AkzidenzGroteskBQ-Reg" w:eastAsiaTheme="minorHAnsi" w:hAnsi="AkzidenzGroteskBQ-Reg" w:cs="Arial"/>
          <w:iCs/>
          <w:color w:val="000000"/>
          <w:sz w:val="16"/>
          <w:szCs w:val="18"/>
          <w:lang w:eastAsia="en-US"/>
        </w:rPr>
        <w:t xml:space="preserve"> ingår i Stronghold</w:t>
      </w:r>
      <w:r w:rsidR="007E69F1" w:rsidRPr="001013FA">
        <w:rPr>
          <w:rFonts w:ascii="AkzidenzGroteskBQ-Reg" w:eastAsiaTheme="minorHAnsi" w:hAnsi="AkzidenzGroteskBQ-Reg" w:cs="Arial"/>
          <w:iCs/>
          <w:color w:val="000000"/>
          <w:sz w:val="16"/>
          <w:szCs w:val="18"/>
          <w:lang w:eastAsia="en-US"/>
        </w:rPr>
        <w:t>-</w:t>
      </w:r>
      <w:r w:rsidRPr="001013FA">
        <w:rPr>
          <w:rFonts w:ascii="AkzidenzGroteskBQ-Reg" w:eastAsiaTheme="minorHAnsi" w:hAnsi="AkzidenzGroteskBQ-Reg" w:cs="Arial"/>
          <w:iCs/>
          <w:color w:val="000000"/>
          <w:sz w:val="16"/>
          <w:szCs w:val="18"/>
          <w:lang w:eastAsia="en-US"/>
        </w:rPr>
        <w:t xml:space="preserve">koncernen. </w:t>
      </w:r>
      <w:hyperlink r:id="rId12" w:history="1">
        <w:r w:rsidR="009C55B7" w:rsidRPr="005F15DD">
          <w:rPr>
            <w:rStyle w:val="Hyperlink"/>
            <w:rFonts w:ascii="AkzidenzGroteskBQ-Reg" w:eastAsiaTheme="minorHAnsi" w:hAnsi="AkzidenzGroteskBQ-Reg" w:cs="Arial"/>
            <w:iCs/>
            <w:sz w:val="16"/>
            <w:szCs w:val="18"/>
            <w:lang w:eastAsia="en-US"/>
          </w:rPr>
          <w:t>www.datscha.se</w:t>
        </w:r>
      </w:hyperlink>
    </w:p>
    <w:sectPr w:rsidR="009C5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84" w:rsidRDefault="00C64E84" w:rsidP="007D7B97">
      <w:pPr>
        <w:spacing w:after="0" w:line="240" w:lineRule="auto"/>
      </w:pPr>
      <w:r>
        <w:separator/>
      </w:r>
    </w:p>
  </w:endnote>
  <w:endnote w:type="continuationSeparator" w:id="0">
    <w:p w:rsidR="00C64E84" w:rsidRDefault="00C64E84" w:rsidP="007D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BQ-Reg">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FB-BoldWide">
    <w:panose1 w:val="00000000000000000000"/>
    <w:charset w:val="00"/>
    <w:family w:val="auto"/>
    <w:notTrueType/>
    <w:pitch w:val="variable"/>
    <w:sig w:usb0="00000083" w:usb1="00000000" w:usb2="00000000" w:usb3="00000000" w:csb0="00000009" w:csb1="00000000"/>
  </w:font>
  <w:font w:name="AkzidenzGroteskBQ-Light">
    <w:panose1 w:val="00000000000000000000"/>
    <w:charset w:val="00"/>
    <w:family w:val="modern"/>
    <w:notTrueType/>
    <w:pitch w:val="variable"/>
    <w:sig w:usb0="00000003" w:usb1="00000000" w:usb2="00000000" w:usb3="00000000" w:csb0="00000001" w:csb1="00000000"/>
  </w:font>
  <w:font w:name="AkzidenzGroteskBQ-Medium">
    <w:panose1 w:val="00000500000000000000"/>
    <w:charset w:val="00"/>
    <w:family w:val="modern"/>
    <w:notTrueType/>
    <w:pitch w:val="variable"/>
    <w:sig w:usb0="00000003" w:usb1="00000000" w:usb2="00000000" w:usb3="00000000" w:csb0="00000001" w:csb1="00000000"/>
  </w:font>
  <w:font w:name="AkzidenzGroteskBQ-Bold">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84" w:rsidRDefault="00C64E84" w:rsidP="007D7B97">
      <w:pPr>
        <w:spacing w:after="0" w:line="240" w:lineRule="auto"/>
      </w:pPr>
      <w:r>
        <w:separator/>
      </w:r>
    </w:p>
  </w:footnote>
  <w:footnote w:type="continuationSeparator" w:id="0">
    <w:p w:rsidR="00C64E84" w:rsidRDefault="00C64E84" w:rsidP="007D7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C91"/>
    <w:multiLevelType w:val="hybridMultilevel"/>
    <w:tmpl w:val="8A7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980"/>
    <w:multiLevelType w:val="hybridMultilevel"/>
    <w:tmpl w:val="974E1EB0"/>
    <w:lvl w:ilvl="0" w:tplc="2E887DB8">
      <w:numFmt w:val="bullet"/>
      <w:lvlText w:val="-"/>
      <w:lvlJc w:val="left"/>
      <w:pPr>
        <w:ind w:left="720" w:hanging="360"/>
      </w:pPr>
      <w:rPr>
        <w:rFonts w:ascii="Calibri" w:eastAsiaTheme="minorEastAsia"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E11333"/>
    <w:multiLevelType w:val="hybridMultilevel"/>
    <w:tmpl w:val="69AA3988"/>
    <w:lvl w:ilvl="0" w:tplc="AA7E1FDA">
      <w:numFmt w:val="bullet"/>
      <w:lvlText w:val="-"/>
      <w:lvlJc w:val="left"/>
      <w:pPr>
        <w:ind w:left="360" w:hanging="360"/>
      </w:pPr>
      <w:rPr>
        <w:rFonts w:ascii="Calibri" w:eastAsiaTheme="minorEastAsia" w:hAnsi="Calibri"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BE973B7"/>
    <w:multiLevelType w:val="hybridMultilevel"/>
    <w:tmpl w:val="2DBA9C4C"/>
    <w:lvl w:ilvl="0" w:tplc="AD0C51E4">
      <w:start w:val="2"/>
      <w:numFmt w:val="bullet"/>
      <w:lvlText w:val="-"/>
      <w:lvlJc w:val="left"/>
      <w:pPr>
        <w:ind w:left="360" w:hanging="360"/>
      </w:pPr>
      <w:rPr>
        <w:rFonts w:ascii="AkzidenzGroteskBQ-Reg" w:eastAsiaTheme="minorEastAsia" w:hAnsi="AkzidenzGroteskBQ-Reg"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7F51A5D"/>
    <w:multiLevelType w:val="hybridMultilevel"/>
    <w:tmpl w:val="7158AC98"/>
    <w:lvl w:ilvl="0" w:tplc="93AA5334">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9073818"/>
    <w:multiLevelType w:val="multilevel"/>
    <w:tmpl w:val="40B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B352E"/>
    <w:multiLevelType w:val="hybridMultilevel"/>
    <w:tmpl w:val="C8F63518"/>
    <w:lvl w:ilvl="0" w:tplc="D03E93C0">
      <w:numFmt w:val="bullet"/>
      <w:lvlText w:val="-"/>
      <w:lvlJc w:val="left"/>
      <w:pPr>
        <w:ind w:left="720" w:hanging="360"/>
      </w:pPr>
      <w:rPr>
        <w:rFonts w:ascii="Calibri" w:eastAsiaTheme="minorEastAsia" w:hAnsi="Calibri"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2A"/>
    <w:rsid w:val="00027A4E"/>
    <w:rsid w:val="000326F6"/>
    <w:rsid w:val="00057302"/>
    <w:rsid w:val="00060375"/>
    <w:rsid w:val="000A532F"/>
    <w:rsid w:val="000B065C"/>
    <w:rsid w:val="000C4FC9"/>
    <w:rsid w:val="000D5BE8"/>
    <w:rsid w:val="000E52E0"/>
    <w:rsid w:val="000F7CE9"/>
    <w:rsid w:val="001013FA"/>
    <w:rsid w:val="00112434"/>
    <w:rsid w:val="0014494A"/>
    <w:rsid w:val="00146EB7"/>
    <w:rsid w:val="00147C4C"/>
    <w:rsid w:val="00181575"/>
    <w:rsid w:val="001B15F6"/>
    <w:rsid w:val="001C08E6"/>
    <w:rsid w:val="001C0D6D"/>
    <w:rsid w:val="001D3D65"/>
    <w:rsid w:val="001D4F48"/>
    <w:rsid w:val="001F0346"/>
    <w:rsid w:val="0022111F"/>
    <w:rsid w:val="00232CB0"/>
    <w:rsid w:val="002411B8"/>
    <w:rsid w:val="00272536"/>
    <w:rsid w:val="0029479B"/>
    <w:rsid w:val="002A2CB4"/>
    <w:rsid w:val="002A633C"/>
    <w:rsid w:val="002B4DFD"/>
    <w:rsid w:val="002F2E23"/>
    <w:rsid w:val="002F470F"/>
    <w:rsid w:val="00324B88"/>
    <w:rsid w:val="003612A3"/>
    <w:rsid w:val="003912BC"/>
    <w:rsid w:val="003A7858"/>
    <w:rsid w:val="003D6793"/>
    <w:rsid w:val="00416796"/>
    <w:rsid w:val="0042658C"/>
    <w:rsid w:val="00462D3A"/>
    <w:rsid w:val="00497039"/>
    <w:rsid w:val="004B4B5B"/>
    <w:rsid w:val="004D7EF3"/>
    <w:rsid w:val="004E1D74"/>
    <w:rsid w:val="004F4224"/>
    <w:rsid w:val="005179CB"/>
    <w:rsid w:val="005244B9"/>
    <w:rsid w:val="00533821"/>
    <w:rsid w:val="00553E38"/>
    <w:rsid w:val="00586038"/>
    <w:rsid w:val="005A2726"/>
    <w:rsid w:val="005B5D49"/>
    <w:rsid w:val="005B6EBB"/>
    <w:rsid w:val="005B78DB"/>
    <w:rsid w:val="005D13A9"/>
    <w:rsid w:val="00630702"/>
    <w:rsid w:val="006341A8"/>
    <w:rsid w:val="00636699"/>
    <w:rsid w:val="00651753"/>
    <w:rsid w:val="00655E12"/>
    <w:rsid w:val="00676AFE"/>
    <w:rsid w:val="00692158"/>
    <w:rsid w:val="006959AD"/>
    <w:rsid w:val="006A2F1D"/>
    <w:rsid w:val="006D3C68"/>
    <w:rsid w:val="007452EA"/>
    <w:rsid w:val="007619EE"/>
    <w:rsid w:val="007641C9"/>
    <w:rsid w:val="0077637D"/>
    <w:rsid w:val="00792E25"/>
    <w:rsid w:val="00795CFC"/>
    <w:rsid w:val="007A2CB1"/>
    <w:rsid w:val="007C5374"/>
    <w:rsid w:val="007D1BFC"/>
    <w:rsid w:val="007D64C6"/>
    <w:rsid w:val="007D7B97"/>
    <w:rsid w:val="007E0E6E"/>
    <w:rsid w:val="007E69F1"/>
    <w:rsid w:val="007F1D1D"/>
    <w:rsid w:val="00803180"/>
    <w:rsid w:val="008100F8"/>
    <w:rsid w:val="00822E54"/>
    <w:rsid w:val="00846571"/>
    <w:rsid w:val="00885986"/>
    <w:rsid w:val="00890702"/>
    <w:rsid w:val="00891D0A"/>
    <w:rsid w:val="008A3C9E"/>
    <w:rsid w:val="008C20A8"/>
    <w:rsid w:val="008E0ECB"/>
    <w:rsid w:val="00914EC9"/>
    <w:rsid w:val="00946E8B"/>
    <w:rsid w:val="0096676A"/>
    <w:rsid w:val="0097001A"/>
    <w:rsid w:val="00981ACF"/>
    <w:rsid w:val="009C55B7"/>
    <w:rsid w:val="009E093A"/>
    <w:rsid w:val="00A3030D"/>
    <w:rsid w:val="00A326B4"/>
    <w:rsid w:val="00A54B55"/>
    <w:rsid w:val="00A60BB1"/>
    <w:rsid w:val="00A724FB"/>
    <w:rsid w:val="00A845BA"/>
    <w:rsid w:val="00AD4056"/>
    <w:rsid w:val="00AE1915"/>
    <w:rsid w:val="00B13C59"/>
    <w:rsid w:val="00B22619"/>
    <w:rsid w:val="00B65B5F"/>
    <w:rsid w:val="00BA2A99"/>
    <w:rsid w:val="00BB5DAE"/>
    <w:rsid w:val="00BC0013"/>
    <w:rsid w:val="00BD5F33"/>
    <w:rsid w:val="00BE622A"/>
    <w:rsid w:val="00BE7760"/>
    <w:rsid w:val="00C153A0"/>
    <w:rsid w:val="00C200C6"/>
    <w:rsid w:val="00C53463"/>
    <w:rsid w:val="00C56513"/>
    <w:rsid w:val="00C64E84"/>
    <w:rsid w:val="00C92FBC"/>
    <w:rsid w:val="00CA738E"/>
    <w:rsid w:val="00CA7B2A"/>
    <w:rsid w:val="00CC346F"/>
    <w:rsid w:val="00CD73D2"/>
    <w:rsid w:val="00D109B7"/>
    <w:rsid w:val="00D11F9F"/>
    <w:rsid w:val="00D22400"/>
    <w:rsid w:val="00D32FB7"/>
    <w:rsid w:val="00D64E6A"/>
    <w:rsid w:val="00D74950"/>
    <w:rsid w:val="00D8548A"/>
    <w:rsid w:val="00D9002B"/>
    <w:rsid w:val="00D90761"/>
    <w:rsid w:val="00DA1E0A"/>
    <w:rsid w:val="00DA75EF"/>
    <w:rsid w:val="00DB1147"/>
    <w:rsid w:val="00DB2E7E"/>
    <w:rsid w:val="00DE66B0"/>
    <w:rsid w:val="00E2622B"/>
    <w:rsid w:val="00E26594"/>
    <w:rsid w:val="00E428FF"/>
    <w:rsid w:val="00E51C02"/>
    <w:rsid w:val="00E52114"/>
    <w:rsid w:val="00E55533"/>
    <w:rsid w:val="00E71334"/>
    <w:rsid w:val="00E86C94"/>
    <w:rsid w:val="00EA50D6"/>
    <w:rsid w:val="00EC10C5"/>
    <w:rsid w:val="00EF0749"/>
    <w:rsid w:val="00F026FB"/>
    <w:rsid w:val="00F12992"/>
    <w:rsid w:val="00F21AD1"/>
    <w:rsid w:val="00F707E6"/>
    <w:rsid w:val="00F719B9"/>
    <w:rsid w:val="00F97113"/>
    <w:rsid w:val="00FC2D88"/>
    <w:rsid w:val="00FE3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2A"/>
    <w:pPr>
      <w:spacing w:line="276" w:lineRule="auto"/>
    </w:pPr>
    <w:rPr>
      <w:rFonts w:eastAsiaTheme="minorEastAsia"/>
      <w:lang w:eastAsia="sv-SE"/>
    </w:rPr>
  </w:style>
  <w:style w:type="paragraph" w:styleId="Heading2">
    <w:name w:val="heading 2"/>
    <w:basedOn w:val="Normal"/>
    <w:link w:val="Heading2Char"/>
    <w:uiPriority w:val="9"/>
    <w:qFormat/>
    <w:rsid w:val="00F71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41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B2A"/>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4D7EF3"/>
    <w:rPr>
      <w:color w:val="0000FF" w:themeColor="hyperlink"/>
      <w:u w:val="single"/>
    </w:rPr>
  </w:style>
  <w:style w:type="paragraph" w:styleId="BalloonText">
    <w:name w:val="Balloon Text"/>
    <w:basedOn w:val="Normal"/>
    <w:link w:val="BalloonTextChar"/>
    <w:uiPriority w:val="99"/>
    <w:semiHidden/>
    <w:unhideWhenUsed/>
    <w:rsid w:val="00F9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3"/>
    <w:rPr>
      <w:rFonts w:ascii="Tahoma" w:eastAsiaTheme="minorEastAsia" w:hAnsi="Tahoma" w:cs="Tahoma"/>
      <w:sz w:val="16"/>
      <w:szCs w:val="16"/>
      <w:lang w:eastAsia="sv-SE"/>
    </w:rPr>
  </w:style>
  <w:style w:type="paragraph" w:styleId="ListParagraph">
    <w:name w:val="List Paragraph"/>
    <w:basedOn w:val="Normal"/>
    <w:uiPriority w:val="34"/>
    <w:qFormat/>
    <w:rsid w:val="007A2CB1"/>
    <w:pPr>
      <w:ind w:left="720"/>
      <w:contextualSpacing/>
    </w:pPr>
  </w:style>
  <w:style w:type="character" w:customStyle="1" w:styleId="Heading2Char">
    <w:name w:val="Heading 2 Char"/>
    <w:basedOn w:val="DefaultParagraphFont"/>
    <w:link w:val="Heading2"/>
    <w:uiPriority w:val="9"/>
    <w:rsid w:val="00F719B9"/>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F719B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ECB"/>
    <w:rPr>
      <w:sz w:val="16"/>
      <w:szCs w:val="16"/>
    </w:rPr>
  </w:style>
  <w:style w:type="paragraph" w:styleId="CommentText">
    <w:name w:val="annotation text"/>
    <w:basedOn w:val="Normal"/>
    <w:link w:val="CommentTextChar"/>
    <w:uiPriority w:val="99"/>
    <w:unhideWhenUsed/>
    <w:rsid w:val="008E0ECB"/>
    <w:pPr>
      <w:spacing w:line="240" w:lineRule="auto"/>
    </w:pPr>
    <w:rPr>
      <w:sz w:val="20"/>
      <w:szCs w:val="20"/>
    </w:rPr>
  </w:style>
  <w:style w:type="character" w:customStyle="1" w:styleId="CommentTextChar">
    <w:name w:val="Comment Text Char"/>
    <w:basedOn w:val="DefaultParagraphFont"/>
    <w:link w:val="CommentText"/>
    <w:uiPriority w:val="99"/>
    <w:rsid w:val="008E0ECB"/>
    <w:rPr>
      <w:rFonts w:eastAsiaTheme="minorEastAsia"/>
      <w:sz w:val="20"/>
      <w:szCs w:val="20"/>
      <w:lang w:eastAsia="sv-SE"/>
    </w:rPr>
  </w:style>
  <w:style w:type="paragraph" w:styleId="CommentSubject">
    <w:name w:val="annotation subject"/>
    <w:basedOn w:val="CommentText"/>
    <w:next w:val="CommentText"/>
    <w:link w:val="CommentSubjectChar"/>
    <w:uiPriority w:val="99"/>
    <w:semiHidden/>
    <w:unhideWhenUsed/>
    <w:rsid w:val="008E0ECB"/>
    <w:rPr>
      <w:b/>
      <w:bCs/>
    </w:rPr>
  </w:style>
  <w:style w:type="character" w:customStyle="1" w:styleId="CommentSubjectChar">
    <w:name w:val="Comment Subject Char"/>
    <w:basedOn w:val="CommentTextChar"/>
    <w:link w:val="CommentSubject"/>
    <w:uiPriority w:val="99"/>
    <w:semiHidden/>
    <w:rsid w:val="008E0ECB"/>
    <w:rPr>
      <w:rFonts w:eastAsiaTheme="minorEastAsia"/>
      <w:b/>
      <w:bCs/>
      <w:sz w:val="20"/>
      <w:szCs w:val="20"/>
      <w:lang w:eastAsia="sv-SE"/>
    </w:rPr>
  </w:style>
  <w:style w:type="paragraph" w:styleId="Header">
    <w:name w:val="header"/>
    <w:basedOn w:val="Normal"/>
    <w:link w:val="HeaderChar"/>
    <w:uiPriority w:val="99"/>
    <w:unhideWhenUsed/>
    <w:rsid w:val="007D7B9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7B97"/>
    <w:rPr>
      <w:rFonts w:eastAsiaTheme="minorEastAsia"/>
      <w:lang w:eastAsia="sv-SE"/>
    </w:rPr>
  </w:style>
  <w:style w:type="paragraph" w:styleId="Footer">
    <w:name w:val="footer"/>
    <w:basedOn w:val="Normal"/>
    <w:link w:val="FooterChar"/>
    <w:uiPriority w:val="99"/>
    <w:unhideWhenUsed/>
    <w:rsid w:val="007D7B9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7B97"/>
    <w:rPr>
      <w:rFonts w:eastAsiaTheme="minorEastAsia"/>
      <w:lang w:eastAsia="sv-SE"/>
    </w:rPr>
  </w:style>
  <w:style w:type="character" w:customStyle="1" w:styleId="Heading4Char">
    <w:name w:val="Heading 4 Char"/>
    <w:basedOn w:val="DefaultParagraphFont"/>
    <w:link w:val="Heading4"/>
    <w:uiPriority w:val="9"/>
    <w:semiHidden/>
    <w:rsid w:val="002411B8"/>
    <w:rPr>
      <w:rFonts w:asciiTheme="majorHAnsi" w:eastAsiaTheme="majorEastAsia" w:hAnsiTheme="majorHAnsi" w:cstheme="majorBidi"/>
      <w:b/>
      <w:bCs/>
      <w:i/>
      <w:iCs/>
      <w:color w:val="4F81BD" w:themeColor="accent1"/>
      <w:lang w:eastAsia="sv-SE"/>
    </w:rPr>
  </w:style>
  <w:style w:type="character" w:styleId="Emphasis">
    <w:name w:val="Emphasis"/>
    <w:basedOn w:val="DefaultParagraphFont"/>
    <w:uiPriority w:val="20"/>
    <w:qFormat/>
    <w:rsid w:val="009C55B7"/>
    <w:rPr>
      <w:i/>
      <w:iCs/>
    </w:rPr>
  </w:style>
  <w:style w:type="character" w:customStyle="1" w:styleId="apple-converted-space">
    <w:name w:val="apple-converted-space"/>
    <w:basedOn w:val="DefaultParagraphFont"/>
    <w:rsid w:val="009C5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2A"/>
    <w:pPr>
      <w:spacing w:line="276" w:lineRule="auto"/>
    </w:pPr>
    <w:rPr>
      <w:rFonts w:eastAsiaTheme="minorEastAsia"/>
      <w:lang w:eastAsia="sv-SE"/>
    </w:rPr>
  </w:style>
  <w:style w:type="paragraph" w:styleId="Heading2">
    <w:name w:val="heading 2"/>
    <w:basedOn w:val="Normal"/>
    <w:link w:val="Heading2Char"/>
    <w:uiPriority w:val="9"/>
    <w:qFormat/>
    <w:rsid w:val="00F71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41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B2A"/>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4D7EF3"/>
    <w:rPr>
      <w:color w:val="0000FF" w:themeColor="hyperlink"/>
      <w:u w:val="single"/>
    </w:rPr>
  </w:style>
  <w:style w:type="paragraph" w:styleId="BalloonText">
    <w:name w:val="Balloon Text"/>
    <w:basedOn w:val="Normal"/>
    <w:link w:val="BalloonTextChar"/>
    <w:uiPriority w:val="99"/>
    <w:semiHidden/>
    <w:unhideWhenUsed/>
    <w:rsid w:val="00F9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3"/>
    <w:rPr>
      <w:rFonts w:ascii="Tahoma" w:eastAsiaTheme="minorEastAsia" w:hAnsi="Tahoma" w:cs="Tahoma"/>
      <w:sz w:val="16"/>
      <w:szCs w:val="16"/>
      <w:lang w:eastAsia="sv-SE"/>
    </w:rPr>
  </w:style>
  <w:style w:type="paragraph" w:styleId="ListParagraph">
    <w:name w:val="List Paragraph"/>
    <w:basedOn w:val="Normal"/>
    <w:uiPriority w:val="34"/>
    <w:qFormat/>
    <w:rsid w:val="007A2CB1"/>
    <w:pPr>
      <w:ind w:left="720"/>
      <w:contextualSpacing/>
    </w:pPr>
  </w:style>
  <w:style w:type="character" w:customStyle="1" w:styleId="Heading2Char">
    <w:name w:val="Heading 2 Char"/>
    <w:basedOn w:val="DefaultParagraphFont"/>
    <w:link w:val="Heading2"/>
    <w:uiPriority w:val="9"/>
    <w:rsid w:val="00F719B9"/>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F719B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ECB"/>
    <w:rPr>
      <w:sz w:val="16"/>
      <w:szCs w:val="16"/>
    </w:rPr>
  </w:style>
  <w:style w:type="paragraph" w:styleId="CommentText">
    <w:name w:val="annotation text"/>
    <w:basedOn w:val="Normal"/>
    <w:link w:val="CommentTextChar"/>
    <w:uiPriority w:val="99"/>
    <w:unhideWhenUsed/>
    <w:rsid w:val="008E0ECB"/>
    <w:pPr>
      <w:spacing w:line="240" w:lineRule="auto"/>
    </w:pPr>
    <w:rPr>
      <w:sz w:val="20"/>
      <w:szCs w:val="20"/>
    </w:rPr>
  </w:style>
  <w:style w:type="character" w:customStyle="1" w:styleId="CommentTextChar">
    <w:name w:val="Comment Text Char"/>
    <w:basedOn w:val="DefaultParagraphFont"/>
    <w:link w:val="CommentText"/>
    <w:uiPriority w:val="99"/>
    <w:rsid w:val="008E0ECB"/>
    <w:rPr>
      <w:rFonts w:eastAsiaTheme="minorEastAsia"/>
      <w:sz w:val="20"/>
      <w:szCs w:val="20"/>
      <w:lang w:eastAsia="sv-SE"/>
    </w:rPr>
  </w:style>
  <w:style w:type="paragraph" w:styleId="CommentSubject">
    <w:name w:val="annotation subject"/>
    <w:basedOn w:val="CommentText"/>
    <w:next w:val="CommentText"/>
    <w:link w:val="CommentSubjectChar"/>
    <w:uiPriority w:val="99"/>
    <w:semiHidden/>
    <w:unhideWhenUsed/>
    <w:rsid w:val="008E0ECB"/>
    <w:rPr>
      <w:b/>
      <w:bCs/>
    </w:rPr>
  </w:style>
  <w:style w:type="character" w:customStyle="1" w:styleId="CommentSubjectChar">
    <w:name w:val="Comment Subject Char"/>
    <w:basedOn w:val="CommentTextChar"/>
    <w:link w:val="CommentSubject"/>
    <w:uiPriority w:val="99"/>
    <w:semiHidden/>
    <w:rsid w:val="008E0ECB"/>
    <w:rPr>
      <w:rFonts w:eastAsiaTheme="minorEastAsia"/>
      <w:b/>
      <w:bCs/>
      <w:sz w:val="20"/>
      <w:szCs w:val="20"/>
      <w:lang w:eastAsia="sv-SE"/>
    </w:rPr>
  </w:style>
  <w:style w:type="paragraph" w:styleId="Header">
    <w:name w:val="header"/>
    <w:basedOn w:val="Normal"/>
    <w:link w:val="HeaderChar"/>
    <w:uiPriority w:val="99"/>
    <w:unhideWhenUsed/>
    <w:rsid w:val="007D7B9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7B97"/>
    <w:rPr>
      <w:rFonts w:eastAsiaTheme="minorEastAsia"/>
      <w:lang w:eastAsia="sv-SE"/>
    </w:rPr>
  </w:style>
  <w:style w:type="paragraph" w:styleId="Footer">
    <w:name w:val="footer"/>
    <w:basedOn w:val="Normal"/>
    <w:link w:val="FooterChar"/>
    <w:uiPriority w:val="99"/>
    <w:unhideWhenUsed/>
    <w:rsid w:val="007D7B9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7B97"/>
    <w:rPr>
      <w:rFonts w:eastAsiaTheme="minorEastAsia"/>
      <w:lang w:eastAsia="sv-SE"/>
    </w:rPr>
  </w:style>
  <w:style w:type="character" w:customStyle="1" w:styleId="Heading4Char">
    <w:name w:val="Heading 4 Char"/>
    <w:basedOn w:val="DefaultParagraphFont"/>
    <w:link w:val="Heading4"/>
    <w:uiPriority w:val="9"/>
    <w:semiHidden/>
    <w:rsid w:val="002411B8"/>
    <w:rPr>
      <w:rFonts w:asciiTheme="majorHAnsi" w:eastAsiaTheme="majorEastAsia" w:hAnsiTheme="majorHAnsi" w:cstheme="majorBidi"/>
      <w:b/>
      <w:bCs/>
      <w:i/>
      <w:iCs/>
      <w:color w:val="4F81BD" w:themeColor="accent1"/>
      <w:lang w:eastAsia="sv-SE"/>
    </w:rPr>
  </w:style>
  <w:style w:type="character" w:styleId="Emphasis">
    <w:name w:val="Emphasis"/>
    <w:basedOn w:val="DefaultParagraphFont"/>
    <w:uiPriority w:val="20"/>
    <w:qFormat/>
    <w:rsid w:val="009C55B7"/>
    <w:rPr>
      <w:i/>
      <w:iCs/>
    </w:rPr>
  </w:style>
  <w:style w:type="character" w:customStyle="1" w:styleId="apple-converted-space">
    <w:name w:val="apple-converted-space"/>
    <w:basedOn w:val="DefaultParagraphFont"/>
    <w:rsid w:val="009C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7908">
      <w:bodyDiv w:val="1"/>
      <w:marLeft w:val="0"/>
      <w:marRight w:val="0"/>
      <w:marTop w:val="0"/>
      <w:marBottom w:val="0"/>
      <w:divBdr>
        <w:top w:val="none" w:sz="0" w:space="0" w:color="auto"/>
        <w:left w:val="none" w:sz="0" w:space="0" w:color="auto"/>
        <w:bottom w:val="none" w:sz="0" w:space="0" w:color="auto"/>
        <w:right w:val="none" w:sz="0" w:space="0" w:color="auto"/>
      </w:divBdr>
    </w:div>
    <w:div w:id="489177403">
      <w:bodyDiv w:val="1"/>
      <w:marLeft w:val="0"/>
      <w:marRight w:val="0"/>
      <w:marTop w:val="0"/>
      <w:marBottom w:val="0"/>
      <w:divBdr>
        <w:top w:val="none" w:sz="0" w:space="0" w:color="auto"/>
        <w:left w:val="none" w:sz="0" w:space="0" w:color="auto"/>
        <w:bottom w:val="none" w:sz="0" w:space="0" w:color="auto"/>
        <w:right w:val="none" w:sz="0" w:space="0" w:color="auto"/>
      </w:divBdr>
    </w:div>
    <w:div w:id="1090157666">
      <w:bodyDiv w:val="1"/>
      <w:marLeft w:val="0"/>
      <w:marRight w:val="0"/>
      <w:marTop w:val="0"/>
      <w:marBottom w:val="0"/>
      <w:divBdr>
        <w:top w:val="none" w:sz="0" w:space="0" w:color="auto"/>
        <w:left w:val="none" w:sz="0" w:space="0" w:color="auto"/>
        <w:bottom w:val="none" w:sz="0" w:space="0" w:color="auto"/>
        <w:right w:val="none" w:sz="0" w:space="0" w:color="auto"/>
      </w:divBdr>
    </w:div>
    <w:div w:id="1690335327">
      <w:bodyDiv w:val="1"/>
      <w:marLeft w:val="0"/>
      <w:marRight w:val="0"/>
      <w:marTop w:val="0"/>
      <w:marBottom w:val="0"/>
      <w:divBdr>
        <w:top w:val="none" w:sz="0" w:space="0" w:color="auto"/>
        <w:left w:val="none" w:sz="0" w:space="0" w:color="auto"/>
        <w:bottom w:val="none" w:sz="0" w:space="0" w:color="auto"/>
        <w:right w:val="none" w:sz="0" w:space="0" w:color="auto"/>
      </w:divBdr>
    </w:div>
    <w:div w:id="1747192306">
      <w:bodyDiv w:val="1"/>
      <w:marLeft w:val="0"/>
      <w:marRight w:val="0"/>
      <w:marTop w:val="0"/>
      <w:marBottom w:val="0"/>
      <w:divBdr>
        <w:top w:val="none" w:sz="0" w:space="0" w:color="auto"/>
        <w:left w:val="none" w:sz="0" w:space="0" w:color="auto"/>
        <w:bottom w:val="none" w:sz="0" w:space="0" w:color="auto"/>
        <w:right w:val="none" w:sz="0" w:space="0" w:color="auto"/>
      </w:divBdr>
    </w:div>
    <w:div w:id="20016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sch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ob.philipson@datscha.com" TargetMode="External"/><Relationship Id="rId5" Type="http://schemas.openxmlformats.org/officeDocument/2006/relationships/settings" Target="settings.xml"/><Relationship Id="rId10" Type="http://schemas.openxmlformats.org/officeDocument/2006/relationships/hyperlink" Target="http://www.datsch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641F-F76B-4434-841F-848373ED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Stronghold Invest AB</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Nilsson</dc:creator>
  <cp:lastModifiedBy>Johan Hopstadius</cp:lastModifiedBy>
  <cp:revision>2</cp:revision>
  <cp:lastPrinted>2016-06-07T13:03:00Z</cp:lastPrinted>
  <dcterms:created xsi:type="dcterms:W3CDTF">2016-06-08T13:30:00Z</dcterms:created>
  <dcterms:modified xsi:type="dcterms:W3CDTF">2016-06-08T13:30:00Z</dcterms:modified>
</cp:coreProperties>
</file>