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69B2" w14:textId="77777777" w:rsidR="007C6BAD" w:rsidRDefault="007C6BAD">
      <w:pPr>
        <w:rPr>
          <w:b/>
          <w:lang w:val="en-GB"/>
        </w:rPr>
      </w:pPr>
    </w:p>
    <w:p w14:paraId="631E9685" w14:textId="77777777" w:rsidR="007C6BAD" w:rsidRPr="00520AFC" w:rsidRDefault="00520AFC">
      <w:pPr>
        <w:rPr>
          <w:b/>
          <w:sz w:val="24"/>
        </w:rPr>
      </w:pPr>
      <w:r>
        <w:rPr>
          <w:b/>
          <w:sz w:val="24"/>
        </w:rPr>
        <w:t xml:space="preserve">Nye licenser kan sikre os olie og gas i fremtiden </w:t>
      </w:r>
    </w:p>
    <w:p w14:paraId="278169C0" w14:textId="77777777" w:rsidR="007C6BAD" w:rsidRPr="00520AFC" w:rsidRDefault="00520AFC">
      <w:pPr>
        <w:rPr>
          <w:b/>
        </w:rPr>
      </w:pPr>
      <w:r>
        <w:rPr>
          <w:b/>
        </w:rPr>
        <w:t>DONG Energy er blevet tildelt to nye licenser i den 28. udbudsrunde i Storbritannien.</w:t>
      </w:r>
    </w:p>
    <w:p w14:paraId="2AC2A0C6" w14:textId="77777777" w:rsidR="007C6BAD" w:rsidRPr="00520AFC" w:rsidRDefault="007C6BAD"/>
    <w:p w14:paraId="079EA459" w14:textId="77777777" w:rsidR="007C6BAD" w:rsidRPr="00520AFC" w:rsidRDefault="00520AFC">
      <w:pPr>
        <w:rPr>
          <w:rFonts w:eastAsia="Times New Roman"/>
        </w:rPr>
      </w:pPr>
      <w:r>
        <w:rPr>
          <w:rFonts w:eastAsia="Times New Roman"/>
        </w:rPr>
        <w:t>I en af de største udbudsrunder, der er set i de sidste fem årtier, blev DONG Energy og vores partnere tildelt to nye licenser i området vest for Shetlandsøerne.</w:t>
      </w:r>
    </w:p>
    <w:p w14:paraId="6C13AAB1" w14:textId="77777777" w:rsidR="007C6BAD" w:rsidRPr="00520AFC" w:rsidRDefault="007C6BAD">
      <w:pPr>
        <w:rPr>
          <w:rFonts w:eastAsia="Times New Roman"/>
        </w:rPr>
      </w:pPr>
    </w:p>
    <w:p w14:paraId="498849A0" w14:textId="24FD303A" w:rsidR="007C6BAD" w:rsidRPr="00520AFC" w:rsidRDefault="00520AFC">
      <w:pPr>
        <w:rPr>
          <w:sz w:val="18"/>
          <w:szCs w:val="18"/>
        </w:rPr>
      </w:pPr>
      <w:r>
        <w:rPr>
          <w:sz w:val="18"/>
          <w:szCs w:val="18"/>
        </w:rPr>
        <w:t xml:space="preserve">"Jeg er meget glad for, at vores engagement og indsats i området vest for Shetlandsøerne er blevet belønnet med disse to licenser.  I Laggan-Tormore-området har vi allerede felter, som er under udvikling og flere fund. Det at kunne tilføje en efterforskningslicens i dette område giver et endnu større potentiale for fremtidig produktion, hvilket vil styrke vores position i det centrale Laggan-Tormore-område. Derudover er vi nu på vej ind i et spændende </w:t>
      </w:r>
      <w:r w:rsidR="006B2B09">
        <w:rPr>
          <w:sz w:val="18"/>
          <w:szCs w:val="18"/>
        </w:rPr>
        <w:t xml:space="preserve">nyt </w:t>
      </w:r>
      <w:r>
        <w:rPr>
          <w:sz w:val="18"/>
          <w:szCs w:val="18"/>
        </w:rPr>
        <w:t xml:space="preserve">område nordøst for Rockall," siger Jon Parry, </w:t>
      </w:r>
      <w:r w:rsidR="00F6613B">
        <w:rPr>
          <w:sz w:val="18"/>
          <w:szCs w:val="18"/>
        </w:rPr>
        <w:t>efterforskningschef</w:t>
      </w:r>
      <w:r w:rsidR="00340E8C">
        <w:rPr>
          <w:sz w:val="18"/>
          <w:szCs w:val="18"/>
        </w:rPr>
        <w:t xml:space="preserve"> </w:t>
      </w:r>
      <w:r w:rsidR="00F6613B">
        <w:rPr>
          <w:sz w:val="18"/>
          <w:szCs w:val="18"/>
        </w:rPr>
        <w:t>DONG Energy</w:t>
      </w:r>
      <w:r w:rsidR="00340E8C">
        <w:rPr>
          <w:sz w:val="18"/>
          <w:szCs w:val="18"/>
        </w:rPr>
        <w:t xml:space="preserve"> UK</w:t>
      </w:r>
      <w:r>
        <w:rPr>
          <w:sz w:val="18"/>
          <w:szCs w:val="18"/>
        </w:rPr>
        <w:t>.</w:t>
      </w:r>
    </w:p>
    <w:p w14:paraId="0C7D6CC0" w14:textId="77777777" w:rsidR="007C6BAD" w:rsidRPr="00520AFC" w:rsidRDefault="007C6BAD">
      <w:pPr>
        <w:rPr>
          <w:rFonts w:eastAsia="Times New Roman"/>
        </w:rPr>
      </w:pPr>
    </w:p>
    <w:p w14:paraId="42C1AB43" w14:textId="77777777" w:rsidR="007C6BAD" w:rsidRPr="00520AFC" w:rsidRDefault="00520AFC">
      <w:pPr>
        <w:rPr>
          <w:b/>
        </w:rPr>
      </w:pPr>
      <w:r>
        <w:rPr>
          <w:b/>
        </w:rPr>
        <w:t>Longjohn og Rockall</w:t>
      </w:r>
    </w:p>
    <w:p w14:paraId="1AD3F4F2" w14:textId="6831F717" w:rsidR="007C6BAD" w:rsidRPr="00520AFC" w:rsidRDefault="00520AFC">
      <w:r>
        <w:t xml:space="preserve">Den første licens har fået navnet 'Longjohn'. DONG Energy ejer 20%, mens operatøren Total ejer de resterende 80%. Longjohn </w:t>
      </w:r>
      <w:r w:rsidR="00340E8C">
        <w:t>forventes at være</w:t>
      </w:r>
      <w:r>
        <w:t xml:space="preserve"> et gasfelt, som støder op til det eksisterende Laggan-Tormore-felt. Et gasfund </w:t>
      </w:r>
      <w:r w:rsidR="00340E8C">
        <w:t>i</w:t>
      </w:r>
      <w:r>
        <w:t xml:space="preserve"> Longjohn vil potentielt kunne benytte den infrastruktur, som i øjeblikket er ved at blive installeret af Total og DONG Energy ved Shetlandsøerne.</w:t>
      </w:r>
    </w:p>
    <w:p w14:paraId="5068A5F4" w14:textId="77777777" w:rsidR="007C6BAD" w:rsidRPr="00520AFC" w:rsidRDefault="007C6BAD"/>
    <w:p w14:paraId="59B36AC4" w14:textId="596D3D59" w:rsidR="007C6BAD" w:rsidRPr="00520AFC" w:rsidRDefault="00520AFC">
      <w:r>
        <w:t xml:space="preserve">En anden licens er blevet tildelt i </w:t>
      </w:r>
      <w:r w:rsidR="00340E8C">
        <w:t xml:space="preserve">et nyt </w:t>
      </w:r>
      <w:r>
        <w:t>område ved Rockall-bassinet. Her vil DONG Energy indgå i et partnerskab med Statoil, og OMV vil være operatør. Dette potentielle olieområde er beliggende nordvest for de Ydre Hebrider i et tidligere lidet udforsket område af den britiske kontinentalsokkel. Hvis efterforskningen bliver en succes, vil det åbne området for fremtidige aktiviteter.</w:t>
      </w:r>
    </w:p>
    <w:p w14:paraId="5313B4F9" w14:textId="77777777" w:rsidR="007C6BAD" w:rsidRDefault="007C6BAD">
      <w:pPr>
        <w:rPr>
          <w:rFonts w:cs="Arial"/>
          <w:color w:val="000000"/>
          <w:sz w:val="18"/>
          <w:szCs w:val="18"/>
        </w:rPr>
      </w:pPr>
    </w:p>
    <w:p w14:paraId="36129125" w14:textId="1D94350D" w:rsidR="007C6BAD" w:rsidRPr="00520AFC" w:rsidRDefault="00520AFC">
      <w:pPr>
        <w:rPr>
          <w:color w:val="000000"/>
          <w:sz w:val="18"/>
          <w:szCs w:val="18"/>
        </w:rPr>
      </w:pPr>
      <w:r>
        <w:rPr>
          <w:rFonts w:eastAsia="Times New Roman"/>
        </w:rPr>
        <w:t xml:space="preserve">"Vi er meget </w:t>
      </w:r>
      <w:r w:rsidR="009872A6">
        <w:rPr>
          <w:rFonts w:eastAsia="Times New Roman"/>
        </w:rPr>
        <w:t>tilfredse</w:t>
      </w:r>
      <w:r>
        <w:rPr>
          <w:rFonts w:eastAsia="Times New Roman"/>
        </w:rPr>
        <w:t>, da vi har fået de licenser, vi søgte om.</w:t>
      </w:r>
      <w:r>
        <w:rPr>
          <w:color w:val="000000"/>
          <w:sz w:val="18"/>
          <w:szCs w:val="18"/>
        </w:rPr>
        <w:t xml:space="preserve"> Vi har styrket vores position i </w:t>
      </w:r>
      <w:r w:rsidR="009872A6">
        <w:rPr>
          <w:color w:val="000000"/>
          <w:sz w:val="18"/>
          <w:szCs w:val="18"/>
        </w:rPr>
        <w:t>vores kerneområde,</w:t>
      </w:r>
      <w:r>
        <w:rPr>
          <w:color w:val="000000"/>
          <w:sz w:val="18"/>
          <w:szCs w:val="18"/>
        </w:rPr>
        <w:t xml:space="preserve">e Laggan-Tormore, og vi har etableret os i det nordøstlige Rockall-bassin, hvor vi ser et stort potentiale," siger Jan Terje Edvardsen, </w:t>
      </w:r>
      <w:r w:rsidR="009872A6">
        <w:rPr>
          <w:color w:val="000000"/>
          <w:sz w:val="18"/>
          <w:szCs w:val="18"/>
        </w:rPr>
        <w:t>efterforskningsdirektør</w:t>
      </w:r>
      <w:r>
        <w:rPr>
          <w:color w:val="000000"/>
          <w:sz w:val="18"/>
          <w:szCs w:val="18"/>
        </w:rPr>
        <w:t xml:space="preserve"> i E&amp;P.</w:t>
      </w:r>
    </w:p>
    <w:p w14:paraId="0157065F" w14:textId="77777777" w:rsidR="007C6BAD" w:rsidRPr="00520AFC" w:rsidRDefault="007C6BAD">
      <w:pPr>
        <w:rPr>
          <w:rFonts w:eastAsia="Times New Roman"/>
          <w:highlight w:val="cyan"/>
        </w:rPr>
      </w:pPr>
    </w:p>
    <w:p w14:paraId="029C1A65" w14:textId="3A7B49F3" w:rsidR="007C6BAD" w:rsidRPr="00520AFC" w:rsidRDefault="00520AFC">
      <w:pPr>
        <w:rPr>
          <w:rFonts w:eastAsia="Times New Roman"/>
        </w:rPr>
      </w:pPr>
      <w:r>
        <w:rPr>
          <w:rFonts w:eastAsia="Times New Roman"/>
        </w:rPr>
        <w:t>E&amp;P er kommet tættere på decideret produktion i Storbritannien i stedet for 'bare' et potentiale. Laggan-Tomore-felterne er i øjeblikket under ud</w:t>
      </w:r>
      <w:r w:rsidR="009872A6">
        <w:rPr>
          <w:rFonts w:eastAsia="Times New Roman"/>
        </w:rPr>
        <w:t>bygning med</w:t>
      </w:r>
      <w:r>
        <w:rPr>
          <w:rFonts w:eastAsia="Times New Roman"/>
        </w:rPr>
        <w:t xml:space="preserve"> forvente</w:t>
      </w:r>
      <w:r w:rsidR="009872A6">
        <w:rPr>
          <w:rFonts w:eastAsia="Times New Roman"/>
        </w:rPr>
        <w:t>t</w:t>
      </w:r>
      <w:r>
        <w:rPr>
          <w:rFonts w:eastAsia="Times New Roman"/>
        </w:rPr>
        <w:t xml:space="preserve"> produktionsstart i 2015. Derudover har vi investeringsbeslutning på Glenlivet og Edradour. </w:t>
      </w:r>
    </w:p>
    <w:p w14:paraId="39AD4ACB" w14:textId="77777777" w:rsidR="007C6BAD" w:rsidRPr="00520AFC" w:rsidRDefault="007C6BAD">
      <w:pPr>
        <w:rPr>
          <w:rFonts w:eastAsia="Times New Roman"/>
        </w:rPr>
      </w:pPr>
    </w:p>
    <w:p w14:paraId="68931F20" w14:textId="77777777" w:rsidR="007C6BAD" w:rsidRPr="00520AFC" w:rsidRDefault="007C6BAD">
      <w:bookmarkStart w:id="0" w:name="_GoBack"/>
      <w:bookmarkEnd w:id="0"/>
    </w:p>
    <w:p w14:paraId="6F1DFABE" w14:textId="77777777" w:rsidR="007C6BAD" w:rsidRDefault="00520AFC">
      <w:pPr>
        <w:rPr>
          <w:lang w:val="en-GB"/>
        </w:rPr>
      </w:pPr>
      <w:r>
        <w:t>Faktabokse:</w:t>
      </w:r>
    </w:p>
    <w:p w14:paraId="6C294F58" w14:textId="77777777" w:rsidR="007C6BAD" w:rsidRDefault="007C6BAD">
      <w:pPr>
        <w:rPr>
          <w:lang w:val="en-GB"/>
        </w:rPr>
      </w:pPr>
    </w:p>
    <w:p w14:paraId="07D5DAC8" w14:textId="77777777" w:rsidR="007C6BAD" w:rsidRDefault="00520AFC">
      <w:pPr>
        <w:rPr>
          <w:b/>
          <w:lang w:val="en-GB"/>
        </w:rPr>
      </w:pPr>
      <w:r>
        <w:rPr>
          <w:b/>
        </w:rPr>
        <w:t>Det nordøstlige Rockall-bassin</w:t>
      </w:r>
    </w:p>
    <w:p w14:paraId="3236EF38" w14:textId="65775478" w:rsidR="007C6BAD" w:rsidRPr="00520AFC" w:rsidRDefault="00520AFC">
      <w:pPr>
        <w:numPr>
          <w:ilvl w:val="0"/>
          <w:numId w:val="14"/>
        </w:numPr>
      </w:pPr>
      <w:r>
        <w:t xml:space="preserve">9-årig </w:t>
      </w:r>
      <w:r w:rsidR="009872A6">
        <w:t>efterforsknings</w:t>
      </w:r>
      <w:r>
        <w:t>licens, som består af 9 blokke, der strækker sig over 1911 km2.</w:t>
      </w:r>
    </w:p>
    <w:p w14:paraId="0083F28B" w14:textId="0ECB84C9" w:rsidR="007C6BAD" w:rsidRPr="00520AFC" w:rsidRDefault="00520AFC">
      <w:pPr>
        <w:numPr>
          <w:ilvl w:val="0"/>
          <w:numId w:val="14"/>
        </w:numPr>
      </w:pPr>
      <w:r>
        <w:t>Partnerskabet består af OMV (operatør; 60% ), Statoil (30%) og DONG Energy (10%).</w:t>
      </w:r>
    </w:p>
    <w:p w14:paraId="60FC5EA3" w14:textId="77777777" w:rsidR="007C6BAD" w:rsidRPr="00520AFC" w:rsidRDefault="00520AFC">
      <w:pPr>
        <w:numPr>
          <w:ilvl w:val="0"/>
          <w:numId w:val="14"/>
        </w:numPr>
      </w:pPr>
      <w:r>
        <w:t>Ca. 100 km nordvest for de Ydre Hebrider.</w:t>
      </w:r>
    </w:p>
    <w:p w14:paraId="4CC7907F" w14:textId="77777777" w:rsidR="007C6BAD" w:rsidRDefault="00520AFC">
      <w:pPr>
        <w:numPr>
          <w:ilvl w:val="0"/>
          <w:numId w:val="14"/>
        </w:numPr>
        <w:rPr>
          <w:lang w:val="en-GB"/>
        </w:rPr>
      </w:pPr>
      <w:r>
        <w:t>Vanddybde på 250-1000 meter.</w:t>
      </w:r>
    </w:p>
    <w:p w14:paraId="1EFF320E" w14:textId="77777777" w:rsidR="007C6BAD" w:rsidRDefault="007C6BAD">
      <w:pPr>
        <w:rPr>
          <w:lang w:val="en-GB"/>
        </w:rPr>
      </w:pPr>
    </w:p>
    <w:p w14:paraId="3F2FF55D" w14:textId="77FDD14A" w:rsidR="007C6BAD" w:rsidRDefault="00520AFC">
      <w:pPr>
        <w:rPr>
          <w:b/>
          <w:lang w:val="en-GB"/>
        </w:rPr>
      </w:pPr>
      <w:r>
        <w:rPr>
          <w:b/>
        </w:rPr>
        <w:t>Flett-bassinet</w:t>
      </w:r>
      <w:r w:rsidR="009872A6">
        <w:rPr>
          <w:b/>
        </w:rPr>
        <w:t>,</w:t>
      </w:r>
      <w:r>
        <w:rPr>
          <w:b/>
        </w:rPr>
        <w:t xml:space="preserve"> Longjohn</w:t>
      </w:r>
    </w:p>
    <w:p w14:paraId="2DE4C60E" w14:textId="77777777" w:rsidR="007C6BAD" w:rsidRPr="00520AFC" w:rsidRDefault="00520AFC">
      <w:pPr>
        <w:numPr>
          <w:ilvl w:val="0"/>
          <w:numId w:val="15"/>
        </w:numPr>
      </w:pPr>
      <w:r>
        <w:t>4-årig efterforskningslicens, som består af 2 blokke, der strækker sig over 277 km2.</w:t>
      </w:r>
    </w:p>
    <w:p w14:paraId="3C8ED5B0" w14:textId="1392AE32" w:rsidR="007C6BAD" w:rsidRPr="00520AFC" w:rsidRDefault="00520AFC">
      <w:pPr>
        <w:numPr>
          <w:ilvl w:val="0"/>
          <w:numId w:val="15"/>
        </w:numPr>
      </w:pPr>
      <w:r>
        <w:t>Partnerskabet består af Total (operatør</w:t>
      </w:r>
      <w:r w:rsidR="009872A6">
        <w:t>,</w:t>
      </w:r>
      <w:r>
        <w:t xml:space="preserve"> 80%) og DONG Energy (20%).</w:t>
      </w:r>
    </w:p>
    <w:p w14:paraId="4EA8892B" w14:textId="77777777" w:rsidR="007C6BAD" w:rsidRPr="00520AFC" w:rsidRDefault="00520AFC">
      <w:pPr>
        <w:numPr>
          <w:ilvl w:val="0"/>
          <w:numId w:val="15"/>
        </w:numPr>
      </w:pPr>
      <w:r>
        <w:t>Ca. 120 km nordvest for Shetlandsøerne.</w:t>
      </w:r>
    </w:p>
    <w:p w14:paraId="32A3145C" w14:textId="77777777" w:rsidR="007C6BAD" w:rsidRDefault="00520AFC">
      <w:pPr>
        <w:numPr>
          <w:ilvl w:val="0"/>
          <w:numId w:val="15"/>
        </w:numPr>
        <w:rPr>
          <w:lang w:val="en-GB"/>
        </w:rPr>
      </w:pPr>
      <w:r>
        <w:t>Vanddybde på 600-1000 meter.</w:t>
      </w:r>
    </w:p>
    <w:sectPr w:rsidR="007C6B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CF59" w14:textId="77777777" w:rsidR="005E0E8C" w:rsidRDefault="005E0E8C" w:rsidP="00077DBE">
      <w:pPr>
        <w:spacing w:line="240" w:lineRule="auto"/>
      </w:pPr>
      <w:r>
        <w:separator/>
      </w:r>
    </w:p>
  </w:endnote>
  <w:endnote w:type="continuationSeparator" w:id="0">
    <w:p w14:paraId="32C32DFD" w14:textId="77777777" w:rsidR="005E0E8C" w:rsidRDefault="005E0E8C" w:rsidP="0007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1EBB" w14:textId="77777777" w:rsidR="00077DBE" w:rsidRDefault="00077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5300" w14:textId="77777777" w:rsidR="00077DBE" w:rsidRDefault="00077D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9291" w14:textId="77777777" w:rsidR="00077DBE" w:rsidRDefault="0007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DB10" w14:textId="77777777" w:rsidR="005E0E8C" w:rsidRDefault="005E0E8C" w:rsidP="00077DBE">
      <w:pPr>
        <w:spacing w:line="240" w:lineRule="auto"/>
      </w:pPr>
      <w:r>
        <w:separator/>
      </w:r>
    </w:p>
  </w:footnote>
  <w:footnote w:type="continuationSeparator" w:id="0">
    <w:p w14:paraId="69085E64" w14:textId="77777777" w:rsidR="005E0E8C" w:rsidRDefault="005E0E8C" w:rsidP="0007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D3FB" w14:textId="77777777" w:rsidR="00077DBE" w:rsidRDefault="00077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3B165" w14:textId="77777777" w:rsidR="00077DBE" w:rsidRDefault="00077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2192" w14:textId="77777777" w:rsidR="00077DBE" w:rsidRDefault="00077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31"/>
    <w:multiLevelType w:val="hybridMultilevel"/>
    <w:tmpl w:val="8DF43CF2"/>
    <w:lvl w:ilvl="0" w:tplc="71402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9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25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C7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C8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84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0C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CA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407E5"/>
    <w:multiLevelType w:val="hybridMultilevel"/>
    <w:tmpl w:val="A5F6489C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6D7A"/>
    <w:multiLevelType w:val="hybridMultilevel"/>
    <w:tmpl w:val="72A47BF2"/>
    <w:lvl w:ilvl="0" w:tplc="94F86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86F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89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A1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CC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A2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00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E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64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1040A"/>
    <w:multiLevelType w:val="hybridMultilevel"/>
    <w:tmpl w:val="327E6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02B3"/>
    <w:multiLevelType w:val="hybridMultilevel"/>
    <w:tmpl w:val="513CF56A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600D"/>
    <w:multiLevelType w:val="hybridMultilevel"/>
    <w:tmpl w:val="E138DA60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14B6"/>
    <w:multiLevelType w:val="hybridMultilevel"/>
    <w:tmpl w:val="7FEA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3400"/>
    <w:multiLevelType w:val="hybridMultilevel"/>
    <w:tmpl w:val="4E84A62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5399"/>
    <w:multiLevelType w:val="multilevel"/>
    <w:tmpl w:val="1B8A0622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CA"/>
    <w:rsid w:val="00003982"/>
    <w:rsid w:val="000268A9"/>
    <w:rsid w:val="00077DBE"/>
    <w:rsid w:val="00085AF8"/>
    <w:rsid w:val="00086398"/>
    <w:rsid w:val="000E766E"/>
    <w:rsid w:val="00171D40"/>
    <w:rsid w:val="001A3CDD"/>
    <w:rsid w:val="001A6E23"/>
    <w:rsid w:val="001D4567"/>
    <w:rsid w:val="001D7104"/>
    <w:rsid w:val="001E088D"/>
    <w:rsid w:val="001F49CA"/>
    <w:rsid w:val="00237EB3"/>
    <w:rsid w:val="00250373"/>
    <w:rsid w:val="00294E91"/>
    <w:rsid w:val="002D28DA"/>
    <w:rsid w:val="00340E8C"/>
    <w:rsid w:val="003A14A0"/>
    <w:rsid w:val="004158DD"/>
    <w:rsid w:val="0042441B"/>
    <w:rsid w:val="00472FDA"/>
    <w:rsid w:val="004E10CD"/>
    <w:rsid w:val="004E1536"/>
    <w:rsid w:val="004E331D"/>
    <w:rsid w:val="004F7DFF"/>
    <w:rsid w:val="00500EDA"/>
    <w:rsid w:val="00501D5A"/>
    <w:rsid w:val="00511DD1"/>
    <w:rsid w:val="00520AFC"/>
    <w:rsid w:val="00563A24"/>
    <w:rsid w:val="005E0E8C"/>
    <w:rsid w:val="005F15A5"/>
    <w:rsid w:val="00603A82"/>
    <w:rsid w:val="00607BA3"/>
    <w:rsid w:val="00613E78"/>
    <w:rsid w:val="0066350C"/>
    <w:rsid w:val="00671C0B"/>
    <w:rsid w:val="00674E48"/>
    <w:rsid w:val="006B2B09"/>
    <w:rsid w:val="006B5983"/>
    <w:rsid w:val="006C5978"/>
    <w:rsid w:val="006D1CFE"/>
    <w:rsid w:val="006F3E5B"/>
    <w:rsid w:val="00715C88"/>
    <w:rsid w:val="0075464C"/>
    <w:rsid w:val="00761748"/>
    <w:rsid w:val="007740FB"/>
    <w:rsid w:val="00776EF2"/>
    <w:rsid w:val="007B0A70"/>
    <w:rsid w:val="007C43EA"/>
    <w:rsid w:val="007C6BAD"/>
    <w:rsid w:val="007D35E5"/>
    <w:rsid w:val="007D7B26"/>
    <w:rsid w:val="007F3073"/>
    <w:rsid w:val="008463A9"/>
    <w:rsid w:val="00870B13"/>
    <w:rsid w:val="00887815"/>
    <w:rsid w:val="00927E2A"/>
    <w:rsid w:val="00933E92"/>
    <w:rsid w:val="00946B9B"/>
    <w:rsid w:val="00967CC9"/>
    <w:rsid w:val="009872A6"/>
    <w:rsid w:val="009D3D9C"/>
    <w:rsid w:val="009D5456"/>
    <w:rsid w:val="00A033F0"/>
    <w:rsid w:val="00A12C48"/>
    <w:rsid w:val="00A3554D"/>
    <w:rsid w:val="00A645F6"/>
    <w:rsid w:val="00AE5773"/>
    <w:rsid w:val="00B155B3"/>
    <w:rsid w:val="00B3417E"/>
    <w:rsid w:val="00B75401"/>
    <w:rsid w:val="00B908AE"/>
    <w:rsid w:val="00B90CB7"/>
    <w:rsid w:val="00C361D5"/>
    <w:rsid w:val="00C43577"/>
    <w:rsid w:val="00C52ADA"/>
    <w:rsid w:val="00C729EA"/>
    <w:rsid w:val="00CC0A4B"/>
    <w:rsid w:val="00CF198E"/>
    <w:rsid w:val="00D61F8F"/>
    <w:rsid w:val="00D7051A"/>
    <w:rsid w:val="00D73652"/>
    <w:rsid w:val="00DD39A6"/>
    <w:rsid w:val="00DF7AA6"/>
    <w:rsid w:val="00E3640E"/>
    <w:rsid w:val="00E63BC0"/>
    <w:rsid w:val="00E938B1"/>
    <w:rsid w:val="00F15146"/>
    <w:rsid w:val="00F42FF2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F7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F15146"/>
    <w:pPr>
      <w:keepNext/>
      <w:numPr>
        <w:numId w:val="9"/>
      </w:numPr>
      <w:tabs>
        <w:tab w:val="left" w:pos="851"/>
      </w:tabs>
      <w:spacing w:after="280"/>
      <w:outlineLvl w:val="0"/>
    </w:pPr>
    <w:rPr>
      <w:rFonts w:eastAsia="Times New Roman" w:cs="Arial"/>
      <w:b/>
      <w:bCs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F15146"/>
    <w:pPr>
      <w:keepNext/>
      <w:numPr>
        <w:ilvl w:val="1"/>
        <w:numId w:val="9"/>
      </w:numPr>
      <w:tabs>
        <w:tab w:val="left" w:pos="851"/>
      </w:tabs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F15146"/>
    <w:pPr>
      <w:keepNext/>
      <w:numPr>
        <w:ilvl w:val="2"/>
        <w:numId w:val="9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qFormat/>
    <w:rsid w:val="00F15146"/>
    <w:pPr>
      <w:keepNext/>
      <w:numPr>
        <w:ilvl w:val="3"/>
        <w:numId w:val="9"/>
      </w:numPr>
      <w:tabs>
        <w:tab w:val="left" w:pos="851"/>
      </w:tabs>
      <w:outlineLvl w:val="3"/>
    </w:pPr>
    <w:rPr>
      <w:rFonts w:eastAsia="Times New Roman" w:cs="Times New Roman"/>
      <w:bCs/>
      <w:i/>
      <w:szCs w:val="28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146"/>
    <w:rPr>
      <w:rFonts w:ascii="Arial" w:eastAsia="Times New Roman" w:hAnsi="Arial" w:cs="Arial"/>
      <w:b/>
      <w:bCs/>
      <w:sz w:val="24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15146"/>
    <w:rPr>
      <w:rFonts w:ascii="Arial" w:eastAsia="Times New Roman" w:hAnsi="Arial" w:cs="Arial"/>
      <w:b/>
      <w:bCs/>
      <w:sz w:val="20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15146"/>
    <w:rPr>
      <w:rFonts w:ascii="Arial" w:eastAsia="Times New Roman" w:hAnsi="Arial" w:cs="Times New Roman"/>
      <w:bCs/>
      <w:i/>
      <w:sz w:val="20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F198E"/>
    <w:pPr>
      <w:keepNext/>
      <w:keepLines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98E"/>
    <w:pPr>
      <w:keepNext/>
      <w:keepLines/>
      <w:numPr>
        <w:ilvl w:val="1"/>
      </w:numPr>
    </w:pPr>
    <w:rPr>
      <w:rFonts w:eastAsiaTheme="majorEastAsia" w:cstheme="majorBidi"/>
      <w:b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ubtleEmphasis">
    <w:name w:val="Subtle Emphasis"/>
    <w:basedOn w:val="DefaultParagraphFon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B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BE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1F4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E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2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2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A24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8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F15146"/>
    <w:pPr>
      <w:keepNext/>
      <w:numPr>
        <w:numId w:val="9"/>
      </w:numPr>
      <w:tabs>
        <w:tab w:val="left" w:pos="851"/>
      </w:tabs>
      <w:spacing w:after="280"/>
      <w:outlineLvl w:val="0"/>
    </w:pPr>
    <w:rPr>
      <w:rFonts w:eastAsia="Times New Roman" w:cs="Arial"/>
      <w:b/>
      <w:bCs/>
      <w:sz w:val="24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F15146"/>
    <w:pPr>
      <w:keepNext/>
      <w:numPr>
        <w:ilvl w:val="1"/>
        <w:numId w:val="9"/>
      </w:numPr>
      <w:tabs>
        <w:tab w:val="left" w:pos="851"/>
      </w:tabs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F15146"/>
    <w:pPr>
      <w:keepNext/>
      <w:numPr>
        <w:ilvl w:val="2"/>
        <w:numId w:val="9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qFormat/>
    <w:rsid w:val="00F15146"/>
    <w:pPr>
      <w:keepNext/>
      <w:numPr>
        <w:ilvl w:val="3"/>
        <w:numId w:val="9"/>
      </w:numPr>
      <w:tabs>
        <w:tab w:val="left" w:pos="851"/>
      </w:tabs>
      <w:outlineLvl w:val="3"/>
    </w:pPr>
    <w:rPr>
      <w:rFonts w:eastAsia="Times New Roman" w:cs="Times New Roman"/>
      <w:bCs/>
      <w:i/>
      <w:szCs w:val="28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146"/>
    <w:rPr>
      <w:rFonts w:ascii="Arial" w:eastAsia="Times New Roman" w:hAnsi="Arial" w:cs="Arial"/>
      <w:b/>
      <w:bCs/>
      <w:sz w:val="24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15146"/>
    <w:rPr>
      <w:rFonts w:ascii="Arial" w:eastAsia="Times New Roman" w:hAnsi="Arial" w:cs="Arial"/>
      <w:b/>
      <w:bCs/>
      <w:sz w:val="20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15146"/>
    <w:rPr>
      <w:rFonts w:ascii="Arial" w:eastAsia="Times New Roman" w:hAnsi="Arial" w:cs="Times New Roman"/>
      <w:bCs/>
      <w:i/>
      <w:sz w:val="20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F198E"/>
    <w:pPr>
      <w:keepNext/>
      <w:keepLines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98E"/>
    <w:pPr>
      <w:keepNext/>
      <w:keepLines/>
      <w:numPr>
        <w:ilvl w:val="1"/>
      </w:numPr>
    </w:pPr>
    <w:rPr>
      <w:rFonts w:eastAsiaTheme="majorEastAsia" w:cstheme="majorBidi"/>
      <w:b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ubtleEmphasis">
    <w:name w:val="Subtle Emphasis"/>
    <w:basedOn w:val="DefaultParagraphFon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B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BE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1F4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E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2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2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A2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0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3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1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5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27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0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7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6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45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4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01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6baf5c4-7d6e-422e-8c8d-cac5a9515d73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7a2344-0660-482e-adff-4cc7c2f5f65a">DE-001858-00015783</_dlc_DocId>
    <_dlc_DocIdUrl xmlns="e47a2344-0660-482e-adff-4cc7c2f5f65a">
      <Url>http://workspaces/sites/groupcomm/_layouts/DocIdRedir.aspx?ID=DE-001858-00015783</Url>
      <Description>DE-001858-00015783</Description>
    </_dlc_DocIdUrl>
    <Beskrivelse xmlns="992e3b9e-f6b8-4ad4-8b75-bdec8323abf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116B3FB24A4FBB3017D407A6D7BC" ma:contentTypeVersion="10" ma:contentTypeDescription="Create a new document." ma:contentTypeScope="" ma:versionID="c18db62701f52023607779781c8544d1">
  <xsd:schema xmlns:xsd="http://www.w3.org/2001/XMLSchema" xmlns:xs="http://www.w3.org/2001/XMLSchema" xmlns:p="http://schemas.microsoft.com/office/2006/metadata/properties" xmlns:ns2="992e3b9e-f6b8-4ad4-8b75-bdec8323abf3" xmlns:ns3="e47a2344-0660-482e-adff-4cc7c2f5f65a" targetNamespace="http://schemas.microsoft.com/office/2006/metadata/properties" ma:root="true" ma:fieldsID="e9156aa054f7a0094ca0ac713aa03aad" ns2:_="" ns3:_="">
    <xsd:import namespace="992e3b9e-f6b8-4ad4-8b75-bdec8323abf3"/>
    <xsd:import namespace="e47a2344-0660-482e-adff-4cc7c2f5f65a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3b9e-f6b8-4ad4-8b75-bdec8323abf3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2344-0660-482e-adff-4cc7c2f5f65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E7A7B-BB3E-4F1A-8F3D-98DF0DBF6DCC}"/>
</file>

<file path=customXml/itemProps2.xml><?xml version="1.0" encoding="utf-8"?>
<ds:datastoreItem xmlns:ds="http://schemas.openxmlformats.org/officeDocument/2006/customXml" ds:itemID="{8499692D-1AC0-4F1A-A393-393AE29203A4}"/>
</file>

<file path=customXml/itemProps3.xml><?xml version="1.0" encoding="utf-8"?>
<ds:datastoreItem xmlns:ds="http://schemas.openxmlformats.org/officeDocument/2006/customXml" ds:itemID="{B04192EF-93CE-4E99-A122-B9F6714FDE0E}"/>
</file>

<file path=customXml/itemProps4.xml><?xml version="1.0" encoding="utf-8"?>
<ds:datastoreItem xmlns:ds="http://schemas.openxmlformats.org/officeDocument/2006/customXml" ds:itemID="{4FF863B5-3B25-461C-A999-3FF324A56591}"/>
</file>

<file path=customXml/itemProps5.xml><?xml version="1.0" encoding="utf-8"?>
<ds:datastoreItem xmlns:ds="http://schemas.openxmlformats.org/officeDocument/2006/customXml" ds:itemID="{834AAC7B-027D-4E9A-AE69-3B5CDA1B9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2014-11-10T13:47:00Z</dcterms:created>
  <dcterms:modified xsi:type="dcterms:W3CDTF">2014-11-10T13:48:00Z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a60210ff-6ec1-4823-9efd-4ec3efd8d280</vt:lpwstr>
  </property>
  <property fmtid="{D5CDD505-2E9C-101B-9397-08002B2CF9AE}" pid="3" name="ContentTypeId">
    <vt:lpwstr>0x010100CB94116B3FB24A4FBB3017D407A6D7BC</vt:lpwstr>
  </property>
</Properties>
</file>