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sv-SE"/>
        </w:rPr>
      </w:pPr>
    </w:p>
    <w:p w:rsid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sv-SE"/>
        </w:rPr>
      </w:pPr>
    </w:p>
    <w:p w:rsidR="0070513B" w:rsidRP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70513B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>Dat</w:t>
      </w:r>
      <w:r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>um</w:t>
      </w:r>
      <w:r w:rsidRPr="0070513B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000000"/>
          <w:sz w:val="20"/>
          <w:szCs w:val="20"/>
          <w:lang w:val="sv-SE"/>
        </w:rPr>
        <w:t>2014-02-03</w:t>
      </w:r>
    </w:p>
    <w:p w:rsidR="0070513B" w:rsidRP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70513B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 xml:space="preserve">För publicering </w:t>
      </w:r>
      <w:r w:rsidRPr="0070513B">
        <w:rPr>
          <w:rFonts w:ascii="Arial" w:hAnsi="Arial" w:cs="Arial"/>
          <w:color w:val="000000"/>
          <w:sz w:val="20"/>
          <w:szCs w:val="20"/>
          <w:lang w:val="sv-SE"/>
        </w:rPr>
        <w:t>Omedelbar</w:t>
      </w:r>
    </w:p>
    <w:p w:rsid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70513B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 xml:space="preserve">Kontakt </w:t>
      </w:r>
      <w:r w:rsidR="00EC4EE2">
        <w:rPr>
          <w:rFonts w:ascii="Arial" w:hAnsi="Arial" w:cs="Arial"/>
          <w:color w:val="000000"/>
          <w:sz w:val="20"/>
          <w:szCs w:val="20"/>
          <w:lang w:val="sv-SE"/>
        </w:rPr>
        <w:t>Jan ENEMAN</w:t>
      </w:r>
      <w:r w:rsidRPr="0070513B">
        <w:rPr>
          <w:rFonts w:ascii="Arial" w:hAnsi="Arial" w:cs="Arial"/>
          <w:color w:val="000000"/>
          <w:sz w:val="20"/>
          <w:szCs w:val="20"/>
          <w:lang w:val="sv-SE"/>
        </w:rPr>
        <w:t>, +46 8 598 940 00</w:t>
      </w:r>
    </w:p>
    <w:p w:rsid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</w:p>
    <w:p w:rsidR="0070513B" w:rsidRP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</w:p>
    <w:p w:rsidR="00941CB8" w:rsidRPr="00941CB8" w:rsidRDefault="00941CB8" w:rsidP="00941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lang w:val="sv-SE"/>
        </w:rPr>
      </w:pPr>
      <w:r w:rsidRPr="00941CB8">
        <w:rPr>
          <w:rFonts w:ascii="Arial" w:hAnsi="Arial" w:cs="Arial"/>
          <w:b/>
          <w:bCs/>
          <w:color w:val="333333"/>
          <w:lang w:val="sv-SE"/>
        </w:rPr>
        <w:t>xEnergy utbildningsvideor för ställverksbyggare</w:t>
      </w:r>
    </w:p>
    <w:p w:rsid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</w:p>
    <w:p w:rsidR="00941CB8" w:rsidRP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  <w:r w:rsidRPr="00941CB8">
        <w:rPr>
          <w:rFonts w:ascii="Arial" w:hAnsi="Arial" w:cs="Arial"/>
          <w:color w:val="333333"/>
          <w:sz w:val="20"/>
          <w:szCs w:val="20"/>
          <w:lang w:val="sv-SE"/>
        </w:rPr>
        <w:t>Krafthanteringsföretaget Eaton har lanserat en serie av informativa videor som visar ställverksmontörer hur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941CB8">
        <w:rPr>
          <w:rFonts w:ascii="Arial" w:hAnsi="Arial" w:cs="Arial"/>
          <w:color w:val="333333"/>
          <w:sz w:val="20"/>
          <w:szCs w:val="20"/>
          <w:lang w:val="sv-SE"/>
        </w:rPr>
        <w:t>de, på ett tydligt och lättförståeligt sätt, arbetar med och få ut det bästa från företagets modulära xEnergy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941CB8">
        <w:rPr>
          <w:rFonts w:ascii="Arial" w:hAnsi="Arial" w:cs="Arial"/>
          <w:color w:val="333333"/>
          <w:sz w:val="20"/>
          <w:szCs w:val="20"/>
          <w:lang w:val="sv-SE"/>
        </w:rPr>
        <w:t>lågspänningsställverk. Det finns fem filmer i serien. Var och en behandlar en av de vanligaste</w:t>
      </w:r>
    </w:p>
    <w:p w:rsidR="00941CB8" w:rsidRP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  <w:r w:rsidRPr="00941CB8">
        <w:rPr>
          <w:rFonts w:ascii="Arial" w:hAnsi="Arial" w:cs="Arial"/>
          <w:color w:val="333333"/>
          <w:sz w:val="20"/>
          <w:szCs w:val="20"/>
          <w:lang w:val="sv-SE"/>
        </w:rPr>
        <w:t>monteringstyperna som finns i xEnergy-systemet - som inkluderar fasta, borttagbara och utdragbara grupper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941CB8">
        <w:rPr>
          <w:rFonts w:ascii="Arial" w:hAnsi="Arial" w:cs="Arial"/>
          <w:color w:val="333333"/>
          <w:sz w:val="20"/>
          <w:szCs w:val="20"/>
          <w:lang w:val="sv-SE"/>
        </w:rPr>
        <w:t>- och visar hur de viktigaste komponenterna passar ihop.</w:t>
      </w:r>
    </w:p>
    <w:p w:rsidR="00941CB8" w:rsidRDefault="00EC4EE2" w:rsidP="00EC4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lang w:val="sv-SE"/>
        </w:rPr>
      </w:pPr>
      <w:r>
        <w:rPr>
          <w:rFonts w:ascii="Arial" w:hAnsi="Arial" w:cs="Arial"/>
          <w:b/>
          <w:bCs/>
          <w:noProof/>
          <w:color w:val="333333"/>
          <w:sz w:val="20"/>
          <w:szCs w:val="20"/>
        </w:rPr>
        <w:drawing>
          <wp:inline distT="0" distB="0" distL="0" distR="0">
            <wp:extent cx="1809750" cy="10176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263" cy="101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CB8" w:rsidRP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  <w:lang w:val="sv-SE"/>
        </w:rPr>
      </w:pPr>
      <w:r w:rsidRPr="00941CB8">
        <w:rPr>
          <w:rFonts w:ascii="Arial" w:hAnsi="Arial" w:cs="Arial"/>
          <w:b/>
          <w:bCs/>
          <w:color w:val="333333"/>
          <w:sz w:val="20"/>
          <w:szCs w:val="20"/>
          <w:lang w:val="sv-SE"/>
        </w:rPr>
        <w:t>Bildtext: Samlingen med xEnergy-videor finn</w:t>
      </w:r>
      <w:r>
        <w:rPr>
          <w:rFonts w:ascii="Arial" w:hAnsi="Arial" w:cs="Arial"/>
          <w:b/>
          <w:bCs/>
          <w:color w:val="333333"/>
          <w:sz w:val="20"/>
          <w:szCs w:val="20"/>
          <w:lang w:val="sv-SE"/>
        </w:rPr>
        <w:t>s</w:t>
      </w:r>
      <w:r w:rsidRPr="00941CB8">
        <w:rPr>
          <w:rFonts w:ascii="Arial" w:hAnsi="Arial" w:cs="Arial"/>
          <w:b/>
          <w:bCs/>
          <w:color w:val="333333"/>
          <w:sz w:val="20"/>
          <w:szCs w:val="20"/>
          <w:lang w:val="sv-SE"/>
        </w:rPr>
        <w:t xml:space="preserve"> tillgänglig online och på CD, från vilken en steg-för-steg</w:t>
      </w:r>
      <w:r>
        <w:rPr>
          <w:rFonts w:ascii="Arial" w:hAnsi="Arial" w:cs="Arial"/>
          <w:b/>
          <w:bCs/>
          <w:color w:val="333333"/>
          <w:sz w:val="20"/>
          <w:szCs w:val="20"/>
          <w:lang w:val="sv-SE"/>
        </w:rPr>
        <w:t xml:space="preserve"> </w:t>
      </w:r>
      <w:r w:rsidRPr="00941CB8">
        <w:rPr>
          <w:rFonts w:ascii="Arial" w:hAnsi="Arial" w:cs="Arial"/>
          <w:b/>
          <w:bCs/>
          <w:color w:val="333333"/>
          <w:sz w:val="20"/>
          <w:szCs w:val="20"/>
          <w:lang w:val="sv-SE"/>
        </w:rPr>
        <w:t>monteringsanvisning kan skrivas ut.</w:t>
      </w:r>
    </w:p>
    <w:p w:rsid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</w:p>
    <w:p w:rsidR="00941CB8" w:rsidRP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  <w:r w:rsidRPr="00941CB8">
        <w:rPr>
          <w:rFonts w:ascii="Arial" w:hAnsi="Arial" w:cs="Arial"/>
          <w:color w:val="333333"/>
          <w:sz w:val="20"/>
          <w:szCs w:val="20"/>
          <w:lang w:val="sv-SE"/>
        </w:rPr>
        <w:t>Filmerna kan nås på nätet genom att besöka Eaton Europes webbplats www.eaton.eu och följa länkarna till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941CB8">
        <w:rPr>
          <w:rFonts w:ascii="Arial" w:hAnsi="Arial" w:cs="Arial"/>
          <w:color w:val="333333"/>
          <w:sz w:val="20"/>
          <w:szCs w:val="20"/>
          <w:lang w:val="sv-SE"/>
        </w:rPr>
        <w:t>xEnergy distributionssystem. Alternativt kan en CD-version av filmerna, från vilken en steg-för-steg</w:t>
      </w:r>
    </w:p>
    <w:p w:rsid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  <w:r w:rsidRPr="00941CB8">
        <w:rPr>
          <w:rFonts w:ascii="Arial" w:hAnsi="Arial" w:cs="Arial"/>
          <w:color w:val="333333"/>
          <w:sz w:val="20"/>
          <w:szCs w:val="20"/>
          <w:lang w:val="sv-SE"/>
        </w:rPr>
        <w:t>monteringsanvisning för xEnergy kan skrivas ut, användas av xEnergy-partners och företag med intresse av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941CB8">
        <w:rPr>
          <w:rFonts w:ascii="Arial" w:hAnsi="Arial" w:cs="Arial"/>
          <w:color w:val="333333"/>
          <w:sz w:val="20"/>
          <w:szCs w:val="20"/>
          <w:lang w:val="sv-SE"/>
        </w:rPr>
        <w:t>att utforska de många tekniska och affärsmässiga fördelar som ett Eaton xEnergy-partnerskap ger</w:t>
      </w:r>
    </w:p>
    <w:p w:rsidR="00941CB8" w:rsidRP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  <w:r w:rsidRPr="00941CB8">
        <w:rPr>
          <w:rFonts w:ascii="Arial" w:hAnsi="Arial" w:cs="Arial"/>
          <w:color w:val="333333"/>
          <w:sz w:val="20"/>
          <w:szCs w:val="20"/>
          <w:lang w:val="sv-SE"/>
        </w:rPr>
        <w:t>.</w:t>
      </w:r>
    </w:p>
    <w:p w:rsidR="00941CB8" w:rsidRPr="00941CB8" w:rsidRDefault="00742CC9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  <w:r>
        <w:rPr>
          <w:rFonts w:ascii="Arial" w:hAnsi="Arial" w:cs="Arial"/>
          <w:color w:val="333333"/>
          <w:sz w:val="20"/>
          <w:szCs w:val="20"/>
          <w:lang w:val="sv-SE"/>
        </w:rPr>
        <w:t>-</w:t>
      </w:r>
      <w:r w:rsidR="00941CB8" w:rsidRPr="00941CB8">
        <w:rPr>
          <w:rFonts w:ascii="Arial" w:hAnsi="Arial" w:cs="Arial"/>
          <w:color w:val="333333"/>
          <w:sz w:val="20"/>
          <w:szCs w:val="20"/>
          <w:lang w:val="sv-SE"/>
        </w:rPr>
        <w:t>Vårt modulära xEnergy system är exceptionellt mångsidigt,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="00941CB8" w:rsidRPr="00941CB8">
        <w:rPr>
          <w:rFonts w:ascii="Arial" w:hAnsi="Arial" w:cs="Arial"/>
          <w:color w:val="333333"/>
          <w:sz w:val="20"/>
          <w:szCs w:val="20"/>
          <w:lang w:val="sv-SE"/>
        </w:rPr>
        <w:t>säger Berhard Gegenbauer, Product Line</w:t>
      </w:r>
    </w:p>
    <w:p w:rsid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  <w:r w:rsidRPr="00941CB8">
        <w:rPr>
          <w:rFonts w:ascii="Arial" w:hAnsi="Arial" w:cs="Arial"/>
          <w:color w:val="333333"/>
          <w:sz w:val="20"/>
          <w:szCs w:val="20"/>
          <w:lang w:val="sv-SE"/>
        </w:rPr>
        <w:t>Manager på Eaton. Och det ger elmontörer ett bekvämt och kostnadseffektivt sätt att producera attraktiva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941CB8">
        <w:rPr>
          <w:rFonts w:ascii="Arial" w:hAnsi="Arial" w:cs="Arial"/>
          <w:color w:val="333333"/>
          <w:sz w:val="20"/>
          <w:szCs w:val="20"/>
          <w:lang w:val="sv-SE"/>
        </w:rPr>
        <w:t>och tillförlitliga eldistributionscentraler upp till 5000 A, vilka helt överensstämmer med IEC 60439-1 och IEC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941CB8">
        <w:rPr>
          <w:rFonts w:ascii="Arial" w:hAnsi="Arial" w:cs="Arial"/>
          <w:color w:val="333333"/>
          <w:sz w:val="20"/>
          <w:szCs w:val="20"/>
          <w:lang w:val="sv-SE"/>
        </w:rPr>
        <w:t>61.439-2. Våra nya instruktionsfilmer gör xEnergy-systemet ännu enklare att arbeta med, vilket gör att isynnerhet nya användare sparar värdefull tid vid monteringen av panelskåpen. Filmerna är ett effektivt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941CB8">
        <w:rPr>
          <w:rFonts w:ascii="Arial" w:hAnsi="Arial" w:cs="Arial"/>
          <w:color w:val="333333"/>
          <w:sz w:val="20"/>
          <w:szCs w:val="20"/>
          <w:lang w:val="sv-SE"/>
        </w:rPr>
        <w:t>komplement till det omfattande stöd som Eaton redan ger sina panelmonteringspartners.</w:t>
      </w:r>
    </w:p>
    <w:p w:rsidR="00941CB8" w:rsidRP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</w:p>
    <w:p w:rsidR="00941CB8" w:rsidRP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  <w:bookmarkStart w:id="0" w:name="_GoBack"/>
      <w:r w:rsidRPr="00941CB8">
        <w:rPr>
          <w:rFonts w:ascii="Arial" w:hAnsi="Arial" w:cs="Arial"/>
          <w:color w:val="333333"/>
          <w:sz w:val="20"/>
          <w:szCs w:val="20"/>
          <w:lang w:val="sv-SE"/>
        </w:rPr>
        <w:t>xEnergy-systemet från Eaton ger elmontörer en praktisk lösning för den utmaning som det innebär att</w:t>
      </w:r>
    </w:p>
    <w:p w:rsidR="00941CB8" w:rsidRP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  <w:r w:rsidRPr="00941CB8">
        <w:rPr>
          <w:rFonts w:ascii="Arial" w:hAnsi="Arial" w:cs="Arial"/>
          <w:color w:val="333333"/>
          <w:sz w:val="20"/>
          <w:szCs w:val="20"/>
          <w:lang w:val="sv-SE"/>
        </w:rPr>
        <w:t>producera designverifierade, driftsäkra ställverk med lång livslängd. Mångsidigheten i systemet gör att</w:t>
      </w:r>
    </w:p>
    <w:p w:rsidR="00941CB8" w:rsidRP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  <w:r w:rsidRPr="00941CB8">
        <w:rPr>
          <w:rFonts w:ascii="Arial" w:hAnsi="Arial" w:cs="Arial"/>
          <w:color w:val="333333"/>
          <w:sz w:val="20"/>
          <w:szCs w:val="20"/>
          <w:lang w:val="sv-SE"/>
        </w:rPr>
        <w:lastRenderedPageBreak/>
        <w:t>användarna kan välja mellan fasta, borttagbara eller utdragbara grupper för att producera</w:t>
      </w:r>
    </w:p>
    <w:p w:rsidR="00941CB8" w:rsidRP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  <w:r w:rsidRPr="00941CB8">
        <w:rPr>
          <w:rFonts w:ascii="Arial" w:hAnsi="Arial" w:cs="Arial"/>
          <w:color w:val="333333"/>
          <w:sz w:val="20"/>
          <w:szCs w:val="20"/>
          <w:lang w:val="sv-SE"/>
        </w:rPr>
        <w:t>distributionspaneler som optimalt möter kraven för sitt användningsområde. xEnergy är utvecklad med</w:t>
      </w:r>
    </w:p>
    <w:p w:rsidR="00941CB8" w:rsidRP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  <w:r w:rsidRPr="00941CB8">
        <w:rPr>
          <w:rFonts w:ascii="Arial" w:hAnsi="Arial" w:cs="Arial"/>
          <w:color w:val="333333"/>
          <w:sz w:val="20"/>
          <w:szCs w:val="20"/>
          <w:lang w:val="sv-SE"/>
        </w:rPr>
        <w:t>säkerhet i åtanke och ger bästa möjliga skydd för människor och utrustning.</w:t>
      </w:r>
    </w:p>
    <w:p w:rsid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  <w:r w:rsidRPr="00941CB8">
        <w:rPr>
          <w:rFonts w:ascii="Arial" w:hAnsi="Arial" w:cs="Arial"/>
          <w:color w:val="333333"/>
          <w:sz w:val="20"/>
          <w:szCs w:val="20"/>
          <w:lang w:val="sv-SE"/>
        </w:rPr>
        <w:t>Filmerna i de nya xEnergy-serierna (XP, XF, XR,XW, XG) omfattar XP-kraftsektioner inklusive inkommande,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941CB8">
        <w:rPr>
          <w:rFonts w:ascii="Arial" w:hAnsi="Arial" w:cs="Arial"/>
          <w:color w:val="333333"/>
          <w:sz w:val="20"/>
          <w:szCs w:val="20"/>
          <w:lang w:val="sv-SE"/>
        </w:rPr>
        <w:t>utgående matning med effektbrytare, XF fasta grupper, såsom utgående matning med effektbrytare och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941CB8">
        <w:rPr>
          <w:rFonts w:ascii="Arial" w:hAnsi="Arial" w:cs="Arial"/>
          <w:color w:val="333333"/>
          <w:sz w:val="20"/>
          <w:szCs w:val="20"/>
          <w:lang w:val="sv-SE"/>
        </w:rPr>
        <w:t>lastbrytare, XR borttagbara grupper, som är plug-in-moduler och som kan bytas utan att strömförsörjningen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941CB8">
        <w:rPr>
          <w:rFonts w:ascii="Arial" w:hAnsi="Arial" w:cs="Arial"/>
          <w:color w:val="333333"/>
          <w:sz w:val="20"/>
          <w:szCs w:val="20"/>
          <w:lang w:val="sv-SE"/>
        </w:rPr>
        <w:t>kopplas från, XW utdragbara grupper, som erbjuder enkelt underhåll utan behov av specialverktyg samt XG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941CB8">
        <w:rPr>
          <w:rFonts w:ascii="Arial" w:hAnsi="Arial" w:cs="Arial"/>
          <w:color w:val="333333"/>
          <w:sz w:val="20"/>
          <w:szCs w:val="20"/>
          <w:lang w:val="sv-SE"/>
        </w:rPr>
        <w:t>allmänna fack för att rymma diverse utrustning såsom styranordningar och effektfaktorkorrigering.</w:t>
      </w:r>
    </w:p>
    <w:p w:rsidR="00941CB8" w:rsidRP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</w:p>
    <w:p w:rsidR="00941CB8" w:rsidRPr="00941CB8" w:rsidRDefault="00941CB8" w:rsidP="00941C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  <w:lang w:val="sv-SE"/>
        </w:rPr>
      </w:pPr>
      <w:r w:rsidRPr="00941CB8">
        <w:rPr>
          <w:rFonts w:ascii="Arial" w:hAnsi="Arial" w:cs="Arial"/>
          <w:color w:val="333333"/>
          <w:sz w:val="20"/>
          <w:szCs w:val="20"/>
          <w:lang w:val="sv-SE"/>
        </w:rPr>
        <w:t>Ställverksmontörer som är intresserade av att bli en xEnergy-partner uppmuntras att kontakta Eaton och</w:t>
      </w:r>
    </w:p>
    <w:p w:rsidR="0070513B" w:rsidRPr="00941CB8" w:rsidRDefault="00941CB8" w:rsidP="00941C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941CB8">
        <w:rPr>
          <w:rFonts w:ascii="Arial" w:hAnsi="Arial" w:cs="Arial"/>
          <w:color w:val="333333"/>
          <w:sz w:val="20"/>
          <w:szCs w:val="20"/>
          <w:lang w:val="sv-SE"/>
        </w:rPr>
        <w:t>söka på www.xEnergy-partner.com. Så snart man blivit kvalificerad får man full tillgång till Eatons support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941CB8">
        <w:rPr>
          <w:rFonts w:ascii="Arial" w:hAnsi="Arial" w:cs="Arial"/>
          <w:color w:val="333333"/>
          <w:sz w:val="20"/>
          <w:szCs w:val="20"/>
          <w:lang w:val="sv-SE"/>
        </w:rPr>
        <w:t>och portal med omfattande tekniska detaljer, certifikat, nyheter, programvara med mera.</w:t>
      </w:r>
    </w:p>
    <w:bookmarkEnd w:id="0"/>
    <w:p w:rsidR="00941CB8" w:rsidRDefault="00941CB8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</w:p>
    <w:p w:rsid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70513B">
        <w:rPr>
          <w:rFonts w:ascii="Arial" w:hAnsi="Arial" w:cs="Arial"/>
          <w:color w:val="333333"/>
          <w:sz w:val="20"/>
          <w:szCs w:val="20"/>
          <w:lang w:val="sv-SE"/>
        </w:rPr>
        <w:t>För att veta mer om Eatons kvalitativa kraftlösningar, besök www.eaton.eu/powerquality. För alla de senaste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nyheterna följ Eaton på Twitter via @Eaton_UPS eller besök företagets sida på Eaton EMEA LinkedIn.</w:t>
      </w:r>
    </w:p>
    <w:p w:rsidR="0070513B" w:rsidRP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</w:p>
    <w:p w:rsidR="0070513B" w:rsidRP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70513B">
        <w:rPr>
          <w:rFonts w:ascii="Arial" w:hAnsi="Arial" w:cs="Arial"/>
          <w:color w:val="333333"/>
          <w:sz w:val="20"/>
          <w:szCs w:val="20"/>
          <w:lang w:val="sv-SE"/>
        </w:rPr>
        <w:t>Eaton elverksamhet är globalt ledande med expertis inom distribution av ström och kretsskydd;</w:t>
      </w:r>
    </w:p>
    <w:p w:rsidR="0070513B" w:rsidRP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70513B">
        <w:rPr>
          <w:rFonts w:ascii="Arial" w:hAnsi="Arial" w:cs="Arial"/>
          <w:color w:val="333333"/>
          <w:sz w:val="20"/>
          <w:szCs w:val="20"/>
          <w:lang w:val="sv-SE"/>
        </w:rPr>
        <w:t>reserveffektsskydd; styrning och automatisering; ljus och säkerhet; konstruktionslösningar och</w:t>
      </w:r>
    </w:p>
    <w:p w:rsidR="00B0583E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70513B">
        <w:rPr>
          <w:rFonts w:ascii="Arial" w:hAnsi="Arial" w:cs="Arial"/>
          <w:color w:val="333333"/>
          <w:sz w:val="20"/>
          <w:szCs w:val="20"/>
          <w:lang w:val="sv-SE"/>
        </w:rPr>
        <w:t>kopplingsenheter; lösningar för tuffa och farliga miljöer samt tekniska tjänster. Eaton är genom sina globala lösningar utrustad för att svara på de viktigaste utmaningar inom strömhantering vi har idag.</w:t>
      </w:r>
    </w:p>
    <w:p w:rsidR="00B9599A" w:rsidRDefault="00B9599A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</w:p>
    <w:p w:rsidR="00B9599A" w:rsidRPr="00856E81" w:rsidRDefault="00B9599A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856E81">
        <w:rPr>
          <w:rFonts w:ascii="Arial" w:hAnsi="Arial" w:cs="Arial"/>
          <w:color w:val="333333"/>
          <w:sz w:val="20"/>
          <w:szCs w:val="20"/>
          <w:lang w:val="sv-SE"/>
        </w:rPr>
        <w:t>Eaton är ett företag inom krafthantering. Vi levererar energisparande lösningar som hjälper våra kunder att</w:t>
      </w:r>
    </w:p>
    <w:p w:rsidR="00B9599A" w:rsidRPr="00856E81" w:rsidRDefault="00B9599A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856E81">
        <w:rPr>
          <w:rFonts w:ascii="Arial" w:hAnsi="Arial" w:cs="Arial"/>
          <w:color w:val="333333"/>
          <w:sz w:val="20"/>
          <w:szCs w:val="20"/>
          <w:lang w:val="sv-SE"/>
        </w:rPr>
        <w:t>effektivt hantera elektrisk, hydraulisk och mekanisk kraft. Eaton är ett tekniskt ledande företag på den</w:t>
      </w:r>
    </w:p>
    <w:p w:rsidR="00B9599A" w:rsidRPr="00856E81" w:rsidRDefault="00B9599A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856E81">
        <w:rPr>
          <w:rFonts w:ascii="Arial" w:hAnsi="Arial" w:cs="Arial"/>
          <w:color w:val="333333"/>
          <w:sz w:val="20"/>
          <w:szCs w:val="20"/>
          <w:lang w:val="sv-SE"/>
        </w:rPr>
        <w:t>globala marknaden och förvärvade Cooper Industries plc i november 2012. På proformabasis hade</w:t>
      </w:r>
    </w:p>
    <w:p w:rsidR="00B9599A" w:rsidRPr="00B9599A" w:rsidRDefault="00B9599A" w:rsidP="00856E81">
      <w:pPr>
        <w:autoSpaceDE w:val="0"/>
        <w:autoSpaceDN w:val="0"/>
        <w:adjustRightInd w:val="0"/>
        <w:spacing w:after="0" w:line="360" w:lineRule="auto"/>
        <w:jc w:val="both"/>
        <w:rPr>
          <w:lang w:val="sv-SE"/>
        </w:rPr>
      </w:pPr>
      <w:r w:rsidRPr="00856E81">
        <w:rPr>
          <w:rFonts w:ascii="Arial" w:hAnsi="Arial" w:cs="Arial"/>
          <w:color w:val="333333"/>
          <w:sz w:val="20"/>
          <w:szCs w:val="20"/>
          <w:lang w:val="sv-SE"/>
        </w:rPr>
        <w:t>företagen en kombinerad intäkt på 21,8 miljarder dollar 2012. Eaton har runt 102 000 anställda och bedriver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856E81">
        <w:rPr>
          <w:rFonts w:ascii="Arial" w:hAnsi="Arial" w:cs="Arial"/>
          <w:color w:val="333333"/>
          <w:sz w:val="20"/>
          <w:szCs w:val="20"/>
          <w:lang w:val="sv-SE"/>
        </w:rPr>
        <w:t>försäljning i över 175 länder. Mer information finns på www.eaton.eu.</w:t>
      </w:r>
    </w:p>
    <w:sectPr w:rsidR="00B9599A" w:rsidRPr="00B9599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7D" w:rsidRDefault="005E127D" w:rsidP="0070513B">
      <w:pPr>
        <w:spacing w:after="0" w:line="240" w:lineRule="auto"/>
      </w:pPr>
      <w:r>
        <w:separator/>
      </w:r>
    </w:p>
  </w:endnote>
  <w:endnote w:type="continuationSeparator" w:id="0">
    <w:p w:rsidR="005E127D" w:rsidRDefault="005E127D" w:rsidP="007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7D" w:rsidRDefault="005E127D" w:rsidP="0070513B">
      <w:pPr>
        <w:spacing w:after="0" w:line="240" w:lineRule="auto"/>
      </w:pPr>
      <w:r>
        <w:separator/>
      </w:r>
    </w:p>
  </w:footnote>
  <w:footnote w:type="continuationSeparator" w:id="0">
    <w:p w:rsidR="005E127D" w:rsidRDefault="005E127D" w:rsidP="007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1620"/>
    </w:tblGrid>
    <w:tr w:rsidR="0070513B" w:rsidTr="008572CF">
      <w:trPr>
        <w:trHeight w:val="1992"/>
      </w:trPr>
      <w:tc>
        <w:tcPr>
          <w:tcW w:w="5408" w:type="dxa"/>
        </w:tcPr>
        <w:p w:rsidR="0070513B" w:rsidRDefault="0070513B" w:rsidP="0070513B">
          <w:pPr>
            <w:pStyle w:val="Heading1"/>
            <w:tabs>
              <w:tab w:val="left" w:pos="1647"/>
            </w:tabs>
            <w:ind w:left="522" w:hanging="630"/>
            <w:contextualSpacing/>
            <w:rPr>
              <w:rFonts w:cs="Arial"/>
            </w:rPr>
          </w:pPr>
        </w:p>
        <w:p w:rsidR="0070513B" w:rsidRDefault="0070513B" w:rsidP="0070513B">
          <w:pPr>
            <w:spacing w:line="240" w:lineRule="auto"/>
            <w:contextualSpacing/>
            <w:jc w:val="right"/>
            <w:rPr>
              <w:rFonts w:ascii="Arial" w:hAnsi="Arial" w:cs="Arial"/>
            </w:rPr>
          </w:pPr>
        </w:p>
        <w:p w:rsidR="0070513B" w:rsidRDefault="0070513B" w:rsidP="0070513B">
          <w:pPr>
            <w:spacing w:line="240" w:lineRule="auto"/>
            <w:contextualSpacing/>
            <w:jc w:val="right"/>
            <w:rPr>
              <w:rFonts w:ascii="Arial" w:hAnsi="Arial" w:cs="Arial"/>
              <w:b/>
              <w:sz w:val="24"/>
            </w:rPr>
          </w:pPr>
          <w:bookmarkStart w:id="1" w:name="BusinessUnit"/>
          <w:bookmarkEnd w:id="1"/>
        </w:p>
        <w:p w:rsidR="0070513B" w:rsidRPr="003E0684" w:rsidRDefault="0070513B" w:rsidP="0070513B">
          <w:pPr>
            <w:pStyle w:val="Heading1"/>
            <w:ind w:left="-90"/>
            <w:contextualSpacing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60288" behindDoc="1" locked="0" layoutInCell="1" allowOverlap="1" wp14:anchorId="040BA48D" wp14:editId="4DB4713D">
                <wp:simplePos x="0" y="0"/>
                <wp:positionH relativeFrom="column">
                  <wp:posOffset>0</wp:posOffset>
                </wp:positionH>
                <wp:positionV relativeFrom="paragraph">
                  <wp:posOffset>-725805</wp:posOffset>
                </wp:positionV>
                <wp:extent cx="1810385" cy="705485"/>
                <wp:effectExtent l="0" t="0" r="0" b="0"/>
                <wp:wrapTight wrapText="bothSides">
                  <wp:wrapPolygon edited="0">
                    <wp:start x="0" y="0"/>
                    <wp:lineTo x="0" y="20997"/>
                    <wp:lineTo x="21365" y="20997"/>
                    <wp:lineTo x="21365" y="0"/>
                    <wp:lineTo x="0" y="0"/>
                  </wp:wrapPolygon>
                </wp:wrapTight>
                <wp:docPr id="1" name="Picture 9" descr="Eaton_PBW_L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aton_PBW_L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62" w:type="dxa"/>
        </w:tcPr>
        <w:p w:rsidR="0070513B" w:rsidRDefault="0070513B" w:rsidP="0070513B">
          <w:pPr>
            <w:spacing w:line="240" w:lineRule="auto"/>
            <w:contextualSpacing/>
            <w:rPr>
              <w:rFonts w:ascii="Arial Narrow" w:eastAsia="Arial Narrow" w:hAnsi="Arial Narrow" w:cs="Arial Narrow"/>
              <w:sz w:val="17"/>
              <w:szCs w:val="17"/>
            </w:rPr>
          </w:pPr>
          <w:bookmarkStart w:id="2" w:name="Enterprise"/>
          <w:bookmarkEnd w:id="2"/>
          <w:r w:rsidRPr="00EA30B6">
            <w:rPr>
              <w:rFonts w:ascii="Arial Narrow" w:eastAsia="Arial Narrow" w:hAnsi="Arial Narrow" w:cs="Arial Narrow"/>
              <w:sz w:val="17"/>
              <w:szCs w:val="17"/>
            </w:rPr>
            <w:t>Eaton</w:t>
          </w:r>
        </w:p>
        <w:p w:rsidR="0070513B" w:rsidRPr="006A61C0" w:rsidRDefault="0070513B" w:rsidP="0070513B">
          <w:pPr>
            <w:spacing w:line="240" w:lineRule="auto"/>
            <w:contextualSpacing/>
            <w:rPr>
              <w:rFonts w:ascii="Arial Narrow" w:hAnsi="Arial Narrow"/>
              <w:sz w:val="17"/>
            </w:rPr>
          </w:pPr>
          <w:r>
            <w:rPr>
              <w:rFonts w:ascii="Arial Narrow" w:eastAsia="Arial Narrow" w:hAnsi="Arial Narrow" w:cs="Arial Narrow"/>
              <w:sz w:val="17"/>
              <w:szCs w:val="17"/>
            </w:rPr>
            <w:t>Kista Science Tower</w:t>
          </w:r>
        </w:p>
        <w:p w:rsidR="0070513B" w:rsidRPr="006A61C0" w:rsidRDefault="0070513B" w:rsidP="0070513B">
          <w:pPr>
            <w:spacing w:line="240" w:lineRule="auto"/>
            <w:contextualSpacing/>
            <w:rPr>
              <w:rFonts w:ascii="Arial Narrow" w:hAnsi="Arial Narrow"/>
              <w:sz w:val="17"/>
            </w:rPr>
          </w:pPr>
          <w:r>
            <w:rPr>
              <w:rFonts w:ascii="Arial Narrow" w:eastAsia="Arial Narrow" w:hAnsi="Arial Narrow" w:cs="Arial Narrow"/>
              <w:sz w:val="17"/>
              <w:szCs w:val="17"/>
            </w:rPr>
            <w:t>164 51 Kista, Sweden</w:t>
          </w:r>
        </w:p>
        <w:p w:rsidR="0070513B" w:rsidRPr="001E20DA" w:rsidRDefault="0070513B" w:rsidP="0070513B">
          <w:pPr>
            <w:spacing w:line="240" w:lineRule="auto"/>
            <w:contextualSpacing/>
            <w:rPr>
              <w:rFonts w:ascii="Arial Narrow" w:hAnsi="Arial Narrow"/>
              <w:sz w:val="17"/>
            </w:rPr>
          </w:pPr>
          <w:proofErr w:type="spellStart"/>
          <w:r>
            <w:rPr>
              <w:rFonts w:ascii="Arial Narrow" w:eastAsia="Arial Narrow" w:hAnsi="Arial Narrow" w:cs="Arial Narrow"/>
              <w:sz w:val="17"/>
              <w:szCs w:val="17"/>
            </w:rPr>
            <w:t>tel</w:t>
          </w:r>
          <w:proofErr w:type="spellEnd"/>
          <w:r>
            <w:rPr>
              <w:rFonts w:ascii="Arial Narrow" w:eastAsia="Arial Narrow" w:hAnsi="Arial Narrow" w:cs="Arial Narrow"/>
              <w:sz w:val="17"/>
              <w:szCs w:val="17"/>
            </w:rPr>
            <w:t>: +46 8 598 940 00</w:t>
          </w:r>
        </w:p>
        <w:p w:rsidR="0070513B" w:rsidRPr="001E20DA" w:rsidRDefault="0070513B" w:rsidP="0070513B">
          <w:pPr>
            <w:spacing w:line="240" w:lineRule="auto"/>
            <w:contextualSpacing/>
            <w:rPr>
              <w:rFonts w:ascii="Arial Narrow" w:hAnsi="Arial Narrow"/>
              <w:sz w:val="17"/>
            </w:rPr>
          </w:pPr>
          <w:r w:rsidRPr="00EA30B6">
            <w:rPr>
              <w:rFonts w:ascii="Arial Narrow" w:eastAsia="Arial Narrow" w:hAnsi="Arial Narrow" w:cs="Arial Narrow"/>
              <w:sz w:val="17"/>
              <w:szCs w:val="17"/>
            </w:rPr>
            <w:t>Twitter: @</w:t>
          </w:r>
          <w:proofErr w:type="spellStart"/>
          <w:r w:rsidRPr="00EA30B6">
            <w:rPr>
              <w:rFonts w:ascii="Arial Narrow" w:eastAsia="Arial Narrow" w:hAnsi="Arial Narrow" w:cs="Arial Narrow"/>
              <w:sz w:val="17"/>
              <w:szCs w:val="17"/>
            </w:rPr>
            <w:t>Eaton_UPS</w:t>
          </w:r>
          <w:proofErr w:type="spellEnd"/>
        </w:p>
        <w:p w:rsidR="0070513B" w:rsidRPr="003E0684" w:rsidRDefault="0070513B" w:rsidP="0070513B">
          <w:pPr>
            <w:spacing w:line="240" w:lineRule="auto"/>
            <w:contextualSpacing/>
            <w:rPr>
              <w:rFonts w:ascii="Arial" w:hAnsi="Arial" w:cs="Arial"/>
              <w:sz w:val="16"/>
            </w:rPr>
          </w:pPr>
          <w:r w:rsidRPr="00EC4EE2">
            <w:rPr>
              <w:rFonts w:ascii="Arial Narrow" w:eastAsia="Arial Narrow" w:hAnsi="Arial Narrow" w:cs="Arial Narrow"/>
              <w:sz w:val="17"/>
              <w:szCs w:val="17"/>
            </w:rPr>
            <w:t xml:space="preserve">LinkedIn: Eaton EMEA  </w:t>
          </w:r>
          <w:bookmarkStart w:id="3" w:name="Fax"/>
          <w:bookmarkEnd w:id="3"/>
        </w:p>
      </w:tc>
      <w:tc>
        <w:tcPr>
          <w:tcW w:w="1620" w:type="dxa"/>
        </w:tcPr>
        <w:p w:rsidR="0070513B" w:rsidRDefault="0070513B" w:rsidP="008572CF">
          <w:pPr>
            <w:pStyle w:val="Heading1"/>
            <w:rPr>
              <w:rFonts w:cs="Arial"/>
              <w:sz w:val="36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7DD3B57F" wp14:editId="3DE6C5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000" cy="774700"/>
                <wp:effectExtent l="0" t="0" r="0" b="6350"/>
                <wp:wrapSquare wrapText="bothSides"/>
                <wp:docPr id="3" name="Picture 5" descr="release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lease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0513B" w:rsidRPr="00C30CB3" w:rsidRDefault="0070513B" w:rsidP="0070513B">
    <w:pPr>
      <w:pStyle w:val="Header"/>
      <w:tabs>
        <w:tab w:val="left" w:pos="1590"/>
      </w:tabs>
      <w:rPr>
        <w:rFonts w:ascii="Arial" w:hAnsi="Arial" w:cs="Arial"/>
        <w:sz w:val="4"/>
        <w:szCs w:val="4"/>
      </w:rPr>
    </w:pPr>
    <w:r w:rsidRPr="00C30CB3">
      <w:rPr>
        <w:rFonts w:ascii="Arial" w:hAnsi="Arial" w:cs="Arial"/>
        <w:sz w:val="4"/>
        <w:szCs w:val="4"/>
      </w:rPr>
      <w:tab/>
    </w:r>
  </w:p>
  <w:p w:rsidR="0070513B" w:rsidRPr="0070513B" w:rsidRDefault="0070513B" w:rsidP="00705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3B"/>
    <w:rsid w:val="002F2656"/>
    <w:rsid w:val="0031576E"/>
    <w:rsid w:val="00321992"/>
    <w:rsid w:val="003C3EFF"/>
    <w:rsid w:val="003C4B73"/>
    <w:rsid w:val="00546A82"/>
    <w:rsid w:val="005830DB"/>
    <w:rsid w:val="005E127D"/>
    <w:rsid w:val="0070513B"/>
    <w:rsid w:val="00742CC9"/>
    <w:rsid w:val="00856E81"/>
    <w:rsid w:val="00941CB8"/>
    <w:rsid w:val="00A17A4E"/>
    <w:rsid w:val="00B0583E"/>
    <w:rsid w:val="00B9599A"/>
    <w:rsid w:val="00CA0FC9"/>
    <w:rsid w:val="00EC4EE2"/>
    <w:rsid w:val="00ED1AA7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513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1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1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13B"/>
  </w:style>
  <w:style w:type="paragraph" w:styleId="Footer">
    <w:name w:val="footer"/>
    <w:basedOn w:val="Normal"/>
    <w:link w:val="FooterChar"/>
    <w:uiPriority w:val="99"/>
    <w:unhideWhenUsed/>
    <w:rsid w:val="007051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13B"/>
  </w:style>
  <w:style w:type="character" w:customStyle="1" w:styleId="Heading1Char">
    <w:name w:val="Heading 1 Char"/>
    <w:basedOn w:val="DefaultParagraphFont"/>
    <w:link w:val="Heading1"/>
    <w:rsid w:val="0070513B"/>
    <w:rPr>
      <w:rFonts w:ascii="Arial" w:eastAsia="Times New Roman" w:hAnsi="Arial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513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1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1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13B"/>
  </w:style>
  <w:style w:type="paragraph" w:styleId="Footer">
    <w:name w:val="footer"/>
    <w:basedOn w:val="Normal"/>
    <w:link w:val="FooterChar"/>
    <w:uiPriority w:val="99"/>
    <w:unhideWhenUsed/>
    <w:rsid w:val="007051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13B"/>
  </w:style>
  <w:style w:type="character" w:customStyle="1" w:styleId="Heading1Char">
    <w:name w:val="Heading 1 Char"/>
    <w:basedOn w:val="DefaultParagraphFont"/>
    <w:link w:val="Heading1"/>
    <w:rsid w:val="0070513B"/>
    <w:rPr>
      <w:rFonts w:ascii="Arial" w:eastAsia="Times New Roman" w:hAnsi="Arial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Corp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Rebecca</dc:creator>
  <cp:lastModifiedBy>Karlsson, Rebecca</cp:lastModifiedBy>
  <cp:revision>2</cp:revision>
  <dcterms:created xsi:type="dcterms:W3CDTF">2014-03-04T14:00:00Z</dcterms:created>
  <dcterms:modified xsi:type="dcterms:W3CDTF">2014-03-04T14:00:00Z</dcterms:modified>
</cp:coreProperties>
</file>