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ADA6" w14:textId="77777777" w:rsidR="004D5DE4" w:rsidRPr="008A5344" w:rsidRDefault="004D5DE4" w:rsidP="00A50033">
      <w:pPr>
        <w:shd w:val="clear" w:color="auto" w:fill="FFFFFF"/>
        <w:spacing w:line="300" w:lineRule="exact"/>
        <w:rPr>
          <w:rFonts w:asciiTheme="minorHAnsi" w:hAnsiTheme="minorHAnsi"/>
          <w:b/>
          <w:bCs/>
          <w:color w:val="007161"/>
          <w:lang w:val="en-US"/>
        </w:rPr>
      </w:pPr>
    </w:p>
    <w:p w14:paraId="3D6E1143" w14:textId="028E81E8" w:rsidR="007129A6" w:rsidRPr="007129A6" w:rsidRDefault="007129A6" w:rsidP="007129A6">
      <w:pPr>
        <w:pStyle w:val="Rubrik3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5C5B8"/>
          <w:sz w:val="33"/>
          <w:szCs w:val="33"/>
          <w:lang w:val="en-US"/>
        </w:rPr>
      </w:pPr>
      <w:r w:rsidRPr="007129A6">
        <w:rPr>
          <w:rFonts w:asciiTheme="minorHAnsi" w:hAnsiTheme="minorHAnsi" w:cstheme="minorHAnsi"/>
          <w:b w:val="0"/>
          <w:bCs w:val="0"/>
          <w:color w:val="15C5B8"/>
          <w:sz w:val="33"/>
          <w:szCs w:val="33"/>
          <w:lang w:val="en-US"/>
        </w:rPr>
        <w:t>Groundbreaking pan-cancer screening study published</w:t>
      </w:r>
    </w:p>
    <w:p w14:paraId="00390661" w14:textId="77777777" w:rsidR="00622365" w:rsidRDefault="00622365" w:rsidP="00622365">
      <w:pPr>
        <w:pStyle w:val="Normalwebb"/>
        <w:adjustRightInd w:val="0"/>
        <w:spacing w:before="0" w:beforeAutospacing="0" w:after="150" w:afterAutospacing="0"/>
        <w:rPr>
          <w:rFonts w:asciiTheme="minorHAnsi" w:hAnsiTheme="minorHAnsi"/>
          <w:i/>
          <w:lang w:val="en-US"/>
        </w:rPr>
      </w:pPr>
    </w:p>
    <w:p w14:paraId="24EC7125" w14:textId="29A70CB2" w:rsidR="00622365" w:rsidRDefault="00FC4570" w:rsidP="00622365">
      <w:pPr>
        <w:pStyle w:val="Normalwebb"/>
        <w:adjustRightInd w:val="0"/>
        <w:spacing w:before="0" w:beforeAutospacing="0" w:after="150" w:afterAutospacing="0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>Solna</w:t>
      </w:r>
      <w:r w:rsidRPr="00A54C56">
        <w:rPr>
          <w:rFonts w:asciiTheme="minorHAnsi" w:hAnsiTheme="minorHAnsi" w:cs="Arial"/>
          <w:lang w:val="en-US"/>
        </w:rPr>
        <w:t xml:space="preserve">, Sweden – </w:t>
      </w:r>
      <w:r>
        <w:rPr>
          <w:rFonts w:asciiTheme="minorHAnsi" w:hAnsiTheme="minorHAnsi" w:cs="Arial"/>
          <w:lang w:val="en-US"/>
        </w:rPr>
        <w:t>May 29, 2018</w:t>
      </w:r>
      <w:r w:rsidRPr="00A54C56">
        <w:rPr>
          <w:rFonts w:asciiTheme="minorHAnsi" w:hAnsiTheme="minorHAnsi" w:cs="Arial"/>
          <w:lang w:val="en-US"/>
        </w:rPr>
        <w:t xml:space="preserve"> –</w:t>
      </w:r>
      <w:r>
        <w:rPr>
          <w:rFonts w:asciiTheme="minorHAnsi" w:hAnsiTheme="minorHAnsi"/>
          <w:lang w:val="en-US"/>
        </w:rPr>
        <w:t xml:space="preserve"> </w:t>
      </w:r>
      <w:r w:rsidR="000F7582">
        <w:rPr>
          <w:rFonts w:asciiTheme="minorHAnsi" w:hAnsiTheme="minorHAnsi"/>
          <w:lang w:val="en-US"/>
        </w:rPr>
        <w:t xml:space="preserve">Baseline data from </w:t>
      </w:r>
      <w:r>
        <w:rPr>
          <w:rFonts w:asciiTheme="minorHAnsi" w:hAnsiTheme="minorHAnsi"/>
          <w:lang w:val="en-US"/>
        </w:rPr>
        <w:t>iCellate</w:t>
      </w:r>
      <w:r w:rsidR="00324ECD">
        <w:rPr>
          <w:rFonts w:asciiTheme="minorHAnsi" w:hAnsiTheme="minorHAnsi"/>
          <w:lang w:val="en-US"/>
        </w:rPr>
        <w:t>’s</w:t>
      </w:r>
      <w:r>
        <w:rPr>
          <w:rFonts w:asciiTheme="minorHAnsi" w:hAnsiTheme="minorHAnsi"/>
          <w:lang w:val="en-US"/>
        </w:rPr>
        <w:t xml:space="preserve"> groundbreaking screening </w:t>
      </w:r>
      <w:r w:rsidRPr="007129A6">
        <w:rPr>
          <w:rFonts w:asciiTheme="minorHAnsi" w:hAnsiTheme="minorHAnsi"/>
          <w:lang w:val="en-US"/>
        </w:rPr>
        <w:t>study</w:t>
      </w:r>
      <w:r>
        <w:rPr>
          <w:rFonts w:asciiTheme="minorHAnsi" w:hAnsiTheme="minorHAnsi"/>
          <w:lang w:val="en-US"/>
        </w:rPr>
        <w:t xml:space="preserve"> </w:t>
      </w:r>
      <w:r w:rsidR="00304C56">
        <w:rPr>
          <w:rFonts w:asciiTheme="minorHAnsi" w:hAnsiTheme="minorHAnsi"/>
          <w:lang w:val="en-US"/>
        </w:rPr>
        <w:t>–</w:t>
      </w:r>
      <w:r w:rsidR="00E072EE">
        <w:rPr>
          <w:rFonts w:asciiTheme="minorHAnsi" w:hAnsiTheme="minorHAnsi"/>
          <w:lang w:val="en-US"/>
        </w:rPr>
        <w:t xml:space="preserve"> </w:t>
      </w:r>
      <w:r w:rsidRPr="00FC4570">
        <w:rPr>
          <w:rFonts w:asciiTheme="minorHAnsi" w:hAnsiTheme="minorHAnsi"/>
          <w:i/>
          <w:lang w:val="en-US"/>
        </w:rPr>
        <w:t>Screening Circulating Tumor Cells as a Noninvasive Cancer Test in 3388 Individuals from High-Risk Groups (ICELLATE2</w:t>
      </w:r>
      <w:r>
        <w:rPr>
          <w:rFonts w:asciiTheme="minorHAnsi" w:hAnsiTheme="minorHAnsi"/>
          <w:lang w:val="en-US"/>
        </w:rPr>
        <w:t xml:space="preserve">) </w:t>
      </w:r>
      <w:r w:rsidR="00324ECD">
        <w:rPr>
          <w:rFonts w:asciiTheme="minorHAnsi" w:hAnsiTheme="minorHAnsi"/>
          <w:lang w:val="en-US"/>
        </w:rPr>
        <w:t xml:space="preserve">– </w:t>
      </w:r>
      <w:r>
        <w:rPr>
          <w:rFonts w:asciiTheme="minorHAnsi" w:hAnsiTheme="minorHAnsi"/>
          <w:lang w:val="en-US"/>
        </w:rPr>
        <w:t>has</w:t>
      </w:r>
      <w:bookmarkStart w:id="0" w:name="_GoBack"/>
      <w:bookmarkEnd w:id="0"/>
      <w:r>
        <w:rPr>
          <w:rFonts w:asciiTheme="minorHAnsi" w:hAnsiTheme="minorHAnsi"/>
          <w:lang w:val="en-US"/>
        </w:rPr>
        <w:t xml:space="preserve"> been published in the May issue of the journal </w:t>
      </w:r>
      <w:r w:rsidRPr="00FC4570">
        <w:rPr>
          <w:rFonts w:asciiTheme="minorHAnsi" w:hAnsiTheme="minorHAnsi"/>
          <w:i/>
          <w:lang w:val="en-US"/>
        </w:rPr>
        <w:t>Disease Markers</w:t>
      </w:r>
      <w:r w:rsidR="005558D2">
        <w:rPr>
          <w:rFonts w:asciiTheme="minorHAnsi" w:hAnsiTheme="minorHAnsi"/>
          <w:i/>
          <w:lang w:val="en-US"/>
        </w:rPr>
        <w:t>.</w:t>
      </w:r>
    </w:p>
    <w:p w14:paraId="59E069B5" w14:textId="56330B27" w:rsidR="007129A6" w:rsidRPr="00622365" w:rsidRDefault="007129A6" w:rsidP="00622365">
      <w:pPr>
        <w:pStyle w:val="Normalwebb"/>
        <w:adjustRightInd w:val="0"/>
        <w:spacing w:before="0" w:beforeAutospacing="0" w:after="150" w:afterAutospacing="0"/>
        <w:rPr>
          <w:rFonts w:asciiTheme="minorHAnsi" w:hAnsiTheme="minorHAnsi"/>
          <w:i/>
          <w:lang w:val="en-US"/>
        </w:rPr>
      </w:pPr>
      <w:r w:rsidRPr="007129A6">
        <w:rPr>
          <w:rFonts w:asciiTheme="minorHAnsi" w:hAnsiTheme="minorHAnsi"/>
          <w:lang w:val="en-US"/>
        </w:rPr>
        <w:t>iCellate</w:t>
      </w:r>
      <w:r w:rsidR="00622365">
        <w:rPr>
          <w:rFonts w:asciiTheme="minorHAnsi" w:hAnsiTheme="minorHAnsi"/>
          <w:lang w:val="en-US"/>
        </w:rPr>
        <w:t>,</w:t>
      </w:r>
      <w:r w:rsidRPr="007129A6">
        <w:rPr>
          <w:rFonts w:asciiTheme="minorHAnsi" w:hAnsiTheme="minorHAnsi"/>
          <w:lang w:val="en-US"/>
        </w:rPr>
        <w:t xml:space="preserve"> </w:t>
      </w:r>
      <w:r w:rsidR="00FC4570">
        <w:rPr>
          <w:rFonts w:asciiTheme="minorHAnsi" w:hAnsiTheme="minorHAnsi"/>
          <w:lang w:val="en-US"/>
        </w:rPr>
        <w:t xml:space="preserve">in collaboration with </w:t>
      </w:r>
      <w:r w:rsidR="00622365">
        <w:rPr>
          <w:rFonts w:asciiTheme="minorHAnsi" w:hAnsiTheme="minorHAnsi"/>
          <w:lang w:val="en-US"/>
        </w:rPr>
        <w:t>Hospital</w:t>
      </w:r>
      <w:r w:rsidR="00FC4570">
        <w:rPr>
          <w:rFonts w:asciiTheme="minorHAnsi" w:hAnsiTheme="minorHAnsi"/>
          <w:lang w:val="en-US"/>
        </w:rPr>
        <w:t xml:space="preserve"> Nacional Arzobispo Loayza</w:t>
      </w:r>
      <w:r w:rsidR="00622365">
        <w:rPr>
          <w:rFonts w:asciiTheme="minorHAnsi" w:hAnsiTheme="minorHAnsi"/>
          <w:lang w:val="en-US"/>
        </w:rPr>
        <w:t xml:space="preserve"> in Lima,</w:t>
      </w:r>
      <w:r w:rsidR="00FC4570">
        <w:rPr>
          <w:rFonts w:asciiTheme="minorHAnsi" w:hAnsiTheme="minorHAnsi"/>
          <w:lang w:val="en-US"/>
        </w:rPr>
        <w:t xml:space="preserve"> </w:t>
      </w:r>
      <w:r w:rsidRPr="007129A6">
        <w:rPr>
          <w:rFonts w:asciiTheme="minorHAnsi" w:hAnsiTheme="minorHAnsi"/>
          <w:lang w:val="en-US"/>
        </w:rPr>
        <w:t xml:space="preserve">has conducted an all-comers, single center study in a high-risk population (smokers, cancer heredity, hepatitis B </w:t>
      </w:r>
      <w:r w:rsidR="007B31AE">
        <w:rPr>
          <w:rFonts w:asciiTheme="minorHAnsi" w:hAnsiTheme="minorHAnsi"/>
          <w:lang w:val="en-US"/>
        </w:rPr>
        <w:t>or</w:t>
      </w:r>
      <w:r w:rsidRPr="007129A6">
        <w:rPr>
          <w:rFonts w:asciiTheme="minorHAnsi" w:hAnsiTheme="minorHAnsi"/>
          <w:lang w:val="en-US"/>
        </w:rPr>
        <w:t xml:space="preserve"> positive PSA) of 3388 subjectively healthy individuals to investigate if screening for CTC </w:t>
      </w:r>
      <w:r w:rsidR="00061DCA">
        <w:rPr>
          <w:rFonts w:asciiTheme="minorHAnsi" w:hAnsiTheme="minorHAnsi"/>
          <w:lang w:val="en-US"/>
        </w:rPr>
        <w:t xml:space="preserve">(circulating tumor cells) </w:t>
      </w:r>
      <w:r w:rsidRPr="007129A6">
        <w:rPr>
          <w:rFonts w:asciiTheme="minorHAnsi" w:hAnsiTheme="minorHAnsi"/>
          <w:lang w:val="en-US"/>
        </w:rPr>
        <w:t>in blood samples is a clinically valid test for early detection of cancer.</w:t>
      </w:r>
    </w:p>
    <w:p w14:paraId="28DC258A" w14:textId="517A5108" w:rsidR="00622365" w:rsidRDefault="007129A6" w:rsidP="00622365">
      <w:pPr>
        <w:pStyle w:val="Normalwebb"/>
        <w:spacing w:before="0" w:beforeAutospacing="0" w:after="150" w:afterAutospacing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subjects</w:t>
      </w:r>
      <w:r w:rsidR="000407FB">
        <w:rPr>
          <w:rFonts w:asciiTheme="minorHAnsi" w:hAnsiTheme="minorHAnsi"/>
          <w:lang w:val="en-US"/>
        </w:rPr>
        <w:t>, in the age of 45-80 years</w:t>
      </w:r>
      <w:r w:rsidR="007B31AE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</w:t>
      </w:r>
      <w:r w:rsidR="008563E9">
        <w:rPr>
          <w:rFonts w:asciiTheme="minorHAnsi" w:hAnsiTheme="minorHAnsi"/>
          <w:lang w:val="en-US"/>
        </w:rPr>
        <w:t xml:space="preserve">visited </w:t>
      </w:r>
      <w:r>
        <w:rPr>
          <w:rFonts w:asciiTheme="minorHAnsi" w:hAnsiTheme="minorHAnsi"/>
          <w:lang w:val="en-US"/>
        </w:rPr>
        <w:t xml:space="preserve">the hospital </w:t>
      </w:r>
      <w:r w:rsidR="008563E9">
        <w:rPr>
          <w:rFonts w:asciiTheme="minorHAnsi" w:hAnsiTheme="minorHAnsi"/>
          <w:lang w:val="en-US"/>
        </w:rPr>
        <w:t xml:space="preserve">for other </w:t>
      </w:r>
      <w:r w:rsidR="00FC4570">
        <w:rPr>
          <w:rFonts w:asciiTheme="minorHAnsi" w:hAnsiTheme="minorHAnsi"/>
          <w:lang w:val="en-US"/>
        </w:rPr>
        <w:t>reason</w:t>
      </w:r>
      <w:r w:rsidR="008563E9">
        <w:rPr>
          <w:rFonts w:asciiTheme="minorHAnsi" w:hAnsiTheme="minorHAnsi"/>
          <w:lang w:val="en-US"/>
        </w:rPr>
        <w:t>s</w:t>
      </w:r>
      <w:r w:rsidR="00FC4570">
        <w:rPr>
          <w:rFonts w:asciiTheme="minorHAnsi" w:hAnsiTheme="minorHAnsi"/>
          <w:lang w:val="en-US"/>
        </w:rPr>
        <w:t xml:space="preserve"> than </w:t>
      </w:r>
      <w:r w:rsidR="00061DCA">
        <w:rPr>
          <w:rFonts w:asciiTheme="minorHAnsi" w:hAnsiTheme="minorHAnsi"/>
          <w:lang w:val="en-US"/>
        </w:rPr>
        <w:t xml:space="preserve">suspicion of having </w:t>
      </w:r>
      <w:r w:rsidR="00FC4570">
        <w:rPr>
          <w:rFonts w:asciiTheme="minorHAnsi" w:hAnsiTheme="minorHAnsi"/>
          <w:lang w:val="en-US"/>
        </w:rPr>
        <w:t xml:space="preserve">cancer and were </w:t>
      </w:r>
      <w:r w:rsidR="008563E9">
        <w:rPr>
          <w:rFonts w:asciiTheme="minorHAnsi" w:hAnsiTheme="minorHAnsi"/>
          <w:lang w:val="en-US"/>
        </w:rPr>
        <w:t xml:space="preserve">offered </w:t>
      </w:r>
      <w:r w:rsidR="00FC4570">
        <w:rPr>
          <w:rFonts w:asciiTheme="minorHAnsi" w:hAnsiTheme="minorHAnsi"/>
          <w:lang w:val="en-US"/>
        </w:rPr>
        <w:t>to participate in the study if they belonged to any of the four pre-defined risk-</w:t>
      </w:r>
      <w:r w:rsidR="006A30F6">
        <w:rPr>
          <w:rFonts w:asciiTheme="minorHAnsi" w:hAnsiTheme="minorHAnsi"/>
          <w:lang w:val="en-US"/>
        </w:rPr>
        <w:t>groups and</w:t>
      </w:r>
      <w:r w:rsidR="00A13E66">
        <w:rPr>
          <w:rFonts w:asciiTheme="minorHAnsi" w:hAnsiTheme="minorHAnsi"/>
          <w:lang w:val="en-US"/>
        </w:rPr>
        <w:t xml:space="preserve"> were also not presently or previously diagnosed with cancer</w:t>
      </w:r>
      <w:r w:rsidR="00FC4570">
        <w:rPr>
          <w:rFonts w:asciiTheme="minorHAnsi" w:hAnsiTheme="minorHAnsi"/>
          <w:lang w:val="en-US"/>
        </w:rPr>
        <w:t xml:space="preserve">. They were asked to </w:t>
      </w:r>
      <w:r w:rsidR="00061DCA">
        <w:rPr>
          <w:rFonts w:asciiTheme="minorHAnsi" w:hAnsiTheme="minorHAnsi"/>
          <w:lang w:val="en-US"/>
        </w:rPr>
        <w:t xml:space="preserve">donate </w:t>
      </w:r>
      <w:r w:rsidR="00FC4570">
        <w:rPr>
          <w:rFonts w:asciiTheme="minorHAnsi" w:hAnsiTheme="minorHAnsi"/>
          <w:lang w:val="en-US"/>
        </w:rPr>
        <w:t xml:space="preserve">one </w:t>
      </w:r>
      <w:r w:rsidR="00622365">
        <w:rPr>
          <w:rFonts w:asciiTheme="minorHAnsi" w:hAnsiTheme="minorHAnsi"/>
          <w:lang w:val="en-US"/>
        </w:rPr>
        <w:t xml:space="preserve">10 ml </w:t>
      </w:r>
      <w:r w:rsidR="00304C56">
        <w:rPr>
          <w:rFonts w:asciiTheme="minorHAnsi" w:hAnsiTheme="minorHAnsi"/>
          <w:lang w:val="en-US"/>
        </w:rPr>
        <w:t>blood sample, which</w:t>
      </w:r>
      <w:r w:rsidR="00FC4570">
        <w:rPr>
          <w:rFonts w:asciiTheme="minorHAnsi" w:hAnsiTheme="minorHAnsi"/>
          <w:lang w:val="en-US"/>
        </w:rPr>
        <w:t xml:space="preserve"> was then analyzed </w:t>
      </w:r>
      <w:r w:rsidR="00061DCA">
        <w:rPr>
          <w:rFonts w:asciiTheme="minorHAnsi" w:hAnsiTheme="minorHAnsi"/>
          <w:lang w:val="en-US"/>
        </w:rPr>
        <w:t xml:space="preserve">by </w:t>
      </w:r>
      <w:r w:rsidR="00FC4570">
        <w:rPr>
          <w:rFonts w:asciiTheme="minorHAnsi" w:hAnsiTheme="minorHAnsi"/>
          <w:lang w:val="en-US"/>
        </w:rPr>
        <w:t xml:space="preserve">iCellate’s CTC </w:t>
      </w:r>
      <w:r w:rsidR="00061DCA">
        <w:rPr>
          <w:rFonts w:asciiTheme="minorHAnsi" w:hAnsiTheme="minorHAnsi"/>
          <w:lang w:val="en-US"/>
        </w:rPr>
        <w:t>test</w:t>
      </w:r>
      <w:r w:rsidR="00FC4570">
        <w:rPr>
          <w:rFonts w:asciiTheme="minorHAnsi" w:hAnsiTheme="minorHAnsi"/>
          <w:lang w:val="en-US"/>
        </w:rPr>
        <w:t xml:space="preserve">. </w:t>
      </w:r>
    </w:p>
    <w:p w14:paraId="003155FD" w14:textId="66E7D60A" w:rsidR="00622365" w:rsidRDefault="00622365" w:rsidP="007129A6">
      <w:pPr>
        <w:pStyle w:val="Normalwebb"/>
        <w:spacing w:before="0" w:beforeAutospacing="0" w:after="150" w:afterAutospacing="0"/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lang w:val="en-US"/>
        </w:rPr>
        <w:t xml:space="preserve">Cancer spreads from a primary tumor to distant parts of the body through circulating tumor cells (CTCs) that migrate into the </w:t>
      </w:r>
      <w:r w:rsidRPr="00F30F2D">
        <w:rPr>
          <w:rFonts w:asciiTheme="minorHAnsi" w:hAnsiTheme="minorHAnsi"/>
          <w:lang w:val="en-US"/>
        </w:rPr>
        <w:t>lymphatic and blood circulation</w:t>
      </w:r>
      <w:r>
        <w:rPr>
          <w:rFonts w:asciiTheme="minorHAnsi" w:hAnsiTheme="minorHAnsi"/>
          <w:lang w:val="en-US"/>
        </w:rPr>
        <w:t xml:space="preserve"> systems. By identifying and analyzing these CTCs, iCellate can help </w:t>
      </w:r>
      <w:r w:rsidR="00304C56">
        <w:rPr>
          <w:rFonts w:asciiTheme="minorHAnsi" w:hAnsiTheme="minorHAnsi"/>
          <w:lang w:val="en-US"/>
        </w:rPr>
        <w:t>physicians</w:t>
      </w:r>
      <w:r w:rsidR="00061DCA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detect and </w:t>
      </w:r>
      <w:r w:rsidR="00061DCA">
        <w:rPr>
          <w:rFonts w:asciiTheme="minorHAnsi" w:hAnsiTheme="minorHAnsi"/>
          <w:lang w:val="en-US"/>
        </w:rPr>
        <w:t xml:space="preserve">manage </w:t>
      </w:r>
      <w:r>
        <w:rPr>
          <w:rFonts w:asciiTheme="minorHAnsi" w:hAnsiTheme="minorHAnsi"/>
          <w:lang w:val="en-US"/>
        </w:rPr>
        <w:t>the disease.</w:t>
      </w:r>
    </w:p>
    <w:p w14:paraId="11443560" w14:textId="06F85714" w:rsidR="007129A6" w:rsidRPr="007129A6" w:rsidRDefault="007129A6" w:rsidP="007129A6">
      <w:pPr>
        <w:pStyle w:val="Normalwebb"/>
        <w:spacing w:before="0" w:beforeAutospacing="0" w:after="150" w:afterAutospacing="0"/>
        <w:rPr>
          <w:rFonts w:asciiTheme="minorHAnsi" w:hAnsiTheme="minorHAnsi"/>
          <w:lang w:val="en-US"/>
        </w:rPr>
      </w:pPr>
      <w:r w:rsidRPr="007129A6">
        <w:rPr>
          <w:rFonts w:asciiTheme="minorHAnsi" w:hAnsiTheme="minorHAnsi"/>
          <w:lang w:val="en-US"/>
        </w:rPr>
        <w:t>The results were in line with expectations, based on the cancer incidence in Peru and the high-risk profile of the patients. 107 individuals (3.2%) were found to have one or more CTC in their blood stream. </w:t>
      </w:r>
    </w:p>
    <w:p w14:paraId="00C05794" w14:textId="409A88FD" w:rsidR="007129A6" w:rsidRDefault="007129A6" w:rsidP="007129A6">
      <w:pPr>
        <w:pStyle w:val="Normalwebb"/>
        <w:spacing w:before="0" w:beforeAutospacing="0" w:after="150" w:afterAutospacing="0"/>
        <w:rPr>
          <w:rFonts w:asciiTheme="minorHAnsi" w:hAnsiTheme="minorHAnsi"/>
          <w:lang w:val="en-US"/>
        </w:rPr>
      </w:pPr>
      <w:r w:rsidRPr="007129A6">
        <w:rPr>
          <w:rFonts w:asciiTheme="minorHAnsi" w:hAnsiTheme="minorHAnsi"/>
          <w:lang w:val="en-US"/>
        </w:rPr>
        <w:t>The pre</w:t>
      </w:r>
      <w:r w:rsidR="007B31AE">
        <w:rPr>
          <w:rFonts w:asciiTheme="minorHAnsi" w:hAnsiTheme="minorHAnsi"/>
          <w:lang w:val="en-US"/>
        </w:rPr>
        <w:t>sent findings therefore confirm</w:t>
      </w:r>
      <w:r w:rsidRPr="007129A6">
        <w:rPr>
          <w:rFonts w:asciiTheme="minorHAnsi" w:hAnsiTheme="minorHAnsi"/>
          <w:lang w:val="en-US"/>
        </w:rPr>
        <w:t xml:space="preserve"> screening for circulating tumor cells as a promising new screening test for early detection of cancer.</w:t>
      </w:r>
    </w:p>
    <w:p w14:paraId="59A73AE0" w14:textId="6C900952" w:rsidR="000E172C" w:rsidRDefault="00797B70" w:rsidP="00A54C56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“</w:t>
      </w:r>
      <w:r w:rsidR="007B31AE">
        <w:rPr>
          <w:rFonts w:asciiTheme="minorHAnsi" w:hAnsiTheme="minorHAnsi" w:cs="Arial"/>
          <w:sz w:val="24"/>
          <w:szCs w:val="24"/>
          <w:lang w:val="en-US"/>
        </w:rPr>
        <w:t>We are very pleased</w:t>
      </w:r>
      <w:r w:rsidR="00061DCA">
        <w:rPr>
          <w:rFonts w:asciiTheme="minorHAnsi" w:hAnsiTheme="minorHAnsi" w:cs="Arial"/>
          <w:sz w:val="24"/>
          <w:szCs w:val="24"/>
          <w:lang w:val="en-US"/>
        </w:rPr>
        <w:t xml:space="preserve"> by the outcome of this first collaboration with our colleagues in Lima, Peru.</w:t>
      </w:r>
      <w:r w:rsidR="007B31AE">
        <w:rPr>
          <w:rFonts w:asciiTheme="minorHAnsi" w:hAnsiTheme="minorHAnsi" w:cs="Arial"/>
          <w:sz w:val="24"/>
          <w:szCs w:val="24"/>
          <w:lang w:val="en-US"/>
        </w:rPr>
        <w:t>”,</w:t>
      </w:r>
      <w:r w:rsidR="007B31AE" w:rsidRPr="007B31AE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7B31AE">
        <w:rPr>
          <w:rFonts w:asciiTheme="minorHAnsi" w:hAnsiTheme="minorHAnsi" w:cs="Arial"/>
          <w:sz w:val="24"/>
          <w:szCs w:val="24"/>
          <w:lang w:val="en-US"/>
        </w:rPr>
        <w:t xml:space="preserve">says iCellate’s </w:t>
      </w:r>
      <w:r w:rsidR="007B31AE">
        <w:rPr>
          <w:rFonts w:asciiTheme="minorHAnsi" w:hAnsiTheme="minorHAnsi" w:cs="Arial"/>
          <w:sz w:val="24"/>
          <w:szCs w:val="24"/>
          <w:lang w:val="en-US"/>
        </w:rPr>
        <w:t>Christer Ericsson</w:t>
      </w:r>
      <w:r w:rsidR="007B31AE">
        <w:rPr>
          <w:rFonts w:asciiTheme="minorHAnsi" w:hAnsiTheme="minorHAnsi" w:cs="Arial"/>
          <w:sz w:val="24"/>
          <w:szCs w:val="24"/>
          <w:lang w:val="en-US"/>
        </w:rPr>
        <w:t>, CSO and</w:t>
      </w:r>
      <w:r w:rsidR="007B31AE">
        <w:rPr>
          <w:rFonts w:asciiTheme="minorHAnsi" w:hAnsiTheme="minorHAnsi" w:cs="Arial"/>
          <w:sz w:val="24"/>
          <w:szCs w:val="24"/>
          <w:lang w:val="en-US"/>
        </w:rPr>
        <w:t xml:space="preserve"> research scientist at Karolinska Institute (KI)</w:t>
      </w:r>
      <w:r w:rsidR="007B31AE">
        <w:rPr>
          <w:rFonts w:asciiTheme="minorHAnsi" w:hAnsiTheme="minorHAnsi" w:cs="Arial"/>
          <w:sz w:val="24"/>
          <w:szCs w:val="24"/>
          <w:lang w:val="en-US"/>
        </w:rPr>
        <w:t>. “Although no structured follow-up program has been possible to date, w</w:t>
      </w:r>
      <w:r w:rsidR="0095697E">
        <w:rPr>
          <w:rFonts w:asciiTheme="minorHAnsi" w:hAnsiTheme="minorHAnsi" w:cs="Arial"/>
          <w:sz w:val="24"/>
          <w:szCs w:val="24"/>
          <w:lang w:val="en-US"/>
        </w:rPr>
        <w:t xml:space="preserve">e know </w:t>
      </w:r>
      <w:r w:rsidR="007B31AE">
        <w:rPr>
          <w:rFonts w:asciiTheme="minorHAnsi" w:hAnsiTheme="minorHAnsi" w:cs="Arial"/>
          <w:sz w:val="24"/>
          <w:szCs w:val="24"/>
          <w:lang w:val="en-US"/>
        </w:rPr>
        <w:t xml:space="preserve">that </w:t>
      </w:r>
      <w:r w:rsidR="0095697E">
        <w:rPr>
          <w:rFonts w:asciiTheme="minorHAnsi" w:hAnsiTheme="minorHAnsi" w:cs="Arial"/>
          <w:sz w:val="24"/>
          <w:szCs w:val="24"/>
          <w:lang w:val="en-US"/>
        </w:rPr>
        <w:t>we have</w:t>
      </w:r>
      <w:r w:rsidR="007B31AE">
        <w:rPr>
          <w:rFonts w:asciiTheme="minorHAnsi" w:hAnsiTheme="minorHAnsi" w:cs="Arial"/>
          <w:sz w:val="24"/>
          <w:szCs w:val="24"/>
          <w:lang w:val="en-US"/>
        </w:rPr>
        <w:t xml:space="preserve"> already helped several of the</w:t>
      </w:r>
      <w:r w:rsidR="0095697E">
        <w:rPr>
          <w:rFonts w:asciiTheme="minorHAnsi" w:hAnsiTheme="minorHAnsi" w:cs="Arial"/>
          <w:sz w:val="24"/>
          <w:szCs w:val="24"/>
          <w:lang w:val="en-US"/>
        </w:rPr>
        <w:t xml:space="preserve"> patients </w:t>
      </w:r>
      <w:r w:rsidR="007B31AE">
        <w:rPr>
          <w:rFonts w:asciiTheme="minorHAnsi" w:hAnsiTheme="minorHAnsi" w:cs="Arial"/>
          <w:sz w:val="24"/>
          <w:szCs w:val="24"/>
          <w:lang w:val="en-US"/>
        </w:rPr>
        <w:t>to detect and remove early-stage cancer before symptoms have occurred”</w:t>
      </w:r>
      <w:r w:rsidR="0095697E">
        <w:rPr>
          <w:rFonts w:asciiTheme="minorHAnsi" w:hAnsiTheme="minorHAnsi" w:cs="Arial"/>
          <w:sz w:val="24"/>
          <w:szCs w:val="24"/>
          <w:lang w:val="en-US"/>
        </w:rPr>
        <w:t>, he continues.</w:t>
      </w:r>
      <w:r w:rsidR="00061DCA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914147">
        <w:rPr>
          <w:rFonts w:asciiTheme="minorHAnsi" w:hAnsiTheme="minorHAnsi" w:cs="Arial"/>
          <w:sz w:val="24"/>
          <w:szCs w:val="24"/>
          <w:lang w:val="en-US"/>
        </w:rPr>
        <w:t>“We remain hopeful that a comprehensive follow up program will be possible in the</w:t>
      </w:r>
      <w:r w:rsidR="00DC4D8F">
        <w:rPr>
          <w:rFonts w:asciiTheme="minorHAnsi" w:hAnsiTheme="minorHAnsi" w:cs="Arial"/>
          <w:sz w:val="24"/>
          <w:szCs w:val="24"/>
          <w:lang w:val="en-US"/>
        </w:rPr>
        <w:t xml:space="preserve"> near</w:t>
      </w:r>
      <w:r w:rsidR="00914147">
        <w:rPr>
          <w:rFonts w:asciiTheme="minorHAnsi" w:hAnsiTheme="minorHAnsi" w:cs="Arial"/>
          <w:sz w:val="24"/>
          <w:szCs w:val="24"/>
          <w:lang w:val="en-US"/>
        </w:rPr>
        <w:t xml:space="preserve"> future</w:t>
      </w:r>
      <w:r>
        <w:rPr>
          <w:rFonts w:asciiTheme="minorHAnsi" w:hAnsiTheme="minorHAnsi" w:cs="Arial"/>
          <w:sz w:val="24"/>
          <w:szCs w:val="24"/>
          <w:lang w:val="en-US"/>
        </w:rPr>
        <w:t>”</w:t>
      </w:r>
      <w:r w:rsidR="000935F8">
        <w:rPr>
          <w:rFonts w:asciiTheme="minorHAnsi" w:hAnsiTheme="minorHAnsi" w:cs="Arial"/>
          <w:sz w:val="24"/>
          <w:szCs w:val="24"/>
          <w:lang w:val="en-US"/>
        </w:rPr>
        <w:t xml:space="preserve">. </w:t>
      </w:r>
    </w:p>
    <w:p w14:paraId="5FB44D58" w14:textId="230803AC" w:rsidR="000935F8" w:rsidRDefault="000935F8" w:rsidP="00A54C56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  <w:lang w:val="en-US"/>
        </w:rPr>
      </w:pPr>
    </w:p>
    <w:p w14:paraId="2A3FB78A" w14:textId="1B802F3B" w:rsidR="000935F8" w:rsidRDefault="000935F8" w:rsidP="000935F8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lastRenderedPageBreak/>
        <w:t xml:space="preserve">Iohn Ryott, </w:t>
      </w:r>
      <w:r w:rsidR="00DC4D8F">
        <w:rPr>
          <w:rFonts w:asciiTheme="minorHAnsi" w:hAnsiTheme="minorHAnsi" w:cs="Arial"/>
          <w:sz w:val="24"/>
          <w:szCs w:val="24"/>
          <w:lang w:val="en-US"/>
        </w:rPr>
        <w:t>Head of Sales and Marketing says</w:t>
      </w:r>
      <w:r w:rsidR="00304C56">
        <w:rPr>
          <w:rFonts w:asciiTheme="minorHAnsi" w:hAnsiTheme="minorHAnsi" w:cs="Arial"/>
          <w:sz w:val="24"/>
          <w:szCs w:val="24"/>
          <w:lang w:val="en-US"/>
        </w:rPr>
        <w:t xml:space="preserve"> “This study is important, and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DC4D8F">
        <w:rPr>
          <w:rFonts w:asciiTheme="minorHAnsi" w:hAnsiTheme="minorHAnsi" w:cs="Arial"/>
          <w:sz w:val="24"/>
          <w:szCs w:val="24"/>
          <w:lang w:val="en-US"/>
        </w:rPr>
        <w:t xml:space="preserve">by </w:t>
      </w:r>
      <w:r>
        <w:rPr>
          <w:rFonts w:asciiTheme="minorHAnsi" w:hAnsiTheme="minorHAnsi" w:cs="Arial"/>
          <w:sz w:val="24"/>
          <w:szCs w:val="24"/>
          <w:lang w:val="en-US"/>
        </w:rPr>
        <w:t>adding</w:t>
      </w:r>
      <w:r w:rsidR="00DC4D8F">
        <w:rPr>
          <w:rFonts w:asciiTheme="minorHAnsi" w:hAnsiTheme="minorHAnsi" w:cs="Arial"/>
          <w:sz w:val="24"/>
          <w:szCs w:val="24"/>
          <w:lang w:val="en-US"/>
        </w:rPr>
        <w:t xml:space="preserve"> genetic sequencing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r w:rsidR="00DC4D8F">
        <w:rPr>
          <w:rFonts w:asciiTheme="minorHAnsi" w:hAnsiTheme="minorHAnsi" w:cs="Arial"/>
          <w:sz w:val="24"/>
          <w:szCs w:val="24"/>
          <w:lang w:val="en-US"/>
        </w:rPr>
        <w:t>its</w:t>
      </w:r>
      <w:r w:rsidR="007B31AE">
        <w:rPr>
          <w:rFonts w:asciiTheme="minorHAnsi" w:hAnsiTheme="minorHAnsi" w:cs="Arial"/>
          <w:sz w:val="24"/>
          <w:szCs w:val="24"/>
          <w:lang w:val="en-US"/>
        </w:rPr>
        <w:t xml:space="preserve"> utility</w:t>
      </w:r>
      <w:r w:rsidR="00DC4D8F">
        <w:rPr>
          <w:rFonts w:asciiTheme="minorHAnsi" w:hAnsiTheme="minorHAnsi" w:cs="Arial"/>
          <w:sz w:val="24"/>
          <w:szCs w:val="24"/>
          <w:lang w:val="en-US"/>
        </w:rPr>
        <w:t xml:space="preserve"> can be enhanced</w:t>
      </w:r>
      <w:r w:rsidR="007B31AE">
        <w:rPr>
          <w:rFonts w:asciiTheme="minorHAnsi" w:hAnsiTheme="minorHAnsi" w:cs="Arial"/>
          <w:sz w:val="24"/>
          <w:szCs w:val="24"/>
          <w:lang w:val="en-US"/>
        </w:rPr>
        <w:t xml:space="preserve"> even further.</w:t>
      </w:r>
      <w:r w:rsidR="00DC4D8F">
        <w:rPr>
          <w:rFonts w:asciiTheme="minorHAnsi" w:hAnsiTheme="minorHAnsi" w:cs="Arial"/>
          <w:sz w:val="24"/>
          <w:szCs w:val="24"/>
          <w:lang w:val="en-US"/>
        </w:rPr>
        <w:t xml:space="preserve"> Since the study was </w:t>
      </w:r>
      <w:r w:rsidR="00D16C8D">
        <w:rPr>
          <w:rFonts w:asciiTheme="minorHAnsi" w:hAnsiTheme="minorHAnsi" w:cs="Arial"/>
          <w:sz w:val="24"/>
          <w:szCs w:val="24"/>
          <w:lang w:val="en-US"/>
        </w:rPr>
        <w:t xml:space="preserve">performed, our genetic sequencing and bio-informatics solution have been launched, which allow us to reveal 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other crucially important information of where the tumor is located and how to treat it, </w:t>
      </w:r>
      <w:r w:rsidR="00304C56">
        <w:rPr>
          <w:rFonts w:asciiTheme="minorHAnsi" w:hAnsiTheme="minorHAnsi" w:cs="Arial"/>
          <w:sz w:val="24"/>
          <w:szCs w:val="24"/>
          <w:lang w:val="en-US"/>
        </w:rPr>
        <w:t>analyzing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the gene mutations that drive the disease in those very same cells.”</w:t>
      </w:r>
    </w:p>
    <w:p w14:paraId="6970FFBF" w14:textId="77777777" w:rsidR="000935F8" w:rsidRDefault="000935F8" w:rsidP="000935F8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  <w:lang w:val="en-US"/>
        </w:rPr>
      </w:pPr>
    </w:p>
    <w:p w14:paraId="4598F617" w14:textId="4615D3E4" w:rsidR="000E172C" w:rsidRDefault="000E172C" w:rsidP="00A54C56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iCellate was founded in 2011 as a spin off from </w:t>
      </w:r>
      <w:r w:rsidR="00B644F9">
        <w:rPr>
          <w:rFonts w:asciiTheme="minorHAnsi" w:hAnsiTheme="minorHAnsi" w:cs="Arial"/>
          <w:sz w:val="24"/>
          <w:szCs w:val="24"/>
          <w:lang w:val="en-US"/>
        </w:rPr>
        <w:t xml:space="preserve">the 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Karolinska Institute. </w:t>
      </w:r>
      <w:r w:rsidR="000935F8">
        <w:rPr>
          <w:rFonts w:asciiTheme="minorHAnsi" w:hAnsiTheme="minorHAnsi" w:cs="Arial"/>
          <w:sz w:val="24"/>
          <w:szCs w:val="24"/>
          <w:lang w:val="en-US"/>
        </w:rPr>
        <w:t>The company has its office</w:t>
      </w:r>
      <w:r w:rsidR="000F7582">
        <w:rPr>
          <w:rFonts w:asciiTheme="minorHAnsi" w:hAnsiTheme="minorHAnsi" w:cs="Arial"/>
          <w:sz w:val="24"/>
          <w:szCs w:val="24"/>
          <w:lang w:val="en-US"/>
        </w:rPr>
        <w:t xml:space="preserve"> and lab</w:t>
      </w:r>
      <w:r w:rsidR="00304C56">
        <w:rPr>
          <w:rFonts w:asciiTheme="minorHAnsi" w:hAnsiTheme="minorHAnsi" w:cs="Arial"/>
          <w:sz w:val="24"/>
          <w:szCs w:val="24"/>
          <w:lang w:val="en-US"/>
        </w:rPr>
        <w:t xml:space="preserve">oratory </w:t>
      </w:r>
      <w:r w:rsidR="000935F8">
        <w:rPr>
          <w:rFonts w:asciiTheme="minorHAnsi" w:hAnsiTheme="minorHAnsi" w:cs="Arial"/>
          <w:sz w:val="24"/>
          <w:szCs w:val="24"/>
          <w:lang w:val="en-US"/>
        </w:rPr>
        <w:t xml:space="preserve">in Solna </w:t>
      </w:r>
      <w:r w:rsidR="000F7582">
        <w:rPr>
          <w:rFonts w:asciiTheme="minorHAnsi" w:hAnsiTheme="minorHAnsi" w:cs="Arial"/>
          <w:sz w:val="24"/>
          <w:szCs w:val="24"/>
          <w:lang w:val="en-US"/>
        </w:rPr>
        <w:t xml:space="preserve">where </w:t>
      </w:r>
      <w:r w:rsidR="0095697E">
        <w:rPr>
          <w:rFonts w:asciiTheme="minorHAnsi" w:hAnsiTheme="minorHAnsi" w:cs="Arial"/>
          <w:sz w:val="24"/>
          <w:szCs w:val="24"/>
          <w:lang w:val="en-US"/>
        </w:rPr>
        <w:t>it performs its</w:t>
      </w:r>
      <w:r w:rsidR="000F7582">
        <w:rPr>
          <w:rFonts w:asciiTheme="minorHAnsi" w:hAnsiTheme="minorHAnsi" w:cs="Arial"/>
          <w:sz w:val="24"/>
          <w:szCs w:val="24"/>
          <w:lang w:val="en-US"/>
        </w:rPr>
        <w:t xml:space="preserve"> advanced liquid biopsy services.</w:t>
      </w:r>
    </w:p>
    <w:sectPr w:rsidR="000E172C" w:rsidSect="00FC4570">
      <w:headerReference w:type="default" r:id="rId7"/>
      <w:headerReference w:type="first" r:id="rId8"/>
      <w:pgSz w:w="11906" w:h="16838"/>
      <w:pgMar w:top="1417" w:right="1417" w:bottom="1417" w:left="141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9FDC2" w14:textId="77777777" w:rsidR="006D03DE" w:rsidRDefault="006D03DE">
      <w:r>
        <w:separator/>
      </w:r>
    </w:p>
  </w:endnote>
  <w:endnote w:type="continuationSeparator" w:id="0">
    <w:p w14:paraId="6FB46AAD" w14:textId="77777777" w:rsidR="006D03DE" w:rsidRDefault="006D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-Bold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B700" w14:textId="77777777" w:rsidR="006D03DE" w:rsidRDefault="006D03DE">
      <w:r>
        <w:separator/>
      </w:r>
    </w:p>
  </w:footnote>
  <w:footnote w:type="continuationSeparator" w:id="0">
    <w:p w14:paraId="5F49F559" w14:textId="77777777" w:rsidR="006D03DE" w:rsidRDefault="006D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9E51" w14:textId="77777777" w:rsidR="00B644F9" w:rsidRDefault="00B644F9" w:rsidP="00A50033">
    <w:pPr>
      <w:pStyle w:val="Contact"/>
    </w:pPr>
  </w:p>
  <w:p w14:paraId="092168AA" w14:textId="77777777" w:rsidR="00B644F9" w:rsidRDefault="00B644F9" w:rsidP="00A50033">
    <w:pPr>
      <w:pStyle w:val="Contact"/>
    </w:pPr>
  </w:p>
  <w:p w14:paraId="61B8F010" w14:textId="77777777" w:rsidR="00B644F9" w:rsidRDefault="00B644F9">
    <w:pPr>
      <w:pStyle w:val="Sidhuvud"/>
    </w:pPr>
  </w:p>
  <w:p w14:paraId="0EDE7965" w14:textId="77777777" w:rsidR="00B644F9" w:rsidRDefault="00B644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47C8" w14:textId="77777777" w:rsidR="00B644F9" w:rsidRDefault="00B644F9" w:rsidP="00A50033">
    <w:pPr>
      <w:pStyle w:val="Contact"/>
    </w:pPr>
    <w:r w:rsidRPr="008A5344">
      <w:rPr>
        <w:noProof/>
        <w:lang w:val="en-GB" w:eastAsia="en-GB"/>
      </w:rPr>
      <w:drawing>
        <wp:inline distT="0" distB="0" distL="0" distR="0" wp14:anchorId="48B5EA6D" wp14:editId="05EF3C88">
          <wp:extent cx="2533650" cy="517900"/>
          <wp:effectExtent l="0" t="0" r="0" b="0"/>
          <wp:docPr id="1" name="Bildobjekt 1" descr="C:\Users\Iohn\Downloads\icellatelogga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hn\Downloads\icellatelogga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888" cy="52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59C38" w14:textId="77777777" w:rsidR="00B644F9" w:rsidRDefault="00B644F9" w:rsidP="00A50033">
    <w:pPr>
      <w:pStyle w:val="Cont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F1D438" wp14:editId="696745A1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4572000" cy="525145"/>
              <wp:effectExtent l="0" t="0" r="0" b="825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710CC" w14:textId="77777777" w:rsidR="00B644F9" w:rsidRPr="008A5344" w:rsidRDefault="00B644F9" w:rsidP="00A50033">
                          <w:pPr>
                            <w:pStyle w:val="NewsRelease"/>
                            <w:rPr>
                              <w:rFonts w:asciiTheme="minorHAnsi" w:hAnsiTheme="minorHAnsi"/>
                              <w:sz w:val="72"/>
                            </w:rPr>
                          </w:pPr>
                          <w:r w:rsidRPr="008A5344">
                            <w:rPr>
                              <w:rFonts w:asciiTheme="minorHAnsi" w:hAnsiTheme="minorHAnsi"/>
                              <w:sz w:val="72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5F1D4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6.1pt;width:5in;height:4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" filled="f" stroked="f">
              <v:textbox inset="0,0,0,0">
                <w:txbxContent>
                  <w:p w14:paraId="39E710CC" w14:textId="77777777" w:rsidR="00B644F9" w:rsidRPr="008A5344" w:rsidRDefault="00B644F9" w:rsidP="00A50033">
                    <w:pPr>
                      <w:pStyle w:val="NewsRelease"/>
                      <w:rPr>
                        <w:rFonts w:asciiTheme="minorHAnsi" w:hAnsiTheme="minorHAnsi"/>
                        <w:sz w:val="72"/>
                      </w:rPr>
                    </w:pPr>
                    <w:r w:rsidRPr="008A5344">
                      <w:rPr>
                        <w:rFonts w:asciiTheme="minorHAnsi" w:hAnsiTheme="minorHAnsi"/>
                        <w:sz w:val="72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</w:p>
  <w:p w14:paraId="10E70503" w14:textId="77777777" w:rsidR="00B644F9" w:rsidRDefault="00B644F9" w:rsidP="00A50033">
    <w:pPr>
      <w:pStyle w:val="Contact"/>
    </w:pPr>
  </w:p>
  <w:p w14:paraId="09B7F087" w14:textId="77777777" w:rsidR="00B644F9" w:rsidRDefault="00B644F9" w:rsidP="00A50033">
    <w:pPr>
      <w:pStyle w:val="Contact"/>
    </w:pPr>
  </w:p>
  <w:p w14:paraId="70931380" w14:textId="77777777" w:rsidR="00B644F9" w:rsidRDefault="00B644F9" w:rsidP="00A50033">
    <w:pPr>
      <w:pStyle w:val="Contact"/>
    </w:pPr>
  </w:p>
  <w:p w14:paraId="55601900" w14:textId="77777777" w:rsidR="00B644F9" w:rsidRDefault="00B644F9" w:rsidP="00A50033">
    <w:pPr>
      <w:pStyle w:val="Contact"/>
    </w:pPr>
  </w:p>
  <w:p w14:paraId="62ABE672" w14:textId="77777777" w:rsidR="00B644F9" w:rsidRDefault="00B644F9" w:rsidP="00A50033">
    <w:pPr>
      <w:pStyle w:val="Contact"/>
    </w:pPr>
  </w:p>
  <w:p w14:paraId="77B48E42" w14:textId="77777777" w:rsidR="00B644F9" w:rsidRPr="008A5344" w:rsidRDefault="00B644F9" w:rsidP="00A50033">
    <w:pPr>
      <w:pStyle w:val="Contact"/>
      <w:rPr>
        <w:rFonts w:asciiTheme="minorHAnsi" w:hAnsiTheme="minorHAnsi"/>
      </w:rPr>
    </w:pPr>
    <w:r w:rsidRPr="008A5344">
      <w:rPr>
        <w:rFonts w:asciiTheme="minorHAnsi" w:hAnsiTheme="minorHAnsi"/>
      </w:rPr>
      <w:t>CONTACTS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13"/>
      <w:gridCol w:w="2476"/>
      <w:gridCol w:w="2082"/>
      <w:gridCol w:w="2127"/>
    </w:tblGrid>
    <w:tr w:rsidR="00B644F9" w14:paraId="14974A26" w14:textId="77777777" w:rsidTr="007129A6">
      <w:tc>
        <w:tcPr>
          <w:tcW w:w="2313" w:type="dxa"/>
        </w:tcPr>
        <w:p w14:paraId="64C27AED" w14:textId="77777777" w:rsidR="00B644F9" w:rsidRPr="008A5344" w:rsidRDefault="00B644F9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iCellate Medical AB</w:t>
          </w:r>
        </w:p>
      </w:tc>
      <w:tc>
        <w:tcPr>
          <w:tcW w:w="2476" w:type="dxa"/>
        </w:tcPr>
        <w:p w14:paraId="13F2C72B" w14:textId="77777777" w:rsidR="00B644F9" w:rsidRPr="008A5344" w:rsidRDefault="00B644F9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iCellate Medical AB</w:t>
          </w:r>
        </w:p>
      </w:tc>
      <w:tc>
        <w:tcPr>
          <w:tcW w:w="2082" w:type="dxa"/>
        </w:tcPr>
        <w:p w14:paraId="63CF73C4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28991A6B" w14:textId="77777777" w:rsidR="00B644F9" w:rsidRDefault="00B644F9" w:rsidP="003715E1">
          <w:pPr>
            <w:pStyle w:val="Contact"/>
          </w:pPr>
        </w:p>
      </w:tc>
    </w:tr>
    <w:tr w:rsidR="00B644F9" w14:paraId="790C2FB0" w14:textId="77777777" w:rsidTr="007129A6">
      <w:tc>
        <w:tcPr>
          <w:tcW w:w="2313" w:type="dxa"/>
        </w:tcPr>
        <w:p w14:paraId="0B044E07" w14:textId="77777777" w:rsidR="00B644F9" w:rsidRPr="008A5344" w:rsidRDefault="00B644F9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Iohn Ryott</w:t>
          </w:r>
        </w:p>
      </w:tc>
      <w:tc>
        <w:tcPr>
          <w:tcW w:w="2476" w:type="dxa"/>
        </w:tcPr>
        <w:p w14:paraId="3F321B30" w14:textId="77777777" w:rsidR="00B644F9" w:rsidRPr="008A5344" w:rsidRDefault="00B644F9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Pelle Redare</w:t>
          </w:r>
        </w:p>
      </w:tc>
      <w:tc>
        <w:tcPr>
          <w:tcW w:w="2082" w:type="dxa"/>
        </w:tcPr>
        <w:p w14:paraId="0049E692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2E1F1242" w14:textId="77777777" w:rsidR="00B644F9" w:rsidRDefault="00B644F9" w:rsidP="003715E1">
          <w:pPr>
            <w:pStyle w:val="Contact"/>
          </w:pPr>
        </w:p>
      </w:tc>
    </w:tr>
    <w:tr w:rsidR="00B644F9" w14:paraId="3B874C77" w14:textId="77777777" w:rsidTr="007129A6">
      <w:tc>
        <w:tcPr>
          <w:tcW w:w="2313" w:type="dxa"/>
        </w:tcPr>
        <w:p w14:paraId="638E66A0" w14:textId="77777777" w:rsidR="00B644F9" w:rsidRPr="008A5344" w:rsidRDefault="00B644F9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 xml:space="preserve">Sales &amp; Marketing </w:t>
          </w:r>
        </w:p>
      </w:tc>
      <w:tc>
        <w:tcPr>
          <w:tcW w:w="2476" w:type="dxa"/>
        </w:tcPr>
        <w:p w14:paraId="6903F358" w14:textId="77777777" w:rsidR="00B644F9" w:rsidRPr="008A5344" w:rsidRDefault="00B644F9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CEO</w:t>
          </w:r>
        </w:p>
      </w:tc>
      <w:tc>
        <w:tcPr>
          <w:tcW w:w="2082" w:type="dxa"/>
        </w:tcPr>
        <w:p w14:paraId="579B7466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01CD4972" w14:textId="77777777" w:rsidR="00B644F9" w:rsidRDefault="00B644F9" w:rsidP="003715E1">
          <w:pPr>
            <w:pStyle w:val="Contact"/>
          </w:pPr>
        </w:p>
      </w:tc>
    </w:tr>
    <w:tr w:rsidR="00B644F9" w14:paraId="40B7B81C" w14:textId="77777777" w:rsidTr="007129A6">
      <w:tc>
        <w:tcPr>
          <w:tcW w:w="2313" w:type="dxa"/>
        </w:tcPr>
        <w:p w14:paraId="508D57F5" w14:textId="77777777" w:rsidR="00B644F9" w:rsidRPr="008A5344" w:rsidRDefault="00B644F9" w:rsidP="00DA6728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Tel   +46 70 7433479</w:t>
          </w:r>
        </w:p>
      </w:tc>
      <w:tc>
        <w:tcPr>
          <w:tcW w:w="2476" w:type="dxa"/>
        </w:tcPr>
        <w:p w14:paraId="597443F8" w14:textId="77777777" w:rsidR="00B644F9" w:rsidRPr="008A5344" w:rsidRDefault="00B644F9" w:rsidP="00DA6728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Tel  +46 70 8178828</w:t>
          </w:r>
        </w:p>
      </w:tc>
      <w:tc>
        <w:tcPr>
          <w:tcW w:w="2082" w:type="dxa"/>
        </w:tcPr>
        <w:p w14:paraId="5C60657F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7922A242" w14:textId="77777777" w:rsidR="00B644F9" w:rsidRDefault="00B644F9" w:rsidP="003715E1">
          <w:pPr>
            <w:pStyle w:val="Contact"/>
          </w:pPr>
        </w:p>
      </w:tc>
    </w:tr>
    <w:tr w:rsidR="00B644F9" w14:paraId="4D4B50E8" w14:textId="77777777" w:rsidTr="007129A6">
      <w:tc>
        <w:tcPr>
          <w:tcW w:w="2313" w:type="dxa"/>
        </w:tcPr>
        <w:p w14:paraId="631EE702" w14:textId="77777777" w:rsidR="00B644F9" w:rsidRPr="008A5344" w:rsidRDefault="00B644F9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Iohn.ryott@icellate.se</w:t>
          </w:r>
        </w:p>
      </w:tc>
      <w:tc>
        <w:tcPr>
          <w:tcW w:w="2476" w:type="dxa"/>
        </w:tcPr>
        <w:p w14:paraId="33911397" w14:textId="77777777" w:rsidR="00B644F9" w:rsidRPr="008A5344" w:rsidRDefault="00B644F9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Pelle.redare@icellate.se</w:t>
          </w:r>
        </w:p>
      </w:tc>
      <w:tc>
        <w:tcPr>
          <w:tcW w:w="2082" w:type="dxa"/>
        </w:tcPr>
        <w:p w14:paraId="5FA955DB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7E4F8FC4" w14:textId="77777777" w:rsidR="00B644F9" w:rsidRDefault="00B644F9" w:rsidP="003715E1">
          <w:pPr>
            <w:pStyle w:val="Contact"/>
          </w:pPr>
        </w:p>
      </w:tc>
    </w:tr>
  </w:tbl>
  <w:p w14:paraId="5D6BB41D" w14:textId="77777777" w:rsidR="00B644F9" w:rsidRDefault="00B644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2B"/>
    <w:rsid w:val="000016A0"/>
    <w:rsid w:val="000209F8"/>
    <w:rsid w:val="00022D6B"/>
    <w:rsid w:val="000239C4"/>
    <w:rsid w:val="00025CE5"/>
    <w:rsid w:val="00030CB0"/>
    <w:rsid w:val="00035679"/>
    <w:rsid w:val="000407FB"/>
    <w:rsid w:val="00042CB5"/>
    <w:rsid w:val="00061DCA"/>
    <w:rsid w:val="00061E1F"/>
    <w:rsid w:val="00063C3D"/>
    <w:rsid w:val="000666E0"/>
    <w:rsid w:val="0008462F"/>
    <w:rsid w:val="000935F8"/>
    <w:rsid w:val="000A01DF"/>
    <w:rsid w:val="000A091B"/>
    <w:rsid w:val="000C3224"/>
    <w:rsid w:val="000E172C"/>
    <w:rsid w:val="000F7582"/>
    <w:rsid w:val="001A3B53"/>
    <w:rsid w:val="001A5D15"/>
    <w:rsid w:val="001D551B"/>
    <w:rsid w:val="001F0575"/>
    <w:rsid w:val="00223B2B"/>
    <w:rsid w:val="00243C2B"/>
    <w:rsid w:val="002460EF"/>
    <w:rsid w:val="00254A0C"/>
    <w:rsid w:val="00262F80"/>
    <w:rsid w:val="00263077"/>
    <w:rsid w:val="00294C38"/>
    <w:rsid w:val="002A2D00"/>
    <w:rsid w:val="002B3090"/>
    <w:rsid w:val="002C7AEF"/>
    <w:rsid w:val="002D04FE"/>
    <w:rsid w:val="002F16D2"/>
    <w:rsid w:val="002F74B5"/>
    <w:rsid w:val="00303319"/>
    <w:rsid w:val="00304C56"/>
    <w:rsid w:val="0030799B"/>
    <w:rsid w:val="00324ECD"/>
    <w:rsid w:val="003271C1"/>
    <w:rsid w:val="00330773"/>
    <w:rsid w:val="00346633"/>
    <w:rsid w:val="0036085E"/>
    <w:rsid w:val="003715E1"/>
    <w:rsid w:val="003764D2"/>
    <w:rsid w:val="00383AE6"/>
    <w:rsid w:val="00390E8E"/>
    <w:rsid w:val="00394D44"/>
    <w:rsid w:val="003A5CB9"/>
    <w:rsid w:val="003B01AC"/>
    <w:rsid w:val="003B5663"/>
    <w:rsid w:val="003E584F"/>
    <w:rsid w:val="003F3700"/>
    <w:rsid w:val="00422147"/>
    <w:rsid w:val="004248E7"/>
    <w:rsid w:val="0044654D"/>
    <w:rsid w:val="004477D9"/>
    <w:rsid w:val="00457EE8"/>
    <w:rsid w:val="00485E38"/>
    <w:rsid w:val="00487899"/>
    <w:rsid w:val="004A426E"/>
    <w:rsid w:val="004B0D2C"/>
    <w:rsid w:val="004D5DE4"/>
    <w:rsid w:val="004F1DD5"/>
    <w:rsid w:val="00520273"/>
    <w:rsid w:val="005365BD"/>
    <w:rsid w:val="005407C3"/>
    <w:rsid w:val="005558D2"/>
    <w:rsid w:val="0056539B"/>
    <w:rsid w:val="00575E9F"/>
    <w:rsid w:val="005A09E4"/>
    <w:rsid w:val="005A2488"/>
    <w:rsid w:val="005C7A4D"/>
    <w:rsid w:val="005D2960"/>
    <w:rsid w:val="005E1F3D"/>
    <w:rsid w:val="005E7342"/>
    <w:rsid w:val="006125F0"/>
    <w:rsid w:val="00622365"/>
    <w:rsid w:val="0063067F"/>
    <w:rsid w:val="00631659"/>
    <w:rsid w:val="0067719C"/>
    <w:rsid w:val="00685379"/>
    <w:rsid w:val="006A1981"/>
    <w:rsid w:val="006A30F6"/>
    <w:rsid w:val="006C1194"/>
    <w:rsid w:val="006D03DE"/>
    <w:rsid w:val="007042DB"/>
    <w:rsid w:val="007066B1"/>
    <w:rsid w:val="00711CE4"/>
    <w:rsid w:val="007129A6"/>
    <w:rsid w:val="00783045"/>
    <w:rsid w:val="00785A6D"/>
    <w:rsid w:val="00797B70"/>
    <w:rsid w:val="007A0235"/>
    <w:rsid w:val="007B31AE"/>
    <w:rsid w:val="007C693E"/>
    <w:rsid w:val="007D2F4D"/>
    <w:rsid w:val="007F0033"/>
    <w:rsid w:val="008035A4"/>
    <w:rsid w:val="00812798"/>
    <w:rsid w:val="008310BB"/>
    <w:rsid w:val="00831E3E"/>
    <w:rsid w:val="0084000D"/>
    <w:rsid w:val="008544A4"/>
    <w:rsid w:val="008563E9"/>
    <w:rsid w:val="00857B54"/>
    <w:rsid w:val="0086042B"/>
    <w:rsid w:val="008661DA"/>
    <w:rsid w:val="008A5344"/>
    <w:rsid w:val="008B1CF3"/>
    <w:rsid w:val="008C3BE3"/>
    <w:rsid w:val="008E2C4A"/>
    <w:rsid w:val="008F523C"/>
    <w:rsid w:val="008F5E84"/>
    <w:rsid w:val="00901E9C"/>
    <w:rsid w:val="0090223B"/>
    <w:rsid w:val="00905B3F"/>
    <w:rsid w:val="00914147"/>
    <w:rsid w:val="0092193F"/>
    <w:rsid w:val="00924292"/>
    <w:rsid w:val="009250F7"/>
    <w:rsid w:val="00927282"/>
    <w:rsid w:val="009327AC"/>
    <w:rsid w:val="00945200"/>
    <w:rsid w:val="00950518"/>
    <w:rsid w:val="0095697E"/>
    <w:rsid w:val="00961CDF"/>
    <w:rsid w:val="009807B3"/>
    <w:rsid w:val="009A7B67"/>
    <w:rsid w:val="009B4789"/>
    <w:rsid w:val="009D5694"/>
    <w:rsid w:val="009E6161"/>
    <w:rsid w:val="009F56C7"/>
    <w:rsid w:val="00A10266"/>
    <w:rsid w:val="00A13E66"/>
    <w:rsid w:val="00A25A83"/>
    <w:rsid w:val="00A30F71"/>
    <w:rsid w:val="00A50033"/>
    <w:rsid w:val="00A5166F"/>
    <w:rsid w:val="00A54C56"/>
    <w:rsid w:val="00A56A5E"/>
    <w:rsid w:val="00A57E22"/>
    <w:rsid w:val="00A744AC"/>
    <w:rsid w:val="00A77026"/>
    <w:rsid w:val="00A77386"/>
    <w:rsid w:val="00A96454"/>
    <w:rsid w:val="00AB4203"/>
    <w:rsid w:val="00AC418A"/>
    <w:rsid w:val="00AD27D9"/>
    <w:rsid w:val="00AD4AF2"/>
    <w:rsid w:val="00AD5472"/>
    <w:rsid w:val="00B30223"/>
    <w:rsid w:val="00B644F9"/>
    <w:rsid w:val="00B6679D"/>
    <w:rsid w:val="00B90EEF"/>
    <w:rsid w:val="00B91CFC"/>
    <w:rsid w:val="00BA7BB9"/>
    <w:rsid w:val="00BB1FA5"/>
    <w:rsid w:val="00BC2953"/>
    <w:rsid w:val="00BD6C21"/>
    <w:rsid w:val="00BE690F"/>
    <w:rsid w:val="00BE7382"/>
    <w:rsid w:val="00C128B6"/>
    <w:rsid w:val="00C218F3"/>
    <w:rsid w:val="00C30E7B"/>
    <w:rsid w:val="00C36CFF"/>
    <w:rsid w:val="00C50555"/>
    <w:rsid w:val="00C548A2"/>
    <w:rsid w:val="00C60E2C"/>
    <w:rsid w:val="00C6137F"/>
    <w:rsid w:val="00C66AEE"/>
    <w:rsid w:val="00C81BC2"/>
    <w:rsid w:val="00C83963"/>
    <w:rsid w:val="00C92AFA"/>
    <w:rsid w:val="00CA4C3F"/>
    <w:rsid w:val="00CB584E"/>
    <w:rsid w:val="00CC330A"/>
    <w:rsid w:val="00CE551A"/>
    <w:rsid w:val="00D067C4"/>
    <w:rsid w:val="00D12129"/>
    <w:rsid w:val="00D16C8D"/>
    <w:rsid w:val="00D43013"/>
    <w:rsid w:val="00DA6728"/>
    <w:rsid w:val="00DB5C47"/>
    <w:rsid w:val="00DC2FD7"/>
    <w:rsid w:val="00DC4D8F"/>
    <w:rsid w:val="00DE3C9D"/>
    <w:rsid w:val="00DF28FC"/>
    <w:rsid w:val="00E072EE"/>
    <w:rsid w:val="00E21B31"/>
    <w:rsid w:val="00E41356"/>
    <w:rsid w:val="00E611DD"/>
    <w:rsid w:val="00E87678"/>
    <w:rsid w:val="00E90219"/>
    <w:rsid w:val="00E97774"/>
    <w:rsid w:val="00EA4DF1"/>
    <w:rsid w:val="00EB02FB"/>
    <w:rsid w:val="00EB5A7F"/>
    <w:rsid w:val="00EB6C5A"/>
    <w:rsid w:val="00EF466A"/>
    <w:rsid w:val="00F03441"/>
    <w:rsid w:val="00F12D9B"/>
    <w:rsid w:val="00F17F0C"/>
    <w:rsid w:val="00F30F2D"/>
    <w:rsid w:val="00F446AA"/>
    <w:rsid w:val="00F64F94"/>
    <w:rsid w:val="00F80420"/>
    <w:rsid w:val="00FC4570"/>
    <w:rsid w:val="00FC6128"/>
    <w:rsid w:val="00FE7499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683F4"/>
  <w15:docId w15:val="{D4555DE8-DF0C-43E9-A3E9-484D658F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A5E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7129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aliases w:val="webb1"/>
    <w:basedOn w:val="Normal"/>
    <w:rsid w:val="00223B2B"/>
    <w:pPr>
      <w:spacing w:before="30" w:after="75"/>
    </w:pPr>
    <w:rPr>
      <w:rFonts w:ascii="Arial" w:hAnsi="Arial" w:cs="Arial"/>
      <w:sz w:val="17"/>
      <w:szCs w:val="17"/>
    </w:rPr>
  </w:style>
  <w:style w:type="paragraph" w:customStyle="1" w:styleId="releasedata1">
    <w:name w:val="release_data1"/>
    <w:basedOn w:val="Normal"/>
    <w:rsid w:val="00223B2B"/>
    <w:pPr>
      <w:ind w:right="450"/>
    </w:pPr>
    <w:rPr>
      <w:rFonts w:ascii="Arial" w:hAnsi="Arial" w:cs="Arial"/>
      <w:sz w:val="18"/>
      <w:szCs w:val="18"/>
    </w:rPr>
  </w:style>
  <w:style w:type="character" w:customStyle="1" w:styleId="Hyperlnk6">
    <w:name w:val="Hyperlänk6"/>
    <w:basedOn w:val="Standardstycketeckensnitt"/>
    <w:rsid w:val="00223B2B"/>
    <w:rPr>
      <w:strike w:val="0"/>
      <w:dstrike w:val="0"/>
      <w:color w:val="0099CC"/>
      <w:u w:val="none"/>
      <w:effect w:val="none"/>
    </w:rPr>
  </w:style>
  <w:style w:type="character" w:styleId="Hyperlnk">
    <w:name w:val="Hyperlink"/>
    <w:basedOn w:val="Standardstycketeckensnitt"/>
    <w:rsid w:val="00457EE8"/>
    <w:rPr>
      <w:color w:val="0000FF"/>
      <w:u w:val="single"/>
    </w:rPr>
  </w:style>
  <w:style w:type="paragraph" w:styleId="Sidhuvud">
    <w:name w:val="header"/>
    <w:basedOn w:val="Normal"/>
    <w:rsid w:val="00E21B3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21B3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61E1F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A50033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lang w:val="en-US" w:eastAsia="en-US"/>
    </w:rPr>
  </w:style>
  <w:style w:type="paragraph" w:customStyle="1" w:styleId="Char1CharCharCharCharCharChar1CharCharCharCharCharChar">
    <w:name w:val="Char1 Char Char Char Char Char Char1 Char Char Char Char Char Char"/>
    <w:basedOn w:val="Normal"/>
    <w:rsid w:val="00A50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tact">
    <w:name w:val="Contact"/>
    <w:basedOn w:val="Normal"/>
    <w:rsid w:val="00A50033"/>
    <w:pPr>
      <w:widowControl w:val="0"/>
      <w:autoSpaceDE w:val="0"/>
      <w:autoSpaceDN w:val="0"/>
      <w:adjustRightInd w:val="0"/>
      <w:spacing w:after="40"/>
      <w:ind w:left="86"/>
      <w:textAlignment w:val="center"/>
    </w:pPr>
    <w:rPr>
      <w:rFonts w:ascii="ArialMT" w:hAnsi="ArialMT"/>
      <w:color w:val="6A737B"/>
      <w:sz w:val="15"/>
      <w:szCs w:val="16"/>
      <w:lang w:val="en-US" w:eastAsia="en-US"/>
    </w:rPr>
  </w:style>
  <w:style w:type="table" w:styleId="Tabellrutnt">
    <w:name w:val="Table Grid"/>
    <w:basedOn w:val="Normaltabell"/>
    <w:rsid w:val="00A5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Release">
    <w:name w:val="News Release"/>
    <w:basedOn w:val="Normal"/>
    <w:rsid w:val="00A50033"/>
    <w:pPr>
      <w:widowControl w:val="0"/>
      <w:tabs>
        <w:tab w:val="left" w:pos="278"/>
      </w:tabs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b/>
      <w:color w:val="6A737B"/>
      <w:sz w:val="92"/>
      <w:szCs w:val="92"/>
      <w:lang w:val="en-US" w:eastAsia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8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85A6D"/>
    <w:rPr>
      <w:rFonts w:ascii="Courier New" w:hAnsi="Courier New" w:cs="Courier New"/>
    </w:rPr>
  </w:style>
  <w:style w:type="paragraph" w:styleId="Fotnotstext">
    <w:name w:val="footnote text"/>
    <w:basedOn w:val="Normal"/>
    <w:link w:val="FotnotstextChar"/>
    <w:uiPriority w:val="99"/>
    <w:unhideWhenUsed/>
    <w:rsid w:val="000016A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016A0"/>
  </w:style>
  <w:style w:type="character" w:styleId="Fotnotsreferens">
    <w:name w:val="footnote reference"/>
    <w:basedOn w:val="Standardstycketeckensnitt"/>
    <w:uiPriority w:val="99"/>
    <w:semiHidden/>
    <w:unhideWhenUsed/>
    <w:rsid w:val="000016A0"/>
    <w:rPr>
      <w:vertAlign w:val="superscript"/>
    </w:rPr>
  </w:style>
  <w:style w:type="character" w:customStyle="1" w:styleId="Rubrik3Char">
    <w:name w:val="Rubrik 3 Char"/>
    <w:basedOn w:val="Standardstycketeckensnitt"/>
    <w:link w:val="Rubrik3"/>
    <w:uiPriority w:val="9"/>
    <w:rsid w:val="007129A6"/>
    <w:rPr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7129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7129A6"/>
  </w:style>
  <w:style w:type="character" w:styleId="Betoning">
    <w:name w:val="Emphasis"/>
    <w:basedOn w:val="Standardstycketeckensnitt"/>
    <w:uiPriority w:val="20"/>
    <w:qFormat/>
    <w:rsid w:val="0071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051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540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50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19990234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5550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176144052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893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82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D5E1E-A23B-A143-9CAC-6AC3501A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452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Landmark FAME Study Reports That Routine FFR measurements in improves outcomes after stenting in multi vessel diseased patient</vt:lpstr>
      <vt:lpstr>Landmark FAME Study Reports That Routine FFR measurements in improves outcomes after stenting in multi vessel diseased patient</vt:lpstr>
    </vt:vector>
  </TitlesOfParts>
  <Company>Radi Medical Systems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Landmark FAME Study Reports That Routine FFR measurements in improves outcomes after stenting in multi vessel diseased patient</dc:title>
  <dc:creator>iohn.ryott</dc:creator>
  <cp:lastModifiedBy>Iohn Ryott</cp:lastModifiedBy>
  <cp:revision>7</cp:revision>
  <cp:lastPrinted>2018-05-31T11:53:00Z</cp:lastPrinted>
  <dcterms:created xsi:type="dcterms:W3CDTF">2018-05-30T15:12:00Z</dcterms:created>
  <dcterms:modified xsi:type="dcterms:W3CDTF">2018-06-01T06:42:00Z</dcterms:modified>
</cp:coreProperties>
</file>