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7" w:rsidRPr="00AB4607" w:rsidRDefault="00301EBA" w:rsidP="00626467">
      <w:r>
        <w:rPr>
          <w:lang w:val="fi"/>
        </w:rPr>
        <w:t>Lehdistötiedote</w:t>
      </w:r>
      <w:r w:rsidR="006C71C2">
        <w:rPr>
          <w:lang w:val="fi"/>
        </w:rPr>
        <w:t xml:space="preserve"> </w:t>
      </w:r>
      <w:r w:rsidR="006C71C2" w:rsidRPr="006C71C2">
        <w:rPr>
          <w:lang w:val="fi"/>
        </w:rPr>
        <w:t>11.08</w:t>
      </w:r>
      <w:r w:rsidRPr="006C71C2">
        <w:rPr>
          <w:lang w:val="fi"/>
        </w:rPr>
        <w:t>.2020</w:t>
      </w:r>
    </w:p>
    <w:p w:rsidR="00626467" w:rsidRPr="00AB4607" w:rsidRDefault="00626467" w:rsidP="00626467"/>
    <w:p w:rsidR="007C47F6" w:rsidRDefault="005F3990" w:rsidP="009B60BA">
      <w:pPr>
        <w:spacing w:after="240"/>
        <w:rPr>
          <w:b/>
          <w:sz w:val="44"/>
        </w:rPr>
      </w:pPr>
      <w:r>
        <w:rPr>
          <w:b/>
          <w:bCs/>
          <w:sz w:val="44"/>
          <w:lang w:val="fi"/>
        </w:rPr>
        <w:t>Painepesuri RE 170 PLUS vaativaan ammatti- ja kotikäyttöön</w:t>
      </w:r>
    </w:p>
    <w:p w:rsidR="00301EBA" w:rsidRPr="009B60BA" w:rsidRDefault="008C6885" w:rsidP="009B60BA">
      <w:pPr>
        <w:spacing w:after="240"/>
        <w:rPr>
          <w:b/>
          <w:sz w:val="44"/>
        </w:rPr>
      </w:pPr>
      <w:r>
        <w:rPr>
          <w:b/>
          <w:bCs/>
          <w:sz w:val="24"/>
          <w:szCs w:val="24"/>
          <w:lang w:val="fi"/>
        </w:rPr>
        <w:t>STIHL täydentää laadukkaiden painepesurien valikoimaa uudella tuotteella: tehokas RE 170 PLUS palvelee niin autotallissa, työpajassa kuin puutarhassakin. Älykkäät ja helppokäyttöiset yksityiskohdat tekevät laitteen käytöstä miellyttävää.</w:t>
      </w:r>
      <w:r>
        <w:rPr>
          <w:sz w:val="24"/>
          <w:szCs w:val="24"/>
          <w:lang w:val="fi"/>
        </w:rPr>
        <w:t xml:space="preserve"> </w:t>
      </w:r>
    </w:p>
    <w:p w:rsidR="006E476D" w:rsidRDefault="006E476D" w:rsidP="0020082B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 xml:space="preserve">STIHL esittelee uusimman painepesurimallinsa, jossa yhdistyvät käytännöllisyys, helppokäyttöisyys, toimintavarmuus ja kestävyys. RE 170 PLUS puhdistaa tehokkaasti itsepintaisimmankin lian 150 baarin työpaineen ansiosta. </w:t>
      </w:r>
    </w:p>
    <w:p w:rsidR="00520B3E" w:rsidRPr="00AB4607" w:rsidRDefault="00520B3E" w:rsidP="00520B3E">
      <w:pPr>
        <w:pStyle w:val="Liststycke"/>
        <w:numPr>
          <w:ilvl w:val="0"/>
          <w:numId w:val="13"/>
        </w:num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>RE 170 PLUS on tehokas ja käytännöllinen painepesuri erilaisiin käyttötarkoituksiin. Se soveltuu työkoneiden, ajoneuvojen ja työtilojen puhdistamiseen sekä kodin ja puutarhan erilaisiin pesuaskareisiin, pohjoismainen tuotepäällikkö Mats Gustafsson kertoo.</w:t>
      </w:r>
    </w:p>
    <w:p w:rsidR="007267E3" w:rsidRPr="00AB4607" w:rsidRDefault="006E214B" w:rsidP="007267E3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>RE 170 PLUS on vahva ja tehokas keskiluokan painepesuri. Laitteessa on kaksi suutinta: säädettävä kohdesuutin soveltuu aremmille pinnoille, ja rotaatiosuutin poistaa pinttyneenkin lian tehokkaasti. Paine on helppo säätää kuhunkin työhön sopivaksi kätevän säätimen avulla.</w:t>
      </w:r>
    </w:p>
    <w:p w:rsidR="00DC7B90" w:rsidRDefault="00185BC1" w:rsidP="0020082B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>Käytännölliset ominaisuudet, esimerkiksi säädettävä teleskooppikahva ja kuljetusta ja varastointia helpottava irrotettava putki, sujuvoittavat niin käyttöä kuin säilytystä. Integroidut suuret pyörät tekevät painepesurin siirtämisestä helppoa myös portaissa ja hankalassa maastossa.</w:t>
      </w:r>
    </w:p>
    <w:p w:rsidR="009019A6" w:rsidRDefault="00095F28" w:rsidP="009019A6">
      <w:pPr>
        <w:pStyle w:val="Liststycke"/>
        <w:numPr>
          <w:ilvl w:val="0"/>
          <w:numId w:val="13"/>
        </w:num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 xml:space="preserve">Fiksut yksityiskohdat, kuten letkunkäsittelyä nopeuttavat joustavat johtokoukut, 12-metrinen korkeapaineletku ja käännettävällä kammella varustettu letkukela, lisäävät käyttömukavuutta, Mats Gustafsson sanoo. </w:t>
      </w:r>
    </w:p>
    <w:p w:rsidR="00F74A3D" w:rsidRPr="00AB4607" w:rsidRDefault="00F74A3D" w:rsidP="0020082B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 xml:space="preserve">Pehmeän kumipintaisen teleskooppikahvan lisäksi RE 170 PLUS -mallissa on luja alumiinikahva, jonka ansiosta laitteen nostaminen ja kuljettaminen on helppoa. Messinkinen pumppupesä ja keraamiset männät lisäävät käyttövarmuutta ja kestävyyttä. </w:t>
      </w:r>
    </w:p>
    <w:p w:rsidR="003532DE" w:rsidRPr="00AB4607" w:rsidRDefault="00F74A3D" w:rsidP="0020082B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 xml:space="preserve">RE 170 PLUS -painepesurissa on integroitu 2 litran pesuainesäiliö ja helppokäyttöinen kiertosäätimellä toimiva annostelujärjestelmä. </w:t>
      </w:r>
    </w:p>
    <w:p w:rsidR="005F3990" w:rsidRDefault="00E050AF" w:rsidP="007C0C8F">
      <w:pPr>
        <w:spacing w:after="120"/>
        <w:rPr>
          <w:bCs/>
          <w:sz w:val="24"/>
          <w:szCs w:val="24"/>
        </w:rPr>
      </w:pPr>
      <w:r>
        <w:rPr>
          <w:sz w:val="24"/>
          <w:szCs w:val="24"/>
          <w:lang w:val="fi"/>
        </w:rPr>
        <w:t xml:space="preserve">Erityisiin käyttökohteisiin ja -tarpeisiin on saatavana erilaisia lisävarusteita, kuten pyöriviä harjoja, suihkuputkia ja pesuaineita, jotka tekevät laitteesta entistä monikäyttöisemmän. </w:t>
      </w:r>
    </w:p>
    <w:p w:rsidR="00C16A56" w:rsidRDefault="00C16A56" w:rsidP="007C0C8F">
      <w:pPr>
        <w:spacing w:after="120"/>
        <w:rPr>
          <w:bCs/>
          <w:sz w:val="24"/>
          <w:szCs w:val="24"/>
        </w:rPr>
      </w:pPr>
    </w:p>
    <w:p w:rsidR="006C71C2" w:rsidRPr="00AB4607" w:rsidRDefault="006C71C2" w:rsidP="007C0C8F">
      <w:pPr>
        <w:spacing w:after="120"/>
        <w:rPr>
          <w:bCs/>
          <w:sz w:val="24"/>
          <w:szCs w:val="24"/>
        </w:rPr>
      </w:pPr>
    </w:p>
    <w:p w:rsidR="005F3990" w:rsidRPr="00AB4607" w:rsidRDefault="005F3990" w:rsidP="00350EC2">
      <w:pPr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03"/>
        <w:gridCol w:w="3261"/>
      </w:tblGrid>
      <w:tr w:rsidR="006E0B9E" w:rsidRPr="00AB4607" w:rsidTr="00227F9A">
        <w:tc>
          <w:tcPr>
            <w:tcW w:w="2003" w:type="dxa"/>
            <w:vAlign w:val="center"/>
          </w:tcPr>
          <w:p w:rsidR="006E0B9E" w:rsidRPr="00AB4607" w:rsidRDefault="005E49D0" w:rsidP="006E0B9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  <w:lang w:val="fi"/>
              </w:rPr>
              <w:lastRenderedPageBreak/>
              <w:t>RE 170 PLUS</w:t>
            </w:r>
          </w:p>
        </w:tc>
        <w:tc>
          <w:tcPr>
            <w:tcW w:w="3261" w:type="dxa"/>
            <w:vAlign w:val="center"/>
          </w:tcPr>
          <w:p w:rsidR="006E0B9E" w:rsidRPr="00AB4607" w:rsidRDefault="006E0B9E" w:rsidP="006E0B9E">
            <w:pPr>
              <w:spacing w:after="120"/>
            </w:pPr>
          </w:p>
        </w:tc>
      </w:tr>
      <w:tr w:rsidR="006E0B9E" w:rsidRPr="00AB4607" w:rsidTr="00227F9A">
        <w:tc>
          <w:tcPr>
            <w:tcW w:w="2003" w:type="dxa"/>
            <w:vAlign w:val="center"/>
          </w:tcPr>
          <w:p w:rsidR="006E0B9E" w:rsidRPr="00AB4607" w:rsidRDefault="00A12190" w:rsidP="006E0B9E">
            <w:pPr>
              <w:spacing w:after="120"/>
            </w:pPr>
            <w:r>
              <w:rPr>
                <w:lang w:val="fi"/>
              </w:rPr>
              <w:t>Työpaine:</w:t>
            </w:r>
          </w:p>
        </w:tc>
        <w:tc>
          <w:tcPr>
            <w:tcW w:w="3261" w:type="dxa"/>
            <w:vAlign w:val="center"/>
          </w:tcPr>
          <w:p w:rsidR="006E0B9E" w:rsidRPr="00AB4607" w:rsidRDefault="00A12190" w:rsidP="006E0B9E">
            <w:pPr>
              <w:spacing w:after="120"/>
            </w:pPr>
            <w:r>
              <w:rPr>
                <w:lang w:val="fi"/>
              </w:rPr>
              <w:t>10–150 bar</w:t>
            </w:r>
          </w:p>
        </w:tc>
      </w:tr>
      <w:tr w:rsidR="00A12190" w:rsidRPr="00AB4607" w:rsidTr="00227F9A">
        <w:tc>
          <w:tcPr>
            <w:tcW w:w="2003" w:type="dxa"/>
            <w:vAlign w:val="center"/>
          </w:tcPr>
          <w:p w:rsidR="00A12190" w:rsidRPr="00AB4607" w:rsidRDefault="00A12190" w:rsidP="006E0B9E">
            <w:pPr>
              <w:spacing w:after="120"/>
            </w:pPr>
            <w:r>
              <w:rPr>
                <w:lang w:val="fi"/>
              </w:rPr>
              <w:t>Teho:</w:t>
            </w:r>
          </w:p>
        </w:tc>
        <w:tc>
          <w:tcPr>
            <w:tcW w:w="3261" w:type="dxa"/>
            <w:vAlign w:val="center"/>
          </w:tcPr>
          <w:p w:rsidR="00A12190" w:rsidRPr="00AB4607" w:rsidRDefault="00A12190" w:rsidP="006E0B9E">
            <w:pPr>
              <w:spacing w:after="120"/>
            </w:pPr>
            <w:r>
              <w:rPr>
                <w:lang w:val="fi"/>
              </w:rPr>
              <w:t>3,3 kW</w:t>
            </w:r>
          </w:p>
        </w:tc>
      </w:tr>
      <w:tr w:rsidR="00816D73" w:rsidRPr="00AB4607" w:rsidTr="00227F9A">
        <w:tc>
          <w:tcPr>
            <w:tcW w:w="2003" w:type="dxa"/>
            <w:vAlign w:val="center"/>
          </w:tcPr>
          <w:p w:rsidR="00816D73" w:rsidRPr="00AB4607" w:rsidRDefault="00887479" w:rsidP="00816D73">
            <w:pPr>
              <w:spacing w:after="120"/>
            </w:pPr>
            <w:r>
              <w:rPr>
                <w:lang w:val="fi"/>
              </w:rPr>
              <w:t>Letkun pituus:</w:t>
            </w:r>
          </w:p>
        </w:tc>
        <w:tc>
          <w:tcPr>
            <w:tcW w:w="3261" w:type="dxa"/>
            <w:vAlign w:val="center"/>
          </w:tcPr>
          <w:p w:rsidR="00816D73" w:rsidRPr="00AB4607" w:rsidRDefault="00887479" w:rsidP="00816D73">
            <w:pPr>
              <w:spacing w:after="120"/>
            </w:pPr>
            <w:r>
              <w:rPr>
                <w:lang w:val="fi"/>
              </w:rPr>
              <w:t xml:space="preserve">12 m </w:t>
            </w:r>
          </w:p>
        </w:tc>
      </w:tr>
      <w:tr w:rsidR="00816D73" w:rsidRPr="00AB4607" w:rsidTr="00227F9A">
        <w:tc>
          <w:tcPr>
            <w:tcW w:w="2003" w:type="dxa"/>
            <w:vAlign w:val="center"/>
          </w:tcPr>
          <w:p w:rsidR="00816D73" w:rsidRPr="00AB4607" w:rsidRDefault="00A12190" w:rsidP="00816D73">
            <w:pPr>
              <w:spacing w:after="120"/>
            </w:pPr>
            <w:r>
              <w:rPr>
                <w:lang w:val="fi"/>
              </w:rPr>
              <w:t>Vedenkulutus:</w:t>
            </w:r>
          </w:p>
        </w:tc>
        <w:tc>
          <w:tcPr>
            <w:tcW w:w="3261" w:type="dxa"/>
            <w:vAlign w:val="center"/>
          </w:tcPr>
          <w:p w:rsidR="00816D73" w:rsidRPr="00AB4607" w:rsidRDefault="00A12190" w:rsidP="00816D73">
            <w:pPr>
              <w:spacing w:after="120"/>
            </w:pPr>
            <w:r>
              <w:rPr>
                <w:lang w:val="fi"/>
              </w:rPr>
              <w:t xml:space="preserve">Enint. 650 l/h </w:t>
            </w:r>
          </w:p>
        </w:tc>
      </w:tr>
      <w:tr w:rsidR="00816D73" w:rsidRPr="00AB4607" w:rsidTr="00227F9A">
        <w:tc>
          <w:tcPr>
            <w:tcW w:w="2003" w:type="dxa"/>
            <w:vAlign w:val="center"/>
          </w:tcPr>
          <w:p w:rsidR="00816D73" w:rsidRPr="00215402" w:rsidRDefault="00227F9A" w:rsidP="00816D7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  <w:lang w:val="fi"/>
              </w:rPr>
              <w:t>Paino:</w:t>
            </w:r>
          </w:p>
        </w:tc>
        <w:tc>
          <w:tcPr>
            <w:tcW w:w="3261" w:type="dxa"/>
            <w:vAlign w:val="center"/>
          </w:tcPr>
          <w:p w:rsidR="00816D73" w:rsidRPr="00215402" w:rsidRDefault="00215402" w:rsidP="00816D73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  <w:lang w:val="fi"/>
              </w:rPr>
              <w:t>31 kg</w:t>
            </w:r>
          </w:p>
        </w:tc>
      </w:tr>
    </w:tbl>
    <w:p w:rsidR="0020082B" w:rsidRPr="00AB4607" w:rsidRDefault="0020082B" w:rsidP="0020082B">
      <w:pPr>
        <w:rPr>
          <w:sz w:val="24"/>
          <w:szCs w:val="24"/>
        </w:rPr>
      </w:pPr>
    </w:p>
    <w:p w:rsidR="00622DAB" w:rsidRPr="00AB4607" w:rsidRDefault="00622DAB" w:rsidP="0020082B">
      <w:pPr>
        <w:rPr>
          <w:b/>
          <w:sz w:val="24"/>
          <w:szCs w:val="24"/>
        </w:rPr>
      </w:pPr>
    </w:p>
    <w:p w:rsidR="0020082B" w:rsidRPr="00AB4607" w:rsidRDefault="0020082B" w:rsidP="0020082B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fi"/>
        </w:rPr>
        <w:t>Jos haluat lisätietoja, ota yhteyttä:</w:t>
      </w:r>
    </w:p>
    <w:p w:rsidR="006C71C2" w:rsidRDefault="005E49D0" w:rsidP="006C71C2">
      <w:pPr>
        <w:spacing w:after="120"/>
        <w:rPr>
          <w:sz w:val="24"/>
          <w:szCs w:val="24"/>
        </w:rPr>
      </w:pPr>
      <w:r>
        <w:rPr>
          <w:sz w:val="24"/>
          <w:szCs w:val="24"/>
          <w:lang w:val="fi"/>
        </w:rPr>
        <w:t>Mats Gustafs</w:t>
      </w:r>
      <w:r w:rsidR="003B5C3D">
        <w:rPr>
          <w:sz w:val="24"/>
          <w:szCs w:val="24"/>
          <w:lang w:val="fi"/>
        </w:rPr>
        <w:t xml:space="preserve">son, </w:t>
      </w:r>
      <w:proofErr w:type="spellStart"/>
      <w:r w:rsidR="003B5C3D">
        <w:rPr>
          <w:sz w:val="24"/>
          <w:szCs w:val="24"/>
          <w:lang w:val="fi"/>
        </w:rPr>
        <w:t>produktchef</w:t>
      </w:r>
      <w:proofErr w:type="spellEnd"/>
      <w:r w:rsidR="003B5C3D">
        <w:rPr>
          <w:sz w:val="24"/>
          <w:szCs w:val="24"/>
          <w:lang w:val="fi"/>
        </w:rPr>
        <w:t xml:space="preserve"> STIHL Norden, +46 </w:t>
      </w:r>
      <w:bookmarkStart w:id="0" w:name="_GoBack"/>
      <w:bookmarkEnd w:id="0"/>
      <w:r>
        <w:rPr>
          <w:sz w:val="24"/>
          <w:szCs w:val="24"/>
          <w:lang w:val="fi"/>
        </w:rPr>
        <w:t xml:space="preserve">302-248 00, </w:t>
      </w:r>
      <w:hyperlink r:id="rId7" w:history="1">
        <w:r>
          <w:rPr>
            <w:rStyle w:val="Hyperlnk"/>
            <w:sz w:val="24"/>
            <w:szCs w:val="24"/>
            <w:lang w:val="fi"/>
          </w:rPr>
          <w:t>mats.gustafsson@stihl.se</w:t>
        </w:r>
      </w:hyperlink>
      <w:r>
        <w:rPr>
          <w:sz w:val="24"/>
          <w:szCs w:val="24"/>
          <w:lang w:val="fi"/>
        </w:rPr>
        <w:t xml:space="preserve">  </w:t>
      </w:r>
      <w:r>
        <w:rPr>
          <w:sz w:val="24"/>
          <w:szCs w:val="24"/>
          <w:lang w:val="fi"/>
        </w:rPr>
        <w:br/>
      </w:r>
      <w:r w:rsidR="006C71C2">
        <w:rPr>
          <w:sz w:val="24"/>
          <w:szCs w:val="24"/>
        </w:rPr>
        <w:t xml:space="preserve">Mari Kilpiö, </w:t>
      </w:r>
      <w:proofErr w:type="spellStart"/>
      <w:r w:rsidR="006C71C2">
        <w:rPr>
          <w:sz w:val="24"/>
          <w:szCs w:val="24"/>
        </w:rPr>
        <w:t>lehdistökontakti</w:t>
      </w:r>
      <w:proofErr w:type="spellEnd"/>
      <w:r w:rsidR="006C71C2">
        <w:rPr>
          <w:sz w:val="24"/>
          <w:szCs w:val="24"/>
        </w:rPr>
        <w:t xml:space="preserve"> STIHL </w:t>
      </w:r>
      <w:proofErr w:type="spellStart"/>
      <w:r w:rsidR="006C71C2">
        <w:rPr>
          <w:sz w:val="24"/>
          <w:szCs w:val="24"/>
        </w:rPr>
        <w:t>Finland</w:t>
      </w:r>
      <w:proofErr w:type="spellEnd"/>
      <w:r w:rsidR="006C71C2">
        <w:rPr>
          <w:sz w:val="24"/>
          <w:szCs w:val="24"/>
        </w:rPr>
        <w:t xml:space="preserve">, 09 7596 9304, </w:t>
      </w:r>
      <w:hyperlink r:id="rId8" w:history="1">
        <w:r w:rsidR="006C71C2">
          <w:rPr>
            <w:rStyle w:val="Hyperlnk"/>
            <w:sz w:val="24"/>
            <w:szCs w:val="24"/>
          </w:rPr>
          <w:t>mari.kilpio@stihl.fi</w:t>
        </w:r>
      </w:hyperlink>
      <w:r w:rsidR="006C71C2">
        <w:rPr>
          <w:sz w:val="24"/>
          <w:szCs w:val="24"/>
        </w:rPr>
        <w:t xml:space="preserve"> </w:t>
      </w:r>
    </w:p>
    <w:p w:rsidR="006C71C2" w:rsidRDefault="006C71C2" w:rsidP="006C71C2">
      <w:pPr>
        <w:rPr>
          <w:b/>
          <w:sz w:val="24"/>
          <w:szCs w:val="24"/>
        </w:rPr>
      </w:pPr>
      <w:r>
        <w:rPr>
          <w:b/>
          <w:bCs/>
          <w:sz w:val="24"/>
          <w:szCs w:val="24"/>
          <w:lang w:val="fi-FI"/>
        </w:rPr>
        <w:t>STIHL yrityksenä</w:t>
      </w:r>
    </w:p>
    <w:p w:rsidR="006C71C2" w:rsidRDefault="006C71C2" w:rsidP="006C71C2">
      <w:pPr>
        <w:rPr>
          <w:sz w:val="24"/>
          <w:szCs w:val="24"/>
        </w:rPr>
      </w:pPr>
      <w:r>
        <w:rPr>
          <w:sz w:val="24"/>
          <w:szCs w:val="24"/>
          <w:lang w:val="fi-FI"/>
        </w:rPr>
        <w:t xml:space="preserve">STIHL kehittää ja valmistaa työkaluja puutarhaan, metsätalouteen ja maisemointiin. Tuotteita myydään vain valtuutettujen </w:t>
      </w:r>
      <w:proofErr w:type="spellStart"/>
      <w:r>
        <w:rPr>
          <w:sz w:val="24"/>
          <w:szCs w:val="24"/>
          <w:lang w:val="fi-FI"/>
        </w:rPr>
        <w:t>jälleenmyyjien</w:t>
      </w:r>
      <w:proofErr w:type="spellEnd"/>
      <w:r>
        <w:rPr>
          <w:sz w:val="24"/>
          <w:szCs w:val="24"/>
          <w:lang w:val="fi-FI"/>
        </w:rPr>
        <w:t xml:space="preserve"> kautta yli 1000 erikoisliikkeessä pohjoismaissa. Suomen pääkonttori sijaitsee Vantaalla. Vuonna 2019 konsernin liikevaihto oli 3,93 miljardia euroa. Konsernilla on lähes 17 000 työntekijää noin 160 maassa. Lue lisää </w:t>
      </w:r>
      <w:hyperlink r:id="rId9" w:history="1">
        <w:r>
          <w:rPr>
            <w:rStyle w:val="Hyperlnk"/>
            <w:sz w:val="24"/>
            <w:szCs w:val="24"/>
            <w:lang w:val="fi-FI"/>
          </w:rPr>
          <w:t>www.stihl.fi</w:t>
        </w:r>
      </w:hyperlink>
      <w:r>
        <w:rPr>
          <w:sz w:val="24"/>
          <w:szCs w:val="24"/>
          <w:lang w:val="fi-FI"/>
        </w:rPr>
        <w:t xml:space="preserve">.  </w:t>
      </w:r>
    </w:p>
    <w:p w:rsidR="0020082B" w:rsidRPr="00AB4607" w:rsidRDefault="0020082B" w:rsidP="006C71C2">
      <w:pPr>
        <w:spacing w:after="120"/>
        <w:rPr>
          <w:sz w:val="24"/>
          <w:szCs w:val="24"/>
        </w:rPr>
      </w:pPr>
    </w:p>
    <w:p w:rsidR="00F84D21" w:rsidRPr="00AB4607" w:rsidRDefault="00F84D21">
      <w:pPr>
        <w:rPr>
          <w:sz w:val="24"/>
          <w:szCs w:val="24"/>
        </w:rPr>
      </w:pPr>
    </w:p>
    <w:sectPr w:rsidR="00F84D21" w:rsidRPr="00AB4607" w:rsidSect="00626467">
      <w:headerReference w:type="default" r:id="rId10"/>
      <w:pgSz w:w="11906" w:h="16838"/>
      <w:pgMar w:top="1418" w:right="1418" w:bottom="1134" w:left="1418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85" w:rsidRDefault="00AC6D85" w:rsidP="00626467">
      <w:r>
        <w:separator/>
      </w:r>
    </w:p>
  </w:endnote>
  <w:endnote w:type="continuationSeparator" w:id="0">
    <w:p w:rsidR="00AC6D85" w:rsidRDefault="00AC6D85" w:rsidP="006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85" w:rsidRDefault="00AC6D85" w:rsidP="00626467">
      <w:r>
        <w:separator/>
      </w:r>
    </w:p>
  </w:footnote>
  <w:footnote w:type="continuationSeparator" w:id="0">
    <w:p w:rsidR="00AC6D85" w:rsidRDefault="00AC6D85" w:rsidP="006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67" w:rsidRDefault="00626467" w:rsidP="00626467">
    <w:pPr>
      <w:pStyle w:val="Sidhuvud"/>
      <w:tabs>
        <w:tab w:val="left" w:pos="7920"/>
      </w:tabs>
    </w:pPr>
    <w:r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4848860</wp:posOffset>
          </wp:positionH>
          <wp:positionV relativeFrom="paragraph">
            <wp:posOffset>-122555</wp:posOffset>
          </wp:positionV>
          <wp:extent cx="1512000" cy="31418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-STIHL_LOGOTYPE-IC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1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fi"/>
      </w:rPr>
      <w:tab/>
    </w:r>
    <w:r>
      <w:rPr>
        <w:lang w:val="fi"/>
      </w:rPr>
      <w:tab/>
    </w:r>
    <w:r>
      <w:rPr>
        <w:lang w:val="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65769"/>
    <w:multiLevelType w:val="hybridMultilevel"/>
    <w:tmpl w:val="8F6CB1D0"/>
    <w:lvl w:ilvl="0" w:tplc="9AB0C9CE">
      <w:start w:val="4"/>
      <w:numFmt w:val="bullet"/>
      <w:lvlText w:val="–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B5D87"/>
    <w:multiLevelType w:val="hybridMultilevel"/>
    <w:tmpl w:val="6C080024"/>
    <w:lvl w:ilvl="0" w:tplc="3B7EC25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560B3"/>
    <w:multiLevelType w:val="hybridMultilevel"/>
    <w:tmpl w:val="A126C7EC"/>
    <w:lvl w:ilvl="0" w:tplc="9A20623A">
      <w:numFmt w:val="bullet"/>
      <w:lvlText w:val="-"/>
      <w:lvlJc w:val="left"/>
      <w:pPr>
        <w:ind w:left="720" w:hanging="360"/>
      </w:pPr>
      <w:rPr>
        <w:rFonts w:ascii="STIHL Contraface Text" w:eastAsia="Times New Roman" w:hAnsi="STIHL Contraface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67"/>
    <w:rsid w:val="00001020"/>
    <w:rsid w:val="00033406"/>
    <w:rsid w:val="0006658A"/>
    <w:rsid w:val="00095301"/>
    <w:rsid w:val="00095F28"/>
    <w:rsid w:val="000963E5"/>
    <w:rsid w:val="000A5CFE"/>
    <w:rsid w:val="000B5E5A"/>
    <w:rsid w:val="000C483B"/>
    <w:rsid w:val="000D01C6"/>
    <w:rsid w:val="0010325F"/>
    <w:rsid w:val="00134429"/>
    <w:rsid w:val="001454B8"/>
    <w:rsid w:val="00170034"/>
    <w:rsid w:val="00177AAB"/>
    <w:rsid w:val="00185BC1"/>
    <w:rsid w:val="001963A4"/>
    <w:rsid w:val="001B7633"/>
    <w:rsid w:val="001E3A60"/>
    <w:rsid w:val="001F41EB"/>
    <w:rsid w:val="0020082B"/>
    <w:rsid w:val="00202DB3"/>
    <w:rsid w:val="00210133"/>
    <w:rsid w:val="00215402"/>
    <w:rsid w:val="002159EB"/>
    <w:rsid w:val="00227F9A"/>
    <w:rsid w:val="00247326"/>
    <w:rsid w:val="002844CB"/>
    <w:rsid w:val="002A0E92"/>
    <w:rsid w:val="002A743F"/>
    <w:rsid w:val="002C5330"/>
    <w:rsid w:val="00301EBA"/>
    <w:rsid w:val="00302394"/>
    <w:rsid w:val="00304D25"/>
    <w:rsid w:val="003059C8"/>
    <w:rsid w:val="003071B4"/>
    <w:rsid w:val="00313CB7"/>
    <w:rsid w:val="00350EC2"/>
    <w:rsid w:val="003532DE"/>
    <w:rsid w:val="00380CFA"/>
    <w:rsid w:val="00387C7E"/>
    <w:rsid w:val="00391153"/>
    <w:rsid w:val="003B5C3D"/>
    <w:rsid w:val="003B7B42"/>
    <w:rsid w:val="003C33C6"/>
    <w:rsid w:val="00401FEF"/>
    <w:rsid w:val="00402D1D"/>
    <w:rsid w:val="00417427"/>
    <w:rsid w:val="00432269"/>
    <w:rsid w:val="00432B9B"/>
    <w:rsid w:val="00441909"/>
    <w:rsid w:val="00444B57"/>
    <w:rsid w:val="00457C4E"/>
    <w:rsid w:val="004B39C8"/>
    <w:rsid w:val="004B3B0F"/>
    <w:rsid w:val="004C16E7"/>
    <w:rsid w:val="004D5FE8"/>
    <w:rsid w:val="004F212E"/>
    <w:rsid w:val="0050186E"/>
    <w:rsid w:val="00502B5C"/>
    <w:rsid w:val="005055B2"/>
    <w:rsid w:val="0051585F"/>
    <w:rsid w:val="00520B3E"/>
    <w:rsid w:val="00580217"/>
    <w:rsid w:val="005E49D0"/>
    <w:rsid w:val="005F3990"/>
    <w:rsid w:val="0060082E"/>
    <w:rsid w:val="00622DAB"/>
    <w:rsid w:val="00626467"/>
    <w:rsid w:val="00627C4E"/>
    <w:rsid w:val="006479D7"/>
    <w:rsid w:val="0065603A"/>
    <w:rsid w:val="00661A8F"/>
    <w:rsid w:val="006727DC"/>
    <w:rsid w:val="00672D49"/>
    <w:rsid w:val="00687E44"/>
    <w:rsid w:val="006C5618"/>
    <w:rsid w:val="006C71C2"/>
    <w:rsid w:val="006E0B9E"/>
    <w:rsid w:val="006E214B"/>
    <w:rsid w:val="006E476D"/>
    <w:rsid w:val="00704A9B"/>
    <w:rsid w:val="007267E3"/>
    <w:rsid w:val="007355D3"/>
    <w:rsid w:val="007409D3"/>
    <w:rsid w:val="00745740"/>
    <w:rsid w:val="00761006"/>
    <w:rsid w:val="007874B9"/>
    <w:rsid w:val="0079599F"/>
    <w:rsid w:val="0079615D"/>
    <w:rsid w:val="007A20E7"/>
    <w:rsid w:val="007A5FA2"/>
    <w:rsid w:val="007B4DFB"/>
    <w:rsid w:val="007B74BD"/>
    <w:rsid w:val="007C0C8F"/>
    <w:rsid w:val="007C41F7"/>
    <w:rsid w:val="007C47F6"/>
    <w:rsid w:val="007E1D3C"/>
    <w:rsid w:val="007E39D8"/>
    <w:rsid w:val="00816D73"/>
    <w:rsid w:val="00827A9A"/>
    <w:rsid w:val="00834996"/>
    <w:rsid w:val="00835A5D"/>
    <w:rsid w:val="00837F1D"/>
    <w:rsid w:val="00847F42"/>
    <w:rsid w:val="00887479"/>
    <w:rsid w:val="008978CD"/>
    <w:rsid w:val="00897D37"/>
    <w:rsid w:val="008A3124"/>
    <w:rsid w:val="008A36DC"/>
    <w:rsid w:val="008B4CA6"/>
    <w:rsid w:val="008C1DD1"/>
    <w:rsid w:val="008C6885"/>
    <w:rsid w:val="009019A6"/>
    <w:rsid w:val="00925365"/>
    <w:rsid w:val="00927474"/>
    <w:rsid w:val="00930CC8"/>
    <w:rsid w:val="00952D0D"/>
    <w:rsid w:val="009557DD"/>
    <w:rsid w:val="00983C34"/>
    <w:rsid w:val="00986184"/>
    <w:rsid w:val="009A424F"/>
    <w:rsid w:val="009A5515"/>
    <w:rsid w:val="009A75EF"/>
    <w:rsid w:val="009B60BA"/>
    <w:rsid w:val="009C2AD2"/>
    <w:rsid w:val="009F00EA"/>
    <w:rsid w:val="009F6DE2"/>
    <w:rsid w:val="009F722E"/>
    <w:rsid w:val="00A109AA"/>
    <w:rsid w:val="00A12190"/>
    <w:rsid w:val="00A155E8"/>
    <w:rsid w:val="00A43925"/>
    <w:rsid w:val="00A606AE"/>
    <w:rsid w:val="00A67077"/>
    <w:rsid w:val="00A91056"/>
    <w:rsid w:val="00AB4607"/>
    <w:rsid w:val="00AB7312"/>
    <w:rsid w:val="00AC6D85"/>
    <w:rsid w:val="00AD00BF"/>
    <w:rsid w:val="00AE5E93"/>
    <w:rsid w:val="00B07383"/>
    <w:rsid w:val="00B23F7C"/>
    <w:rsid w:val="00B4628A"/>
    <w:rsid w:val="00B5231A"/>
    <w:rsid w:val="00B71CC2"/>
    <w:rsid w:val="00B768AC"/>
    <w:rsid w:val="00B83BFD"/>
    <w:rsid w:val="00BB0778"/>
    <w:rsid w:val="00BC5C50"/>
    <w:rsid w:val="00C16A56"/>
    <w:rsid w:val="00C36E22"/>
    <w:rsid w:val="00C507BF"/>
    <w:rsid w:val="00C86A1A"/>
    <w:rsid w:val="00CA10EA"/>
    <w:rsid w:val="00CA2066"/>
    <w:rsid w:val="00CF062A"/>
    <w:rsid w:val="00D040B1"/>
    <w:rsid w:val="00D22C4C"/>
    <w:rsid w:val="00D631EF"/>
    <w:rsid w:val="00DA0F15"/>
    <w:rsid w:val="00DA43EB"/>
    <w:rsid w:val="00DC7B90"/>
    <w:rsid w:val="00E00E5E"/>
    <w:rsid w:val="00E050AF"/>
    <w:rsid w:val="00E43EA7"/>
    <w:rsid w:val="00E46D03"/>
    <w:rsid w:val="00E53E7A"/>
    <w:rsid w:val="00E75961"/>
    <w:rsid w:val="00E77C3E"/>
    <w:rsid w:val="00E95902"/>
    <w:rsid w:val="00EA329A"/>
    <w:rsid w:val="00F07960"/>
    <w:rsid w:val="00F12ED3"/>
    <w:rsid w:val="00F30DDA"/>
    <w:rsid w:val="00F5071E"/>
    <w:rsid w:val="00F62A55"/>
    <w:rsid w:val="00F74A3D"/>
    <w:rsid w:val="00F81523"/>
    <w:rsid w:val="00F84D21"/>
    <w:rsid w:val="00FB7187"/>
    <w:rsid w:val="00FC4E16"/>
    <w:rsid w:val="00FD2106"/>
    <w:rsid w:val="00FE490B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4494F"/>
  <w15:chartTrackingRefBased/>
  <w15:docId w15:val="{997C7F27-8F07-4DD6-B97B-1DCA6512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qFormat/>
    <w:rsid w:val="007A5FA2"/>
    <w:rPr>
      <w:rFonts w:asciiTheme="minorHAnsi" w:hAnsiTheme="minorHAnsi"/>
      <w:b/>
      <w:bCs/>
    </w:rPr>
  </w:style>
  <w:style w:type="character" w:styleId="Betoning">
    <w:name w:val="Emphasis"/>
    <w:basedOn w:val="Standardstycketeckensnitt"/>
    <w:qFormat/>
    <w:rsid w:val="007A5FA2"/>
    <w:rPr>
      <w:rFonts w:asciiTheme="minorHAnsi" w:hAnsiTheme="minorHAnsi"/>
      <w:i/>
      <w:iCs/>
    </w:rPr>
  </w:style>
  <w:style w:type="paragraph" w:styleId="Rubrik">
    <w:name w:val="Title"/>
    <w:basedOn w:val="Normal"/>
    <w:next w:val="Normal"/>
    <w:link w:val="RubrikChar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Underrubrik">
    <w:name w:val="Subtitle"/>
    <w:basedOn w:val="Normal"/>
    <w:next w:val="Normal"/>
    <w:link w:val="UnderrubrikChar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Diskretreferens">
    <w:name w:val="Subtle Reference"/>
    <w:basedOn w:val="Standardstycketeckensnit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A9B"/>
  </w:style>
  <w:style w:type="character" w:customStyle="1" w:styleId="StarktcitatChar">
    <w:name w:val="Starkt citat Char"/>
    <w:basedOn w:val="Standardstycketeckensnitt"/>
    <w:link w:val="Starktcitat"/>
    <w:uiPriority w:val="30"/>
    <w:rsid w:val="00704A9B"/>
    <w:rPr>
      <w:rFonts w:ascii="Arial" w:hAnsi="Arial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04A9B"/>
    <w:pPr>
      <w:outlineLvl w:val="9"/>
    </w:pPr>
  </w:style>
  <w:style w:type="paragraph" w:styleId="Dokumentversikt">
    <w:name w:val="Document Map"/>
    <w:basedOn w:val="Normal"/>
    <w:link w:val="DokumentversiktChar"/>
    <w:rsid w:val="00704A9B"/>
    <w:rPr>
      <w:rFonts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704A9B"/>
    <w:rPr>
      <w:rFonts w:ascii="Arial" w:hAnsi="Arial" w:cs="Tahoma"/>
      <w:sz w:val="16"/>
      <w:szCs w:val="16"/>
    </w:rPr>
  </w:style>
  <w:style w:type="paragraph" w:styleId="Index1">
    <w:name w:val="index 1"/>
    <w:basedOn w:val="Normal"/>
    <w:next w:val="Normal"/>
    <w:autoRedefine/>
    <w:rsid w:val="00704A9B"/>
    <w:pPr>
      <w:ind w:left="220" w:hanging="220"/>
    </w:pPr>
  </w:style>
  <w:style w:type="paragraph" w:styleId="Indexrubrik">
    <w:name w:val="index heading"/>
    <w:basedOn w:val="Normal"/>
    <w:next w:val="Index1"/>
    <w:rsid w:val="00704A9B"/>
    <w:rPr>
      <w:rFonts w:eastAsiaTheme="majorEastAsia" w:cstheme="majorBidi"/>
      <w:b/>
      <w:bCs/>
    </w:rPr>
  </w:style>
  <w:style w:type="character" w:customStyle="1" w:styleId="Rubrik2Char">
    <w:name w:val="Rubrik 2 Char"/>
    <w:basedOn w:val="Standardstycketeckensnitt"/>
    <w:link w:val="Rubrik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Rubrik5Char">
    <w:name w:val="Rubrik 5 Char"/>
    <w:basedOn w:val="Standardstycketeckensnitt"/>
    <w:link w:val="Rubrik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Avsndaradress-brev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Adress-brev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idhuvud">
    <w:name w:val="header"/>
    <w:basedOn w:val="Normal"/>
    <w:link w:val="SidhuvudChar"/>
    <w:unhideWhenUsed/>
    <w:rsid w:val="0062646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26467"/>
    <w:rPr>
      <w:rFonts w:asciiTheme="minorHAnsi" w:hAnsiTheme="minorHAnsi"/>
      <w:sz w:val="22"/>
      <w:szCs w:val="22"/>
    </w:rPr>
  </w:style>
  <w:style w:type="paragraph" w:styleId="Sidfot">
    <w:name w:val="footer"/>
    <w:basedOn w:val="Normal"/>
    <w:link w:val="SidfotChar"/>
    <w:unhideWhenUsed/>
    <w:rsid w:val="006264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26467"/>
    <w:rPr>
      <w:rFonts w:asciiTheme="minorHAnsi" w:hAnsiTheme="minorHAnsi"/>
      <w:sz w:val="22"/>
      <w:szCs w:val="22"/>
    </w:rPr>
  </w:style>
  <w:style w:type="paragraph" w:styleId="Liststycke">
    <w:name w:val="List Paragraph"/>
    <w:basedOn w:val="Normal"/>
    <w:uiPriority w:val="34"/>
    <w:qFormat/>
    <w:rsid w:val="0020082B"/>
    <w:pPr>
      <w:ind w:left="720"/>
      <w:contextualSpacing/>
    </w:pPr>
  </w:style>
  <w:style w:type="character" w:styleId="Hyperlnk">
    <w:name w:val="Hyperlink"/>
    <w:basedOn w:val="Standardstycketeckensnitt"/>
    <w:unhideWhenUsed/>
    <w:rsid w:val="0020082B"/>
    <w:rPr>
      <w:color w:val="D43B3B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D01C6"/>
    <w:rPr>
      <w:color w:val="605E5C"/>
      <w:shd w:val="clear" w:color="auto" w:fill="E1DFDD"/>
    </w:rPr>
  </w:style>
  <w:style w:type="table" w:styleId="Tabellrutnt">
    <w:name w:val="Table Grid"/>
    <w:basedOn w:val="Normaltabell"/>
    <w:rsid w:val="006E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402D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402D1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E49D0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C0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C0C8F"/>
    <w:rPr>
      <w:rFonts w:ascii="Courier New" w:hAnsi="Courier New" w:cs="Courier New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.kilpio@stihl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s.gustafsson@stih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h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472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Andreas Stihl AG &amp; Co. KG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SC/MAS-bi Birgersson, Emma</dc:creator>
  <cp:keywords/>
  <dc:description/>
  <cp:lastModifiedBy>SC/MAS-bi Birgersson, Emma</cp:lastModifiedBy>
  <cp:revision>97</cp:revision>
  <cp:lastPrinted>2020-07-31T09:44:00Z</cp:lastPrinted>
  <dcterms:created xsi:type="dcterms:W3CDTF">2020-06-23T12:00:00Z</dcterms:created>
  <dcterms:modified xsi:type="dcterms:W3CDTF">2020-07-31T09:45:00Z</dcterms:modified>
</cp:coreProperties>
</file>