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1421C796"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 xml:space="preserve">Pressmeddelande </w:t>
      </w:r>
      <w:r w:rsidR="00887562">
        <w:rPr>
          <w:rFonts w:ascii="Akzidenz Grotesk BE Bold" w:hAnsi="Akzidenz Grotesk BE Bold"/>
          <w:color w:val="808080" w:themeColor="background1" w:themeShade="80"/>
          <w:sz w:val="24"/>
          <w:szCs w:val="24"/>
        </w:rPr>
        <w:t>2019</w:t>
      </w:r>
      <w:r w:rsidR="00E94F47">
        <w:rPr>
          <w:rFonts w:ascii="Akzidenz Grotesk BE Bold" w:hAnsi="Akzidenz Grotesk BE Bold"/>
          <w:color w:val="808080" w:themeColor="background1" w:themeShade="80"/>
          <w:sz w:val="24"/>
          <w:szCs w:val="24"/>
        </w:rPr>
        <w:t>-</w:t>
      </w:r>
      <w:r w:rsidR="007A28FD">
        <w:rPr>
          <w:rFonts w:ascii="Akzidenz Grotesk BE Bold" w:hAnsi="Akzidenz Grotesk BE Bold"/>
          <w:color w:val="808080" w:themeColor="background1" w:themeShade="80"/>
          <w:sz w:val="24"/>
          <w:szCs w:val="24"/>
        </w:rPr>
        <w:t>05-07</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23C322D1" w14:textId="77777777" w:rsidR="00D27DD9" w:rsidRPr="00D27DD9" w:rsidRDefault="00D27DD9" w:rsidP="00D27DD9">
      <w:pPr>
        <w:pStyle w:val="Rubrik1"/>
        <w:rPr>
          <w:rFonts w:ascii="Calibri" w:hAnsi="Calibri" w:cs="Calibri"/>
          <w:sz w:val="28"/>
          <w:szCs w:val="28"/>
        </w:rPr>
      </w:pPr>
      <w:r w:rsidRPr="00D27DD9">
        <w:rPr>
          <w:rFonts w:ascii="Calibri" w:hAnsi="Calibri" w:cs="Calibri"/>
          <w:sz w:val="28"/>
          <w:szCs w:val="28"/>
        </w:rPr>
        <w:t xml:space="preserve">Hyresgästföreningen kritiserar konceptrenoveringar </w:t>
      </w:r>
    </w:p>
    <w:p w14:paraId="67BB067F" w14:textId="549B2B6D" w:rsidR="00D27DD9" w:rsidRPr="00D27DD9" w:rsidRDefault="00D27DD9" w:rsidP="00D27DD9">
      <w:pPr>
        <w:rPr>
          <w:rFonts w:ascii="Calibri" w:hAnsi="Calibri" w:cs="Calibri"/>
          <w:b/>
        </w:rPr>
      </w:pPr>
      <w:r w:rsidRPr="00D27DD9">
        <w:rPr>
          <w:rFonts w:ascii="Calibri" w:hAnsi="Calibri" w:cs="Calibri"/>
          <w:b/>
        </w:rPr>
        <w:t>Privata aktörer utnyttjar marknadsläget genom att köpa upp äldre hyreshus med renoveringsbehov och genomföra ytskiktsrenoveringar när hyresgäster flyttar, enligt en ny rapport från Hyresgästföreningen. Renoveringsformen kallas för ”konceptrenoveringar” och har anammats av ett antal privata hyresvärdar, även i Luleå.</w:t>
      </w:r>
    </w:p>
    <w:p w14:paraId="0CF535AB" w14:textId="77777777" w:rsidR="00D27DD9" w:rsidRPr="00D27DD9" w:rsidRDefault="00D27DD9" w:rsidP="00D27DD9">
      <w:pPr>
        <w:rPr>
          <w:rFonts w:ascii="Calibri" w:hAnsi="Calibri" w:cs="Calibri"/>
        </w:rPr>
      </w:pPr>
    </w:p>
    <w:p w14:paraId="36189A71" w14:textId="129E945E" w:rsidR="00D27DD9" w:rsidRPr="00D27DD9" w:rsidRDefault="00D27DD9" w:rsidP="00D27DD9">
      <w:pPr>
        <w:rPr>
          <w:rFonts w:ascii="Calibri" w:hAnsi="Calibri" w:cs="Calibri"/>
        </w:rPr>
      </w:pPr>
      <w:r w:rsidRPr="00D27DD9">
        <w:rPr>
          <w:rFonts w:ascii="Calibri" w:hAnsi="Calibri" w:cs="Calibri"/>
        </w:rPr>
        <w:t xml:space="preserve">– </w:t>
      </w:r>
      <w:r w:rsidR="008815B7">
        <w:rPr>
          <w:rFonts w:ascii="Calibri" w:hAnsi="Calibri" w:cs="Calibri"/>
        </w:rPr>
        <w:t xml:space="preserve">Syftet med konceptrenovering är att kunna ta ut en högre hyra för en höjd standard när nästa hyresgäst flyttar in. Marknadsvärdet på fastigheten stiger, men underhållet sjunker och ingenting görs </w:t>
      </w:r>
      <w:r w:rsidRPr="00D27DD9">
        <w:rPr>
          <w:rFonts w:ascii="Calibri" w:hAnsi="Calibri" w:cs="Calibri"/>
        </w:rPr>
        <w:t xml:space="preserve">åt det egentliga upprustningsbehovet. För hyresgästerna innebär detta nya </w:t>
      </w:r>
      <w:r w:rsidR="008815B7">
        <w:rPr>
          <w:rFonts w:ascii="Calibri" w:hAnsi="Calibri" w:cs="Calibri"/>
        </w:rPr>
        <w:t>ytskikt men gamla stammar och det finns inga</w:t>
      </w:r>
      <w:r w:rsidRPr="00D27DD9">
        <w:rPr>
          <w:rFonts w:ascii="Calibri" w:hAnsi="Calibri" w:cs="Calibri"/>
        </w:rPr>
        <w:t xml:space="preserve"> pengar kvar när de riktigt stora renoveringarna behöver göras, säger </w:t>
      </w:r>
      <w:r w:rsidR="008815B7">
        <w:rPr>
          <w:rFonts w:ascii="Calibri" w:hAnsi="Calibri" w:cs="Calibri"/>
        </w:rPr>
        <w:t xml:space="preserve">Sören Lejon, </w:t>
      </w:r>
      <w:r w:rsidRPr="00D27DD9">
        <w:rPr>
          <w:rFonts w:ascii="Calibri" w:hAnsi="Calibri" w:cs="Calibri"/>
        </w:rPr>
        <w:t>ordförande för Hyresgästföreningen</w:t>
      </w:r>
      <w:r w:rsidR="008815B7">
        <w:rPr>
          <w:rFonts w:ascii="Calibri" w:hAnsi="Calibri" w:cs="Calibri"/>
        </w:rPr>
        <w:t xml:space="preserve"> Luleå</w:t>
      </w:r>
      <w:r w:rsidRPr="00D27DD9">
        <w:rPr>
          <w:rFonts w:ascii="Calibri" w:hAnsi="Calibri" w:cs="Calibri"/>
        </w:rPr>
        <w:t xml:space="preserve">. </w:t>
      </w:r>
    </w:p>
    <w:p w14:paraId="68E9B92A" w14:textId="77777777" w:rsidR="00D27DD9" w:rsidRPr="00D27DD9" w:rsidRDefault="00D27DD9" w:rsidP="00D27DD9">
      <w:pPr>
        <w:rPr>
          <w:rFonts w:ascii="Calibri" w:hAnsi="Calibri" w:cs="Calibri"/>
        </w:rPr>
      </w:pPr>
    </w:p>
    <w:p w14:paraId="0A434299" w14:textId="77777777" w:rsidR="008815B7" w:rsidRDefault="00D27DD9" w:rsidP="00D27DD9">
      <w:pPr>
        <w:rPr>
          <w:rFonts w:ascii="Calibri" w:hAnsi="Calibri" w:cs="Calibri"/>
        </w:rPr>
      </w:pPr>
      <w:bookmarkStart w:id="0" w:name="_Hlk8045563"/>
      <w:r w:rsidRPr="00D27DD9">
        <w:rPr>
          <w:rFonts w:ascii="Calibri" w:hAnsi="Calibri" w:cs="Calibri"/>
        </w:rPr>
        <w:t>Företagen får goda resultat trots eftersatt underhåll</w:t>
      </w:r>
      <w:r w:rsidR="008815B7">
        <w:rPr>
          <w:rFonts w:ascii="Calibri" w:hAnsi="Calibri" w:cs="Calibri"/>
        </w:rPr>
        <w:t xml:space="preserve">. Rapporten </w:t>
      </w:r>
      <w:r w:rsidRPr="00D27DD9">
        <w:rPr>
          <w:rFonts w:ascii="Calibri" w:hAnsi="Calibri" w:cs="Calibri"/>
        </w:rPr>
        <w:t xml:space="preserve">visar att kostnaden för underhåll i de konceptrenoverande företagen halveras vid ett förvärv, jämfört med snittet för kommunalt ägda bostadsbolag. Därefter sjunker kostnaderna för underhåll ytterligare. </w:t>
      </w:r>
    </w:p>
    <w:p w14:paraId="36C290DD" w14:textId="77777777" w:rsidR="008815B7" w:rsidRDefault="008815B7" w:rsidP="00D27DD9">
      <w:pPr>
        <w:rPr>
          <w:rFonts w:ascii="Calibri" w:hAnsi="Calibri" w:cs="Calibri"/>
        </w:rPr>
      </w:pPr>
    </w:p>
    <w:p w14:paraId="57F75A54" w14:textId="77777777" w:rsidR="008815B7" w:rsidRDefault="00D27DD9" w:rsidP="00D27DD9">
      <w:pPr>
        <w:rPr>
          <w:rFonts w:ascii="Calibri" w:hAnsi="Calibri" w:cs="Calibri"/>
        </w:rPr>
      </w:pPr>
      <w:r w:rsidRPr="00D27DD9">
        <w:rPr>
          <w:rFonts w:ascii="Calibri" w:hAnsi="Calibri" w:cs="Calibri"/>
        </w:rPr>
        <w:t xml:space="preserve">Samtidigt går det bra för bolagen och de ekonomiska resultaten ökar. </w:t>
      </w:r>
      <w:bookmarkEnd w:id="0"/>
      <w:r w:rsidR="008815B7">
        <w:rPr>
          <w:rFonts w:ascii="Calibri" w:hAnsi="Calibri" w:cs="Calibri"/>
        </w:rPr>
        <w:t>M</w:t>
      </w:r>
      <w:r w:rsidRPr="008815B7">
        <w:rPr>
          <w:rFonts w:ascii="Calibri" w:hAnsi="Calibri" w:cs="Calibri"/>
        </w:rPr>
        <w:t>arknadsvärdena i de utvalda bolagen har stigit med anmärkningsvärda b</w:t>
      </w:r>
      <w:r w:rsidR="008815B7" w:rsidRPr="008815B7">
        <w:rPr>
          <w:rFonts w:ascii="Calibri" w:hAnsi="Calibri" w:cs="Calibri"/>
        </w:rPr>
        <w:t xml:space="preserve">elopp, </w:t>
      </w:r>
      <w:r w:rsidRPr="008815B7">
        <w:rPr>
          <w:rFonts w:ascii="Calibri" w:hAnsi="Calibri" w:cs="Calibri"/>
        </w:rPr>
        <w:t>samtidigt som det underliggande underhållet</w:t>
      </w:r>
      <w:r w:rsidR="008815B7" w:rsidRPr="008815B7">
        <w:rPr>
          <w:rFonts w:ascii="Calibri" w:hAnsi="Calibri" w:cs="Calibri"/>
        </w:rPr>
        <w:t xml:space="preserve"> </w:t>
      </w:r>
      <w:r w:rsidRPr="008815B7">
        <w:rPr>
          <w:rFonts w:ascii="Calibri" w:hAnsi="Calibri" w:cs="Calibri"/>
        </w:rPr>
        <w:t>i många fall uteblir</w:t>
      </w:r>
      <w:r w:rsidR="008815B7">
        <w:rPr>
          <w:rFonts w:ascii="Calibri" w:hAnsi="Calibri" w:cs="Calibri"/>
        </w:rPr>
        <w:t xml:space="preserve">. </w:t>
      </w:r>
      <w:r w:rsidRPr="008815B7">
        <w:rPr>
          <w:rFonts w:ascii="Calibri" w:hAnsi="Calibri" w:cs="Calibri"/>
        </w:rPr>
        <w:t>En potentiell ny finansiell bubbla växer när hyresvärdar genomför konceptrenoveringar istället för att ta sitt långsiktiga ansvar</w:t>
      </w:r>
      <w:r w:rsidR="008815B7">
        <w:rPr>
          <w:rFonts w:ascii="Calibri" w:hAnsi="Calibri" w:cs="Calibri"/>
        </w:rPr>
        <w:t>.</w:t>
      </w:r>
    </w:p>
    <w:p w14:paraId="67644559" w14:textId="238CD59E" w:rsidR="00D27DD9" w:rsidRDefault="00D27DD9" w:rsidP="00D27DD9">
      <w:pPr>
        <w:rPr>
          <w:rFonts w:ascii="Calibri" w:hAnsi="Calibri" w:cs="Calibri"/>
        </w:rPr>
      </w:pPr>
    </w:p>
    <w:p w14:paraId="4D6054E1" w14:textId="4588EC5C" w:rsidR="00D27DD9" w:rsidRPr="00286172" w:rsidRDefault="008815B7" w:rsidP="00D27DD9">
      <w:pPr>
        <w:rPr>
          <w:rFonts w:ascii="Calibri" w:hAnsi="Calibri" w:cs="Calibri"/>
        </w:rPr>
      </w:pPr>
      <w:r>
        <w:rPr>
          <w:rFonts w:ascii="Calibri" w:hAnsi="Calibri" w:cs="Calibri"/>
        </w:rPr>
        <w:t xml:space="preserve">Enligt rapporten </w:t>
      </w:r>
      <w:r w:rsidR="00D27DD9" w:rsidRPr="00286172">
        <w:rPr>
          <w:rFonts w:ascii="Calibri" w:hAnsi="Calibri" w:cs="Calibri"/>
        </w:rPr>
        <w:t xml:space="preserve">leder konceptrenoveringarna </w:t>
      </w:r>
      <w:r w:rsidR="00286172" w:rsidRPr="00286172">
        <w:rPr>
          <w:rFonts w:ascii="Calibri" w:hAnsi="Calibri" w:cs="Calibri"/>
        </w:rPr>
        <w:t xml:space="preserve">dessutom </w:t>
      </w:r>
      <w:r w:rsidR="00D27DD9" w:rsidRPr="00286172">
        <w:rPr>
          <w:rFonts w:ascii="Calibri" w:hAnsi="Calibri" w:cs="Calibri"/>
        </w:rPr>
        <w:t>till att resurssvaga hushåll trängs undan när hushåll med starkare ekonomi flyttar till de ytskiktsrenoverade lägenheterna. På så sätt ökar boendesegregationen.</w:t>
      </w:r>
    </w:p>
    <w:p w14:paraId="35B5C07B" w14:textId="77777777" w:rsidR="00286172" w:rsidRDefault="00286172" w:rsidP="00D27DD9">
      <w:pPr>
        <w:rPr>
          <w:rFonts w:ascii="Calibri" w:hAnsi="Calibri" w:cs="Calibri"/>
        </w:rPr>
      </w:pPr>
    </w:p>
    <w:p w14:paraId="2EAA5F36" w14:textId="229C408A" w:rsidR="00D27DD9" w:rsidRDefault="00D27DD9" w:rsidP="00D27DD9">
      <w:pPr>
        <w:rPr>
          <w:rFonts w:ascii="Calibri" w:hAnsi="Calibri" w:cs="Calibri"/>
        </w:rPr>
      </w:pPr>
      <w:r w:rsidRPr="00286172">
        <w:rPr>
          <w:rFonts w:ascii="Calibri" w:hAnsi="Calibri" w:cs="Calibri"/>
        </w:rPr>
        <w:t>Hyresgästföreningens rapport om konceptrenoveringar presentera</w:t>
      </w:r>
      <w:r w:rsidR="00286172">
        <w:rPr>
          <w:rFonts w:ascii="Calibri" w:hAnsi="Calibri" w:cs="Calibri"/>
        </w:rPr>
        <w:t>de</w:t>
      </w:r>
      <w:r w:rsidRPr="00286172">
        <w:rPr>
          <w:rFonts w:ascii="Calibri" w:hAnsi="Calibri" w:cs="Calibri"/>
        </w:rPr>
        <w:t>s vid ett frukostseminarium i Stockholm på morgonen den 7 maj.</w:t>
      </w:r>
    </w:p>
    <w:p w14:paraId="7EFEEC46" w14:textId="14BB2CAC" w:rsidR="00286172" w:rsidRDefault="00286172" w:rsidP="00D27DD9">
      <w:pPr>
        <w:rPr>
          <w:rFonts w:ascii="Calibri" w:hAnsi="Calibri" w:cs="Calibri"/>
        </w:rPr>
      </w:pPr>
    </w:p>
    <w:p w14:paraId="6A55C148" w14:textId="1A036F93" w:rsidR="00286172" w:rsidRPr="00286172" w:rsidRDefault="00286172" w:rsidP="00D27DD9">
      <w:pPr>
        <w:rPr>
          <w:rFonts w:ascii="Calibri" w:hAnsi="Calibri" w:cs="Calibri"/>
        </w:rPr>
      </w:pPr>
      <w:r w:rsidRPr="00286172">
        <w:rPr>
          <w:rFonts w:ascii="Calibri" w:hAnsi="Calibri" w:cs="Calibri"/>
          <w:u w:val="single"/>
        </w:rPr>
        <w:t>Bilaga:</w:t>
      </w:r>
      <w:r>
        <w:rPr>
          <w:rFonts w:ascii="Calibri" w:hAnsi="Calibri" w:cs="Calibri"/>
        </w:rPr>
        <w:br/>
        <w:t>Konceptrenoveringens konsekvenser – Ekonomiska och socioekonomiska effekter</w:t>
      </w:r>
    </w:p>
    <w:p w14:paraId="4DCA1E45" w14:textId="77777777" w:rsidR="00246A26" w:rsidRPr="00E94F47" w:rsidRDefault="00246A26" w:rsidP="00E94F47">
      <w:pPr>
        <w:rPr>
          <w:rFonts w:ascii="Calibri" w:hAnsi="Calibri" w:cs="Calibri"/>
        </w:rPr>
      </w:pPr>
    </w:p>
    <w:p w14:paraId="5C439BA0" w14:textId="77777777" w:rsidR="00E94F47" w:rsidRPr="00E53FF8" w:rsidRDefault="00E94F47" w:rsidP="00E94F47">
      <w:pPr>
        <w:rPr>
          <w:rFonts w:ascii="Calibri" w:hAnsi="Calibri" w:cs="Calibri"/>
          <w:b/>
        </w:rPr>
      </w:pPr>
      <w:r w:rsidRPr="00E53FF8">
        <w:rPr>
          <w:rFonts w:ascii="Calibri" w:hAnsi="Calibri" w:cs="Calibri"/>
          <w:b/>
        </w:rPr>
        <w:t>För mer information:</w:t>
      </w:r>
    </w:p>
    <w:p w14:paraId="542BAEE3" w14:textId="2C28E772" w:rsidR="00286172" w:rsidRPr="00E53FF8" w:rsidRDefault="00B7361F" w:rsidP="00AD3EC5">
      <w:pPr>
        <w:rPr>
          <w:rFonts w:ascii="Calibri" w:hAnsi="Calibri" w:cs="Calibri"/>
        </w:rPr>
      </w:pPr>
      <w:r>
        <w:rPr>
          <w:rFonts w:ascii="Calibri" w:hAnsi="Calibri" w:cs="Calibri"/>
        </w:rPr>
        <w:t>Roger Enbom, förhandlare, 070-618 00 99</w:t>
      </w:r>
      <w:bookmarkStart w:id="1" w:name="_GoBack"/>
      <w:bookmarkEnd w:id="1"/>
    </w:p>
    <w:sectPr w:rsidR="00286172" w:rsidRPr="00E53FF8"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FFE19" w14:textId="77777777" w:rsidR="001F042D" w:rsidRDefault="001F042D">
      <w:r>
        <w:separator/>
      </w:r>
    </w:p>
  </w:endnote>
  <w:endnote w:type="continuationSeparator" w:id="0">
    <w:p w14:paraId="5A9EC5D4" w14:textId="77777777" w:rsidR="001F042D" w:rsidRDefault="001F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B38B8" w14:textId="77777777" w:rsidR="001F042D" w:rsidRDefault="001F042D">
      <w:r>
        <w:separator/>
      </w:r>
    </w:p>
  </w:footnote>
  <w:footnote w:type="continuationSeparator" w:id="0">
    <w:p w14:paraId="0D5688E0" w14:textId="77777777" w:rsidR="001F042D" w:rsidRDefault="001F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B256E9"/>
    <w:multiLevelType w:val="hybridMultilevel"/>
    <w:tmpl w:val="9ABA65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19" w15:restartNumberingAfterBreak="0">
    <w:nsid w:val="7F942707"/>
    <w:multiLevelType w:val="multilevel"/>
    <w:tmpl w:val="4CC44E4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8"/>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7"/>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2C2"/>
    <w:rsid w:val="0000118F"/>
    <w:rsid w:val="00001381"/>
    <w:rsid w:val="000116C3"/>
    <w:rsid w:val="00021DE2"/>
    <w:rsid w:val="00023F98"/>
    <w:rsid w:val="00026EEB"/>
    <w:rsid w:val="000548EE"/>
    <w:rsid w:val="00071F90"/>
    <w:rsid w:val="00072CBC"/>
    <w:rsid w:val="00090252"/>
    <w:rsid w:val="000A3710"/>
    <w:rsid w:val="000C3BCA"/>
    <w:rsid w:val="000E1F47"/>
    <w:rsid w:val="000E2567"/>
    <w:rsid w:val="000F21FA"/>
    <w:rsid w:val="000F386B"/>
    <w:rsid w:val="00103D11"/>
    <w:rsid w:val="001049D5"/>
    <w:rsid w:val="00114B58"/>
    <w:rsid w:val="00117F7D"/>
    <w:rsid w:val="00140952"/>
    <w:rsid w:val="0015335F"/>
    <w:rsid w:val="00165DA9"/>
    <w:rsid w:val="00191F17"/>
    <w:rsid w:val="00195A7B"/>
    <w:rsid w:val="001A7929"/>
    <w:rsid w:val="001B74A6"/>
    <w:rsid w:val="001E3F27"/>
    <w:rsid w:val="001F042D"/>
    <w:rsid w:val="001F0B68"/>
    <w:rsid w:val="001F7D80"/>
    <w:rsid w:val="00213AA4"/>
    <w:rsid w:val="00216828"/>
    <w:rsid w:val="00220925"/>
    <w:rsid w:val="00223162"/>
    <w:rsid w:val="002358DD"/>
    <w:rsid w:val="00241974"/>
    <w:rsid w:val="00246A26"/>
    <w:rsid w:val="00255CF5"/>
    <w:rsid w:val="00274E85"/>
    <w:rsid w:val="0027569F"/>
    <w:rsid w:val="00286172"/>
    <w:rsid w:val="00293CEC"/>
    <w:rsid w:val="002A4D94"/>
    <w:rsid w:val="002D1A1D"/>
    <w:rsid w:val="002E1B14"/>
    <w:rsid w:val="002E5747"/>
    <w:rsid w:val="00305BB2"/>
    <w:rsid w:val="00317D8A"/>
    <w:rsid w:val="00321AFF"/>
    <w:rsid w:val="0033158B"/>
    <w:rsid w:val="00332AEC"/>
    <w:rsid w:val="00336D6B"/>
    <w:rsid w:val="003456F0"/>
    <w:rsid w:val="00350A53"/>
    <w:rsid w:val="00353D5A"/>
    <w:rsid w:val="00370CBB"/>
    <w:rsid w:val="003710C9"/>
    <w:rsid w:val="00377E95"/>
    <w:rsid w:val="00394385"/>
    <w:rsid w:val="003C5B36"/>
    <w:rsid w:val="003C5B3B"/>
    <w:rsid w:val="003D5D04"/>
    <w:rsid w:val="003F5EF3"/>
    <w:rsid w:val="00401F5A"/>
    <w:rsid w:val="004055AD"/>
    <w:rsid w:val="00414A5E"/>
    <w:rsid w:val="00422C73"/>
    <w:rsid w:val="00437837"/>
    <w:rsid w:val="004472CE"/>
    <w:rsid w:val="0045269C"/>
    <w:rsid w:val="00467A62"/>
    <w:rsid w:val="00473FCA"/>
    <w:rsid w:val="00481459"/>
    <w:rsid w:val="0048383D"/>
    <w:rsid w:val="0049157E"/>
    <w:rsid w:val="004A2E35"/>
    <w:rsid w:val="004C57E7"/>
    <w:rsid w:val="004F3525"/>
    <w:rsid w:val="005103E9"/>
    <w:rsid w:val="00522A8F"/>
    <w:rsid w:val="0052735A"/>
    <w:rsid w:val="00527FB5"/>
    <w:rsid w:val="00533FC1"/>
    <w:rsid w:val="00555C2F"/>
    <w:rsid w:val="00560176"/>
    <w:rsid w:val="00573CE2"/>
    <w:rsid w:val="005B6ACD"/>
    <w:rsid w:val="005C347E"/>
    <w:rsid w:val="005D0EF5"/>
    <w:rsid w:val="00600EA3"/>
    <w:rsid w:val="00604F14"/>
    <w:rsid w:val="006112C2"/>
    <w:rsid w:val="00627251"/>
    <w:rsid w:val="006641E8"/>
    <w:rsid w:val="00665F03"/>
    <w:rsid w:val="00672A04"/>
    <w:rsid w:val="006940B1"/>
    <w:rsid w:val="006A0737"/>
    <w:rsid w:val="006A168E"/>
    <w:rsid w:val="006A310C"/>
    <w:rsid w:val="006A488D"/>
    <w:rsid w:val="006C0BFF"/>
    <w:rsid w:val="006E4201"/>
    <w:rsid w:val="00701638"/>
    <w:rsid w:val="00714F71"/>
    <w:rsid w:val="007269A2"/>
    <w:rsid w:val="0072738F"/>
    <w:rsid w:val="0075743E"/>
    <w:rsid w:val="0079416B"/>
    <w:rsid w:val="007A28FD"/>
    <w:rsid w:val="007A3DA8"/>
    <w:rsid w:val="007E3D12"/>
    <w:rsid w:val="00823098"/>
    <w:rsid w:val="00865EDE"/>
    <w:rsid w:val="00873F4D"/>
    <w:rsid w:val="008815B7"/>
    <w:rsid w:val="008820AB"/>
    <w:rsid w:val="008839C9"/>
    <w:rsid w:val="00887562"/>
    <w:rsid w:val="00891FF2"/>
    <w:rsid w:val="008A1B98"/>
    <w:rsid w:val="008D53B3"/>
    <w:rsid w:val="008E7B15"/>
    <w:rsid w:val="008F1D0A"/>
    <w:rsid w:val="00900FA6"/>
    <w:rsid w:val="0090344A"/>
    <w:rsid w:val="009059CC"/>
    <w:rsid w:val="00907EF8"/>
    <w:rsid w:val="00916203"/>
    <w:rsid w:val="00917892"/>
    <w:rsid w:val="00943012"/>
    <w:rsid w:val="00953872"/>
    <w:rsid w:val="009647EE"/>
    <w:rsid w:val="00970B21"/>
    <w:rsid w:val="009978E3"/>
    <w:rsid w:val="009C6B85"/>
    <w:rsid w:val="009E1284"/>
    <w:rsid w:val="009F639F"/>
    <w:rsid w:val="00A1206F"/>
    <w:rsid w:val="00A31DA6"/>
    <w:rsid w:val="00A347D8"/>
    <w:rsid w:val="00A42A1F"/>
    <w:rsid w:val="00A45142"/>
    <w:rsid w:val="00A538F4"/>
    <w:rsid w:val="00A80ADD"/>
    <w:rsid w:val="00A8289D"/>
    <w:rsid w:val="00A872D6"/>
    <w:rsid w:val="00AA6770"/>
    <w:rsid w:val="00AB0FB4"/>
    <w:rsid w:val="00AB30B0"/>
    <w:rsid w:val="00AC0248"/>
    <w:rsid w:val="00AD0C6C"/>
    <w:rsid w:val="00AD3EC5"/>
    <w:rsid w:val="00AF19FA"/>
    <w:rsid w:val="00AF3F22"/>
    <w:rsid w:val="00B10FD7"/>
    <w:rsid w:val="00B21329"/>
    <w:rsid w:val="00B26D5A"/>
    <w:rsid w:val="00B60524"/>
    <w:rsid w:val="00B61E9B"/>
    <w:rsid w:val="00B7361F"/>
    <w:rsid w:val="00B9066E"/>
    <w:rsid w:val="00BA4E18"/>
    <w:rsid w:val="00BB5289"/>
    <w:rsid w:val="00BC2A87"/>
    <w:rsid w:val="00BE1F17"/>
    <w:rsid w:val="00BE2351"/>
    <w:rsid w:val="00BF3A77"/>
    <w:rsid w:val="00C01438"/>
    <w:rsid w:val="00C2416D"/>
    <w:rsid w:val="00C36BAF"/>
    <w:rsid w:val="00C62C02"/>
    <w:rsid w:val="00C63D50"/>
    <w:rsid w:val="00CA4670"/>
    <w:rsid w:val="00CA602C"/>
    <w:rsid w:val="00CD0C1F"/>
    <w:rsid w:val="00CE1597"/>
    <w:rsid w:val="00CE478C"/>
    <w:rsid w:val="00D1561A"/>
    <w:rsid w:val="00D27DD9"/>
    <w:rsid w:val="00D35698"/>
    <w:rsid w:val="00D44A75"/>
    <w:rsid w:val="00D61A67"/>
    <w:rsid w:val="00D65ACC"/>
    <w:rsid w:val="00D72C79"/>
    <w:rsid w:val="00D72F1F"/>
    <w:rsid w:val="00D736F6"/>
    <w:rsid w:val="00D76A81"/>
    <w:rsid w:val="00D77C89"/>
    <w:rsid w:val="00D82AF9"/>
    <w:rsid w:val="00D90EBD"/>
    <w:rsid w:val="00DC23B6"/>
    <w:rsid w:val="00DE5246"/>
    <w:rsid w:val="00E00612"/>
    <w:rsid w:val="00E03019"/>
    <w:rsid w:val="00E1285D"/>
    <w:rsid w:val="00E13F75"/>
    <w:rsid w:val="00E23975"/>
    <w:rsid w:val="00E37711"/>
    <w:rsid w:val="00E53FF8"/>
    <w:rsid w:val="00E60E7F"/>
    <w:rsid w:val="00E77680"/>
    <w:rsid w:val="00E81AC0"/>
    <w:rsid w:val="00E85DD9"/>
    <w:rsid w:val="00E94F47"/>
    <w:rsid w:val="00E969DD"/>
    <w:rsid w:val="00EA43E1"/>
    <w:rsid w:val="00EB58E7"/>
    <w:rsid w:val="00ED6FA9"/>
    <w:rsid w:val="00EF013A"/>
    <w:rsid w:val="00EF3F6C"/>
    <w:rsid w:val="00EF7489"/>
    <w:rsid w:val="00F00873"/>
    <w:rsid w:val="00F029F8"/>
    <w:rsid w:val="00F36331"/>
    <w:rsid w:val="00F4148F"/>
    <w:rsid w:val="00F46FA8"/>
    <w:rsid w:val="00F55105"/>
    <w:rsid w:val="00FA4856"/>
    <w:rsid w:val="00FA4CF6"/>
    <w:rsid w:val="00FB0B87"/>
    <w:rsid w:val="00FB50AA"/>
    <w:rsid w:val="00FC14EC"/>
    <w:rsid w:val="00FD3486"/>
    <w:rsid w:val="00FD3B13"/>
    <w:rsid w:val="00FD4019"/>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B14669"/>
  <w15:docId w15:val="{1C631BA2-3389-4402-A12D-45C4CA2F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Olstomnmnande">
    <w:name w:val="Unresolved Mention"/>
    <w:basedOn w:val="Standardstycketeckensnitt"/>
    <w:uiPriority w:val="99"/>
    <w:semiHidden/>
    <w:unhideWhenUsed/>
    <w:rsid w:val="002756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26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422">
          <w:marLeft w:val="0"/>
          <w:marRight w:val="0"/>
          <w:marTop w:val="0"/>
          <w:marBottom w:val="0"/>
          <w:divBdr>
            <w:top w:val="none" w:sz="0" w:space="0" w:color="auto"/>
            <w:left w:val="none" w:sz="0" w:space="0" w:color="auto"/>
            <w:bottom w:val="none" w:sz="0" w:space="0" w:color="auto"/>
            <w:right w:val="none" w:sz="0" w:space="0" w:color="auto"/>
          </w:divBdr>
          <w:divsChild>
            <w:div w:id="973296557">
              <w:marLeft w:val="0"/>
              <w:marRight w:val="0"/>
              <w:marTop w:val="360"/>
              <w:marBottom w:val="0"/>
              <w:divBdr>
                <w:top w:val="none" w:sz="0" w:space="0" w:color="auto"/>
                <w:left w:val="none" w:sz="0" w:space="0" w:color="auto"/>
                <w:bottom w:val="none" w:sz="0" w:space="0" w:color="auto"/>
                <w:right w:val="none" w:sz="0" w:space="0" w:color="auto"/>
              </w:divBdr>
              <w:divsChild>
                <w:div w:id="2074887868">
                  <w:marLeft w:val="0"/>
                  <w:marRight w:val="0"/>
                  <w:marTop w:val="0"/>
                  <w:marBottom w:val="0"/>
                  <w:divBdr>
                    <w:top w:val="none" w:sz="0" w:space="0" w:color="auto"/>
                    <w:left w:val="none" w:sz="0" w:space="0" w:color="auto"/>
                    <w:bottom w:val="none" w:sz="0" w:space="0" w:color="auto"/>
                    <w:right w:val="none" w:sz="0" w:space="0" w:color="auto"/>
                  </w:divBdr>
                  <w:divsChild>
                    <w:div w:id="1313749333">
                      <w:marLeft w:val="0"/>
                      <w:marRight w:val="0"/>
                      <w:marTop w:val="0"/>
                      <w:marBottom w:val="0"/>
                      <w:divBdr>
                        <w:top w:val="none" w:sz="0" w:space="0" w:color="auto"/>
                        <w:left w:val="none" w:sz="0" w:space="0" w:color="auto"/>
                        <w:bottom w:val="none" w:sz="0" w:space="0" w:color="auto"/>
                        <w:right w:val="none" w:sz="0" w:space="0" w:color="auto"/>
                      </w:divBdr>
                      <w:divsChild>
                        <w:div w:id="238952105">
                          <w:marLeft w:val="0"/>
                          <w:marRight w:val="0"/>
                          <w:marTop w:val="0"/>
                          <w:marBottom w:val="180"/>
                          <w:divBdr>
                            <w:top w:val="none" w:sz="0" w:space="0" w:color="auto"/>
                            <w:left w:val="none" w:sz="0" w:space="0" w:color="auto"/>
                            <w:bottom w:val="none" w:sz="0" w:space="0" w:color="auto"/>
                            <w:right w:val="none" w:sz="0" w:space="0" w:color="auto"/>
                          </w:divBdr>
                          <w:divsChild>
                            <w:div w:id="1839080454">
                              <w:marLeft w:val="0"/>
                              <w:marRight w:val="0"/>
                              <w:marTop w:val="240"/>
                              <w:marBottom w:val="240"/>
                              <w:divBdr>
                                <w:top w:val="none" w:sz="0" w:space="0" w:color="auto"/>
                                <w:left w:val="none" w:sz="0" w:space="0" w:color="auto"/>
                                <w:bottom w:val="none" w:sz="0" w:space="0" w:color="auto"/>
                                <w:right w:val="none" w:sz="0" w:space="0" w:color="auto"/>
                              </w:divBdr>
                              <w:divsChild>
                                <w:div w:id="337579922">
                                  <w:marLeft w:val="0"/>
                                  <w:marRight w:val="0"/>
                                  <w:marTop w:val="0"/>
                                  <w:marBottom w:val="0"/>
                                  <w:divBdr>
                                    <w:top w:val="none" w:sz="0" w:space="0" w:color="auto"/>
                                    <w:left w:val="none" w:sz="0" w:space="0" w:color="auto"/>
                                    <w:bottom w:val="none" w:sz="0" w:space="0" w:color="auto"/>
                                    <w:right w:val="none" w:sz="0" w:space="0" w:color="auto"/>
                                  </w:divBdr>
                                  <w:divsChild>
                                    <w:div w:id="1135021387">
                                      <w:marLeft w:val="0"/>
                                      <w:marRight w:val="0"/>
                                      <w:marTop w:val="0"/>
                                      <w:marBottom w:val="0"/>
                                      <w:divBdr>
                                        <w:top w:val="none" w:sz="0" w:space="0" w:color="auto"/>
                                        <w:left w:val="none" w:sz="0" w:space="0" w:color="auto"/>
                                        <w:bottom w:val="none" w:sz="0" w:space="0" w:color="auto"/>
                                        <w:right w:val="none" w:sz="0" w:space="0" w:color="auto"/>
                                      </w:divBdr>
                                      <w:divsChild>
                                        <w:div w:id="1214078754">
                                          <w:marLeft w:val="0"/>
                                          <w:marRight w:val="0"/>
                                          <w:marTop w:val="0"/>
                                          <w:marBottom w:val="0"/>
                                          <w:divBdr>
                                            <w:top w:val="none" w:sz="0" w:space="0" w:color="auto"/>
                                            <w:left w:val="none" w:sz="0" w:space="0" w:color="auto"/>
                                            <w:bottom w:val="none" w:sz="0" w:space="0" w:color="auto"/>
                                            <w:right w:val="none" w:sz="0" w:space="0" w:color="auto"/>
                                          </w:divBdr>
                                        </w:div>
                                        <w:div w:id="898129572">
                                          <w:marLeft w:val="0"/>
                                          <w:marRight w:val="0"/>
                                          <w:marTop w:val="0"/>
                                          <w:marBottom w:val="0"/>
                                          <w:divBdr>
                                            <w:top w:val="none" w:sz="0" w:space="0" w:color="auto"/>
                                            <w:left w:val="none" w:sz="0" w:space="0" w:color="auto"/>
                                            <w:bottom w:val="none" w:sz="0" w:space="0" w:color="auto"/>
                                            <w:right w:val="none" w:sz="0" w:space="0" w:color="auto"/>
                                          </w:divBdr>
                                        </w:div>
                                        <w:div w:id="1832863852">
                                          <w:marLeft w:val="0"/>
                                          <w:marRight w:val="0"/>
                                          <w:marTop w:val="0"/>
                                          <w:marBottom w:val="0"/>
                                          <w:divBdr>
                                            <w:top w:val="none" w:sz="0" w:space="0" w:color="auto"/>
                                            <w:left w:val="none" w:sz="0" w:space="0" w:color="auto"/>
                                            <w:bottom w:val="none" w:sz="0" w:space="0" w:color="auto"/>
                                            <w:right w:val="none" w:sz="0" w:space="0" w:color="auto"/>
                                          </w:divBdr>
                                        </w:div>
                                        <w:div w:id="2025983401">
                                          <w:marLeft w:val="0"/>
                                          <w:marRight w:val="0"/>
                                          <w:marTop w:val="0"/>
                                          <w:marBottom w:val="0"/>
                                          <w:divBdr>
                                            <w:top w:val="none" w:sz="0" w:space="0" w:color="auto"/>
                                            <w:left w:val="none" w:sz="0" w:space="0" w:color="auto"/>
                                            <w:bottom w:val="none" w:sz="0" w:space="0" w:color="auto"/>
                                            <w:right w:val="none" w:sz="0" w:space="0" w:color="auto"/>
                                          </w:divBdr>
                                        </w:div>
                                        <w:div w:id="271330187">
                                          <w:marLeft w:val="0"/>
                                          <w:marRight w:val="0"/>
                                          <w:marTop w:val="0"/>
                                          <w:marBottom w:val="0"/>
                                          <w:divBdr>
                                            <w:top w:val="none" w:sz="0" w:space="0" w:color="auto"/>
                                            <w:left w:val="none" w:sz="0" w:space="0" w:color="auto"/>
                                            <w:bottom w:val="none" w:sz="0" w:space="0" w:color="auto"/>
                                            <w:right w:val="none" w:sz="0" w:space="0" w:color="auto"/>
                                          </w:divBdr>
                                        </w:div>
                                        <w:div w:id="96369319">
                                          <w:marLeft w:val="0"/>
                                          <w:marRight w:val="0"/>
                                          <w:marTop w:val="0"/>
                                          <w:marBottom w:val="0"/>
                                          <w:divBdr>
                                            <w:top w:val="none" w:sz="0" w:space="0" w:color="auto"/>
                                            <w:left w:val="none" w:sz="0" w:space="0" w:color="auto"/>
                                            <w:bottom w:val="none" w:sz="0" w:space="0" w:color="auto"/>
                                            <w:right w:val="none" w:sz="0" w:space="0" w:color="auto"/>
                                          </w:divBdr>
                                        </w:div>
                                        <w:div w:id="2125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333296">
      <w:bodyDiv w:val="1"/>
      <w:marLeft w:val="0"/>
      <w:marRight w:val="0"/>
      <w:marTop w:val="0"/>
      <w:marBottom w:val="0"/>
      <w:divBdr>
        <w:top w:val="none" w:sz="0" w:space="0" w:color="auto"/>
        <w:left w:val="none" w:sz="0" w:space="0" w:color="auto"/>
        <w:bottom w:val="none" w:sz="0" w:space="0" w:color="auto"/>
        <w:right w:val="none" w:sz="0" w:space="0" w:color="auto"/>
      </w:divBdr>
    </w:div>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1023827496">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 w:id="14211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2.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3.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5.xml><?xml version="1.0" encoding="utf-8"?>
<ds:datastoreItem xmlns:ds="http://schemas.openxmlformats.org/officeDocument/2006/customXml" ds:itemID="{21E09D0D-026F-4143-AE83-932CA979AD37}">
  <ds:schemaRefs>
    <ds:schemaRef ds:uri="http://schemas.microsoft.com/office/2006/documentManagement/types"/>
    <ds:schemaRef ds:uri="8191dfc9-43ff-4da7-9ee9-e671a5dc3228"/>
    <ds:schemaRef ds:uri="http://schemas.microsoft.com/office/infopath/2007/PartnerControls"/>
    <ds:schemaRef ds:uri="http://purl.org/dc/elements/1.1/"/>
    <ds:schemaRef ds:uri="http://schemas.microsoft.com/office/2006/metadata/properties"/>
    <ds:schemaRef ds:uri="d6f807c6-b029-406f-83c9-9f9b9d673873"/>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F016FE30-1D0F-4407-A19A-5F0C7745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4</cp:revision>
  <cp:lastPrinted>2017-04-24T08:21:00Z</cp:lastPrinted>
  <dcterms:created xsi:type="dcterms:W3CDTF">2019-05-06T14:14:00Z</dcterms:created>
  <dcterms:modified xsi:type="dcterms:W3CDTF">2019-05-07T09:23:00Z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