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54" w:rsidRPr="00212AB4" w:rsidRDefault="00F57854" w:rsidP="00F57854">
      <w:pPr>
        <w:autoSpaceDE w:val="0"/>
        <w:autoSpaceDN w:val="0"/>
        <w:adjustRightInd w:val="0"/>
        <w:spacing w:line="276" w:lineRule="auto"/>
        <w:jc w:val="right"/>
        <w:rPr>
          <w:b/>
          <w:lang w:val="sv-SE"/>
        </w:rPr>
      </w:pPr>
      <w:r w:rsidRPr="00212AB4">
        <w:rPr>
          <w:b/>
          <w:lang w:val="sv-SE"/>
        </w:rPr>
        <w:t>Presskontakt Capgemini:</w:t>
      </w:r>
    </w:p>
    <w:p w:rsidR="00F57854" w:rsidRPr="00212AB4" w:rsidRDefault="00F57854" w:rsidP="00F57854">
      <w:pPr>
        <w:spacing w:line="276" w:lineRule="auto"/>
        <w:jc w:val="right"/>
        <w:rPr>
          <w:i/>
          <w:lang w:val="sv-SE"/>
        </w:rPr>
      </w:pPr>
      <w:r w:rsidRPr="00212AB4">
        <w:rPr>
          <w:i/>
          <w:lang w:val="sv-SE"/>
        </w:rPr>
        <w:t xml:space="preserve">Stephanie Beudat </w:t>
      </w:r>
    </w:p>
    <w:p w:rsidR="00F57854" w:rsidRPr="00DF4FE1" w:rsidRDefault="00F57854" w:rsidP="00F57854">
      <w:pPr>
        <w:spacing w:line="276" w:lineRule="auto"/>
        <w:jc w:val="right"/>
        <w:rPr>
          <w:i/>
        </w:rPr>
      </w:pPr>
      <w:r w:rsidRPr="00DF4FE1">
        <w:rPr>
          <w:i/>
        </w:rPr>
        <w:t>Tel.: + 46 72 223 01 27</w:t>
      </w:r>
      <w:r w:rsidRPr="00DF4FE1">
        <w:rPr>
          <w:i/>
        </w:rPr>
        <w:br/>
        <w:t xml:space="preserve">E-mail: </w:t>
      </w:r>
      <w:hyperlink r:id="rId8" w:history="1">
        <w:r w:rsidRPr="00DF4FE1">
          <w:rPr>
            <w:rStyle w:val="Hyperlink"/>
            <w:i/>
          </w:rPr>
          <w:t>stephanie.beudat@capgemini.com</w:t>
        </w:r>
      </w:hyperlink>
    </w:p>
    <w:p w:rsidR="008B7BAE" w:rsidRPr="00212AB4" w:rsidRDefault="00CD4313" w:rsidP="008B7BAE">
      <w:pPr>
        <w:spacing w:line="360" w:lineRule="auto"/>
        <w:jc w:val="center"/>
        <w:rPr>
          <w:b/>
          <w:sz w:val="32"/>
          <w:lang w:val="sv-SE"/>
        </w:rPr>
      </w:pPr>
      <w:r w:rsidRPr="00DF4FE1">
        <w:rPr>
          <w:i/>
          <w:lang w:val="sv-SE"/>
        </w:rPr>
        <w:br/>
      </w:r>
      <w:r w:rsidR="00F57854" w:rsidRPr="00DF4FE1">
        <w:rPr>
          <w:b/>
          <w:i/>
          <w:lang w:val="sv-SE"/>
        </w:rPr>
        <w:br/>
      </w:r>
      <w:r w:rsidR="00462318" w:rsidRPr="00212AB4">
        <w:rPr>
          <w:b/>
          <w:sz w:val="32"/>
          <w:lang w:val="sv-SE"/>
        </w:rPr>
        <w:t>Nu ö</w:t>
      </w:r>
      <w:r w:rsidR="008B7BAE" w:rsidRPr="00212AB4">
        <w:rPr>
          <w:b/>
          <w:sz w:val="32"/>
          <w:lang w:val="sv-SE"/>
        </w:rPr>
        <w:t>ver 100 000 dollarmiljonärer i Sverige</w:t>
      </w:r>
    </w:p>
    <w:p w:rsidR="00F57854" w:rsidRPr="00212AB4" w:rsidRDefault="00F57854" w:rsidP="00F57854">
      <w:pPr>
        <w:spacing w:line="360" w:lineRule="auto"/>
        <w:rPr>
          <w:lang w:val="sv-SE"/>
        </w:rPr>
      </w:pPr>
    </w:p>
    <w:p w:rsidR="00F57854" w:rsidRPr="00212AB4" w:rsidRDefault="0058590C" w:rsidP="00F57854">
      <w:pPr>
        <w:spacing w:line="360" w:lineRule="auto"/>
        <w:rPr>
          <w:b/>
          <w:lang w:val="sv-SE"/>
        </w:rPr>
      </w:pPr>
      <w:r w:rsidRPr="00212AB4">
        <w:rPr>
          <w:b/>
          <w:lang w:val="sv-SE"/>
        </w:rPr>
        <w:t>Stockholm den 23 juni 2016</w:t>
      </w:r>
      <w:r w:rsidR="00F57854" w:rsidRPr="00212AB4">
        <w:rPr>
          <w:b/>
          <w:lang w:val="sv-SE"/>
        </w:rPr>
        <w:t xml:space="preserve"> – </w:t>
      </w:r>
      <w:r w:rsidR="00122EC8" w:rsidRPr="00212AB4">
        <w:rPr>
          <w:b/>
          <w:lang w:val="sv-SE"/>
        </w:rPr>
        <w:t xml:space="preserve">De svenska </w:t>
      </w:r>
      <w:r w:rsidR="00FA275B" w:rsidRPr="00212AB4">
        <w:rPr>
          <w:b/>
          <w:lang w:val="sv-SE"/>
        </w:rPr>
        <w:t>dollarmiljonärer</w:t>
      </w:r>
      <w:r w:rsidR="00D97E64" w:rsidRPr="00212AB4">
        <w:rPr>
          <w:b/>
          <w:lang w:val="sv-SE"/>
        </w:rPr>
        <w:t>na</w:t>
      </w:r>
      <w:r w:rsidR="00FA275B" w:rsidRPr="00212AB4">
        <w:rPr>
          <w:b/>
          <w:lang w:val="sv-SE"/>
        </w:rPr>
        <w:t xml:space="preserve"> </w:t>
      </w:r>
      <w:r w:rsidR="00122EC8" w:rsidRPr="00212AB4">
        <w:rPr>
          <w:b/>
          <w:lang w:val="sv-SE"/>
        </w:rPr>
        <w:t xml:space="preserve">blir allt fler </w:t>
      </w:r>
      <w:r w:rsidRPr="00212AB4">
        <w:rPr>
          <w:b/>
          <w:lang w:val="sv-SE"/>
        </w:rPr>
        <w:t>oc</w:t>
      </w:r>
      <w:r w:rsidR="008B7BAE" w:rsidRPr="00212AB4">
        <w:rPr>
          <w:b/>
          <w:lang w:val="sv-SE"/>
        </w:rPr>
        <w:t>h passerade förra året 100</w:t>
      </w:r>
      <w:r w:rsidR="00D733D3" w:rsidRPr="00212AB4">
        <w:rPr>
          <w:b/>
          <w:lang w:val="sv-SE"/>
        </w:rPr>
        <w:t> </w:t>
      </w:r>
      <w:r w:rsidR="008B7BAE" w:rsidRPr="00212AB4">
        <w:rPr>
          <w:b/>
          <w:lang w:val="sv-SE"/>
        </w:rPr>
        <w:t>000</w:t>
      </w:r>
      <w:r w:rsidR="00D733D3" w:rsidRPr="00212AB4">
        <w:rPr>
          <w:b/>
          <w:lang w:val="sv-SE"/>
        </w:rPr>
        <w:t xml:space="preserve"> personer</w:t>
      </w:r>
      <w:r w:rsidR="00992FDC" w:rsidRPr="00212AB4">
        <w:rPr>
          <w:b/>
          <w:lang w:val="sv-SE"/>
        </w:rPr>
        <w:t xml:space="preserve">, en ökning med </w:t>
      </w:r>
      <w:r w:rsidRPr="00212AB4">
        <w:rPr>
          <w:b/>
          <w:lang w:val="sv-SE"/>
        </w:rPr>
        <w:t>10</w:t>
      </w:r>
      <w:r w:rsidR="007846D0" w:rsidRPr="00212AB4">
        <w:rPr>
          <w:b/>
          <w:lang w:val="sv-SE"/>
        </w:rPr>
        <w:t>,6</w:t>
      </w:r>
      <w:r w:rsidR="00FA275B" w:rsidRPr="00212AB4">
        <w:rPr>
          <w:b/>
          <w:lang w:val="sv-SE"/>
        </w:rPr>
        <w:t xml:space="preserve"> % jämfört med föregående år. Globalt ha</w:t>
      </w:r>
      <w:r w:rsidR="00992FDC" w:rsidRPr="00212AB4">
        <w:rPr>
          <w:b/>
          <w:lang w:val="sv-SE"/>
        </w:rPr>
        <w:t xml:space="preserve">r antalet dollarmiljonärer stigit </w:t>
      </w:r>
      <w:r w:rsidR="00FA275B" w:rsidRPr="00212AB4">
        <w:rPr>
          <w:b/>
          <w:lang w:val="sv-SE"/>
        </w:rPr>
        <w:t>med</w:t>
      </w:r>
      <w:r w:rsidR="00B41BCE" w:rsidRPr="00212AB4">
        <w:rPr>
          <w:b/>
          <w:lang w:val="sv-SE"/>
        </w:rPr>
        <w:t xml:space="preserve"> </w:t>
      </w:r>
      <w:r w:rsidR="00DE664B" w:rsidRPr="00212AB4">
        <w:rPr>
          <w:b/>
          <w:lang w:val="sv-SE"/>
        </w:rPr>
        <w:t>4,9</w:t>
      </w:r>
      <w:r w:rsidR="00FA275B" w:rsidRPr="00212AB4">
        <w:rPr>
          <w:b/>
          <w:lang w:val="sv-SE"/>
        </w:rPr>
        <w:t xml:space="preserve"> %</w:t>
      </w:r>
      <w:r w:rsidR="00974205" w:rsidRPr="00212AB4">
        <w:rPr>
          <w:b/>
          <w:lang w:val="sv-SE"/>
        </w:rPr>
        <w:t xml:space="preserve"> och i Europa </w:t>
      </w:r>
      <w:r w:rsidR="00462318" w:rsidRPr="00212AB4">
        <w:rPr>
          <w:b/>
          <w:lang w:val="sv-SE"/>
        </w:rPr>
        <w:t>med 4,8</w:t>
      </w:r>
      <w:r w:rsidR="00CD6CB1" w:rsidRPr="00212AB4">
        <w:rPr>
          <w:b/>
          <w:lang w:val="sv-SE"/>
        </w:rPr>
        <w:t xml:space="preserve"> </w:t>
      </w:r>
      <w:r w:rsidR="00462318" w:rsidRPr="00212AB4">
        <w:rPr>
          <w:b/>
          <w:lang w:val="sv-SE"/>
        </w:rPr>
        <w:t>%</w:t>
      </w:r>
      <w:r w:rsidR="00FA275B" w:rsidRPr="00212AB4">
        <w:rPr>
          <w:b/>
          <w:lang w:val="sv-SE"/>
        </w:rPr>
        <w:t>.</w:t>
      </w:r>
      <w:r w:rsidR="00974205" w:rsidRPr="00212AB4">
        <w:rPr>
          <w:b/>
          <w:lang w:val="sv-SE"/>
        </w:rPr>
        <w:t xml:space="preserve"> </w:t>
      </w:r>
      <w:r w:rsidR="00F52714" w:rsidRPr="00212AB4">
        <w:rPr>
          <w:b/>
          <w:lang w:val="sv-SE"/>
        </w:rPr>
        <w:t xml:space="preserve">Under 2015 gick </w:t>
      </w:r>
      <w:r w:rsidR="00974205" w:rsidRPr="00212AB4">
        <w:rPr>
          <w:b/>
          <w:lang w:val="sv-SE"/>
        </w:rPr>
        <w:t xml:space="preserve">Asien och Stillahavsområdet </w:t>
      </w:r>
      <w:r w:rsidR="00F52714" w:rsidRPr="00212AB4">
        <w:rPr>
          <w:b/>
          <w:lang w:val="sv-SE"/>
        </w:rPr>
        <w:t>för första gången</w:t>
      </w:r>
      <w:r w:rsidR="00974205" w:rsidRPr="00212AB4">
        <w:rPr>
          <w:b/>
          <w:lang w:val="sv-SE"/>
        </w:rPr>
        <w:t xml:space="preserve"> om </w:t>
      </w:r>
      <w:r w:rsidR="00061C72" w:rsidRPr="00212AB4">
        <w:rPr>
          <w:b/>
          <w:lang w:val="sv-SE"/>
        </w:rPr>
        <w:t>Nordamerika</w:t>
      </w:r>
      <w:r w:rsidR="00D421F0" w:rsidRPr="00212AB4">
        <w:rPr>
          <w:b/>
          <w:lang w:val="sv-SE"/>
        </w:rPr>
        <w:t xml:space="preserve"> i</w:t>
      </w:r>
      <w:r w:rsidR="00953207" w:rsidRPr="00212AB4">
        <w:rPr>
          <w:b/>
          <w:lang w:val="sv-SE"/>
        </w:rPr>
        <w:t xml:space="preserve"> </w:t>
      </w:r>
      <w:r w:rsidR="00F52714" w:rsidRPr="00212AB4">
        <w:rPr>
          <w:b/>
          <w:lang w:val="sv-SE"/>
        </w:rPr>
        <w:t>antal</w:t>
      </w:r>
      <w:r w:rsidR="00CD6CB1" w:rsidRPr="00212AB4">
        <w:rPr>
          <w:b/>
          <w:lang w:val="sv-SE"/>
        </w:rPr>
        <w:t>et</w:t>
      </w:r>
      <w:r w:rsidR="00F52714" w:rsidRPr="00212AB4">
        <w:rPr>
          <w:b/>
          <w:lang w:val="sv-SE"/>
        </w:rPr>
        <w:t xml:space="preserve"> dollarmiljonärer och</w:t>
      </w:r>
      <w:r w:rsidR="003C03AC" w:rsidRPr="00212AB4">
        <w:rPr>
          <w:b/>
          <w:lang w:val="sv-SE"/>
        </w:rPr>
        <w:t xml:space="preserve"> </w:t>
      </w:r>
      <w:r w:rsidR="00462318" w:rsidRPr="00212AB4">
        <w:rPr>
          <w:b/>
          <w:lang w:val="sv-SE"/>
        </w:rPr>
        <w:t>förmögenhet</w:t>
      </w:r>
      <w:r w:rsidR="00070556" w:rsidRPr="00212AB4">
        <w:rPr>
          <w:b/>
          <w:lang w:val="sv-SE"/>
        </w:rPr>
        <w:t>.</w:t>
      </w:r>
      <w:r w:rsidR="00F52714" w:rsidRPr="00212AB4">
        <w:rPr>
          <w:b/>
          <w:lang w:val="sv-SE"/>
        </w:rPr>
        <w:t xml:space="preserve"> </w:t>
      </w:r>
      <w:r w:rsidR="00FA275B" w:rsidRPr="00212AB4">
        <w:rPr>
          <w:b/>
          <w:lang w:val="sv-SE"/>
        </w:rPr>
        <w:t xml:space="preserve">Det visar </w:t>
      </w:r>
      <w:proofErr w:type="spellStart"/>
      <w:r w:rsidR="00FA275B" w:rsidRPr="00212AB4">
        <w:rPr>
          <w:b/>
          <w:lang w:val="sv-SE"/>
        </w:rPr>
        <w:t>Capgeminis</w:t>
      </w:r>
      <w:proofErr w:type="spellEnd"/>
      <w:r w:rsidR="00FA275B" w:rsidRPr="00212AB4">
        <w:rPr>
          <w:b/>
          <w:lang w:val="sv-SE"/>
        </w:rPr>
        <w:t xml:space="preserve"> och RBC </w:t>
      </w:r>
      <w:proofErr w:type="spellStart"/>
      <w:r w:rsidR="00FA275B" w:rsidRPr="00212AB4">
        <w:rPr>
          <w:b/>
          <w:lang w:val="sv-SE"/>
        </w:rPr>
        <w:t>Wealth</w:t>
      </w:r>
      <w:proofErr w:type="spellEnd"/>
      <w:r w:rsidR="00FA275B" w:rsidRPr="00212AB4">
        <w:rPr>
          <w:b/>
          <w:lang w:val="sv-SE"/>
        </w:rPr>
        <w:t xml:space="preserve"> </w:t>
      </w:r>
      <w:proofErr w:type="spellStart"/>
      <w:r w:rsidR="00FA275B" w:rsidRPr="00212AB4">
        <w:rPr>
          <w:b/>
          <w:lang w:val="sv-SE"/>
        </w:rPr>
        <w:t>Managements</w:t>
      </w:r>
      <w:proofErr w:type="spellEnd"/>
      <w:r w:rsidR="00FA275B" w:rsidRPr="00212AB4">
        <w:rPr>
          <w:b/>
          <w:lang w:val="sv-SE"/>
        </w:rPr>
        <w:t xml:space="preserve"> årliga kartläggning av världens dollarmiljonärer</w:t>
      </w:r>
      <w:r w:rsidR="00FA275B" w:rsidRPr="00212AB4">
        <w:rPr>
          <w:rStyle w:val="FootnoteReference"/>
          <w:b/>
          <w:lang w:val="sv-SE"/>
        </w:rPr>
        <w:footnoteReference w:id="1"/>
      </w:r>
      <w:r w:rsidR="006A571A" w:rsidRPr="00212AB4">
        <w:rPr>
          <w:b/>
          <w:lang w:val="sv-SE"/>
        </w:rPr>
        <w:t xml:space="preserve"> i</w:t>
      </w:r>
      <w:r w:rsidR="00994699" w:rsidRPr="00212AB4">
        <w:rPr>
          <w:b/>
          <w:lang w:val="sv-SE"/>
        </w:rPr>
        <w:t xml:space="preserve"> den tjugonde upplagan</w:t>
      </w:r>
      <w:r w:rsidR="006A571A" w:rsidRPr="00212AB4">
        <w:rPr>
          <w:b/>
          <w:lang w:val="sv-SE"/>
        </w:rPr>
        <w:t xml:space="preserve"> </w:t>
      </w:r>
      <w:r w:rsidR="00D93592" w:rsidRPr="00212AB4">
        <w:rPr>
          <w:b/>
          <w:lang w:val="sv-SE"/>
        </w:rPr>
        <w:t xml:space="preserve">av World </w:t>
      </w:r>
      <w:proofErr w:type="spellStart"/>
      <w:r w:rsidR="00D93592" w:rsidRPr="00212AB4">
        <w:rPr>
          <w:b/>
          <w:lang w:val="sv-SE"/>
        </w:rPr>
        <w:t>Wealth</w:t>
      </w:r>
      <w:proofErr w:type="spellEnd"/>
      <w:r w:rsidR="00D93592" w:rsidRPr="00212AB4">
        <w:rPr>
          <w:b/>
          <w:lang w:val="sv-SE"/>
        </w:rPr>
        <w:t xml:space="preserve"> Report</w:t>
      </w:r>
      <w:r w:rsidR="006A571A" w:rsidRPr="00212AB4">
        <w:rPr>
          <w:b/>
          <w:lang w:val="sv-SE"/>
        </w:rPr>
        <w:t xml:space="preserve">. </w:t>
      </w:r>
    </w:p>
    <w:p w:rsidR="00F57854" w:rsidRPr="00212AB4" w:rsidRDefault="00F57854" w:rsidP="00F57854">
      <w:pPr>
        <w:spacing w:line="360" w:lineRule="auto"/>
        <w:rPr>
          <w:b/>
          <w:lang w:val="sv-SE"/>
        </w:rPr>
      </w:pPr>
    </w:p>
    <w:p w:rsidR="00F57854" w:rsidRPr="00212AB4" w:rsidRDefault="006A571A" w:rsidP="00F57854">
      <w:pPr>
        <w:spacing w:line="360" w:lineRule="auto"/>
        <w:rPr>
          <w:i/>
          <w:lang w:val="sv-SE"/>
        </w:rPr>
      </w:pPr>
      <w:r w:rsidRPr="00212AB4">
        <w:rPr>
          <w:i/>
          <w:lang w:val="sv-SE"/>
        </w:rPr>
        <w:t>– Sveriges BNP</w:t>
      </w:r>
      <w:r w:rsidR="00887895" w:rsidRPr="00212AB4">
        <w:rPr>
          <w:i/>
          <w:lang w:val="sv-SE"/>
        </w:rPr>
        <w:t>-</w:t>
      </w:r>
      <w:r w:rsidR="00D93592" w:rsidRPr="00212AB4">
        <w:rPr>
          <w:i/>
          <w:lang w:val="sv-SE"/>
        </w:rPr>
        <w:t xml:space="preserve">tillväxt </w:t>
      </w:r>
      <w:r w:rsidR="000E0BD9" w:rsidRPr="00212AB4">
        <w:rPr>
          <w:i/>
          <w:lang w:val="sv-SE"/>
        </w:rPr>
        <w:t>på</w:t>
      </w:r>
      <w:r w:rsidR="00D93592" w:rsidRPr="00212AB4">
        <w:rPr>
          <w:i/>
          <w:lang w:val="sv-SE"/>
        </w:rPr>
        <w:t xml:space="preserve"> </w:t>
      </w:r>
      <w:r w:rsidR="00462318" w:rsidRPr="00212AB4">
        <w:rPr>
          <w:i/>
          <w:lang w:val="sv-SE"/>
        </w:rPr>
        <w:t>4,2</w:t>
      </w:r>
      <w:r w:rsidR="00C57563" w:rsidRPr="00212AB4">
        <w:rPr>
          <w:i/>
          <w:lang w:val="sv-SE"/>
        </w:rPr>
        <w:t xml:space="preserve"> </w:t>
      </w:r>
      <w:r w:rsidR="00D93592" w:rsidRPr="00212AB4">
        <w:rPr>
          <w:i/>
          <w:lang w:val="sv-SE"/>
        </w:rPr>
        <w:t>%</w:t>
      </w:r>
      <w:r w:rsidR="00462318" w:rsidRPr="00212AB4">
        <w:rPr>
          <w:i/>
          <w:lang w:val="sv-SE"/>
        </w:rPr>
        <w:t>, en positiv börsutveckling på nära 7</w:t>
      </w:r>
      <w:r w:rsidR="00261745" w:rsidRPr="00212AB4">
        <w:rPr>
          <w:i/>
          <w:lang w:val="sv-SE"/>
        </w:rPr>
        <w:t xml:space="preserve"> </w:t>
      </w:r>
      <w:r w:rsidR="00462318" w:rsidRPr="00212AB4">
        <w:rPr>
          <w:i/>
          <w:lang w:val="sv-SE"/>
        </w:rPr>
        <w:t xml:space="preserve">% och fortsatt </w:t>
      </w:r>
      <w:r w:rsidR="000E0BD9" w:rsidRPr="00212AB4">
        <w:rPr>
          <w:i/>
          <w:lang w:val="sv-SE"/>
        </w:rPr>
        <w:t xml:space="preserve">stigande </w:t>
      </w:r>
      <w:r w:rsidR="00462318" w:rsidRPr="00212AB4">
        <w:rPr>
          <w:i/>
          <w:lang w:val="sv-SE"/>
        </w:rPr>
        <w:t xml:space="preserve">prisutveckling på fastighetsmarknaden bidrog till </w:t>
      </w:r>
      <w:r w:rsidR="00D03E99" w:rsidRPr="00212AB4">
        <w:rPr>
          <w:i/>
          <w:lang w:val="sv-SE"/>
        </w:rPr>
        <w:t>ökningen av svenska dollarmiljonärer un</w:t>
      </w:r>
      <w:r w:rsidR="00907C77" w:rsidRPr="00212AB4">
        <w:rPr>
          <w:i/>
          <w:lang w:val="sv-SE"/>
        </w:rPr>
        <w:t>d</w:t>
      </w:r>
      <w:r w:rsidR="00D03E99" w:rsidRPr="00212AB4">
        <w:rPr>
          <w:i/>
          <w:lang w:val="sv-SE"/>
        </w:rPr>
        <w:t>er 2015</w:t>
      </w:r>
      <w:r w:rsidR="00907C77" w:rsidRPr="00212AB4">
        <w:rPr>
          <w:i/>
          <w:lang w:val="sv-SE"/>
        </w:rPr>
        <w:t xml:space="preserve"> till en ny rekordnivå på över 100 000 personer</w:t>
      </w:r>
      <w:r w:rsidR="00573A78" w:rsidRPr="00212AB4">
        <w:rPr>
          <w:i/>
          <w:lang w:val="sv-SE"/>
        </w:rPr>
        <w:t xml:space="preserve">, </w:t>
      </w:r>
      <w:r w:rsidR="00900170" w:rsidRPr="00212AB4">
        <w:rPr>
          <w:i/>
          <w:lang w:val="sv-SE"/>
        </w:rPr>
        <w:t>säg</w:t>
      </w:r>
      <w:r w:rsidR="007469AD" w:rsidRPr="00212AB4">
        <w:rPr>
          <w:i/>
          <w:lang w:val="sv-SE"/>
        </w:rPr>
        <w:t>er</w:t>
      </w:r>
      <w:r w:rsidRPr="00212AB4">
        <w:rPr>
          <w:lang w:val="sv-SE"/>
        </w:rPr>
        <w:t xml:space="preserve"> Johan Bergström, </w:t>
      </w:r>
      <w:proofErr w:type="spellStart"/>
      <w:r w:rsidRPr="00212AB4">
        <w:rPr>
          <w:lang w:val="sv-SE"/>
        </w:rPr>
        <w:t>Head</w:t>
      </w:r>
      <w:proofErr w:type="spellEnd"/>
      <w:r w:rsidRPr="00212AB4">
        <w:rPr>
          <w:lang w:val="sv-SE"/>
        </w:rPr>
        <w:t xml:space="preserve"> of Financial Services på Capgemini Consulting.</w:t>
      </w:r>
    </w:p>
    <w:p w:rsidR="00AD3E7D" w:rsidRPr="00212AB4" w:rsidRDefault="00AD3E7D" w:rsidP="00F57854">
      <w:pPr>
        <w:spacing w:line="360" w:lineRule="auto"/>
        <w:rPr>
          <w:lang w:val="sv-SE"/>
        </w:rPr>
      </w:pPr>
    </w:p>
    <w:p w:rsidR="0055377A" w:rsidRPr="00212AB4" w:rsidRDefault="00523FEA" w:rsidP="00ED421E">
      <w:pPr>
        <w:spacing w:line="360" w:lineRule="auto"/>
        <w:rPr>
          <w:lang w:val="sv-SE"/>
        </w:rPr>
      </w:pPr>
      <w:r w:rsidRPr="00212AB4">
        <w:rPr>
          <w:lang w:val="sv-SE"/>
        </w:rPr>
        <w:t>Globalt har antalet dollarmiljonärer ökat till 15,4 miljoner personer under 2015, en ökning med</w:t>
      </w:r>
      <w:r w:rsidR="00B41BCE" w:rsidRPr="00212AB4">
        <w:rPr>
          <w:lang w:val="sv-SE"/>
        </w:rPr>
        <w:t xml:space="preserve"> </w:t>
      </w:r>
      <w:r w:rsidR="00DE664B" w:rsidRPr="00212AB4">
        <w:rPr>
          <w:lang w:val="sv-SE"/>
        </w:rPr>
        <w:t>4,9</w:t>
      </w:r>
      <w:r w:rsidRPr="00212AB4">
        <w:rPr>
          <w:lang w:val="sv-SE"/>
        </w:rPr>
        <w:t xml:space="preserve"> % jämfört med föregående år. Samtidigt ökade de</w:t>
      </w:r>
      <w:r w:rsidR="00FE69CA" w:rsidRPr="00212AB4">
        <w:rPr>
          <w:lang w:val="sv-SE"/>
        </w:rPr>
        <w:t>n totala globala förmögenheten</w:t>
      </w:r>
      <w:r w:rsidRPr="00212AB4">
        <w:rPr>
          <w:lang w:val="sv-SE"/>
        </w:rPr>
        <w:t xml:space="preserve"> 4,1 % till 58,7 biljoner USD. </w:t>
      </w:r>
      <w:r w:rsidR="009B4FC7" w:rsidRPr="00212AB4">
        <w:rPr>
          <w:lang w:val="sv-SE"/>
        </w:rPr>
        <w:t xml:space="preserve">Sedan 1996 då den första upplagan av </w:t>
      </w:r>
      <w:r w:rsidR="005C2111" w:rsidRPr="00212AB4">
        <w:rPr>
          <w:lang w:val="sv-SE"/>
        </w:rPr>
        <w:t xml:space="preserve">World </w:t>
      </w:r>
      <w:proofErr w:type="spellStart"/>
      <w:r w:rsidR="005C2111" w:rsidRPr="00212AB4">
        <w:rPr>
          <w:lang w:val="sv-SE"/>
        </w:rPr>
        <w:t>Wealth</w:t>
      </w:r>
      <w:proofErr w:type="spellEnd"/>
      <w:r w:rsidR="005C2111" w:rsidRPr="00212AB4">
        <w:rPr>
          <w:lang w:val="sv-SE"/>
        </w:rPr>
        <w:t xml:space="preserve"> Report</w:t>
      </w:r>
      <w:r w:rsidR="009B4FC7" w:rsidRPr="00212AB4">
        <w:rPr>
          <w:lang w:val="sv-SE"/>
        </w:rPr>
        <w:t xml:space="preserve"> gavs ut har dollarmiljonärernas förmögenhet fyrdubblats</w:t>
      </w:r>
      <w:r w:rsidR="00A220E0" w:rsidRPr="00212AB4">
        <w:rPr>
          <w:lang w:val="sv-SE"/>
        </w:rPr>
        <w:t>.</w:t>
      </w:r>
      <w:r w:rsidR="009B4FC7" w:rsidRPr="00212AB4">
        <w:rPr>
          <w:lang w:val="sv-SE"/>
        </w:rPr>
        <w:t xml:space="preserve"> </w:t>
      </w:r>
      <w:r w:rsidR="00A220E0" w:rsidRPr="00212AB4">
        <w:rPr>
          <w:lang w:val="sv-SE"/>
        </w:rPr>
        <w:t>M</w:t>
      </w:r>
      <w:r w:rsidR="009B4FC7" w:rsidRPr="00212AB4">
        <w:rPr>
          <w:lang w:val="sv-SE"/>
        </w:rPr>
        <w:t>ed</w:t>
      </w:r>
      <w:r w:rsidR="00867E1A" w:rsidRPr="00212AB4">
        <w:rPr>
          <w:lang w:val="sv-SE"/>
        </w:rPr>
        <w:t xml:space="preserve"> </w:t>
      </w:r>
      <w:r w:rsidR="004D7ADA" w:rsidRPr="00212AB4">
        <w:rPr>
          <w:lang w:val="sv-SE"/>
        </w:rPr>
        <w:t>nuvarande tillväxttakt beräknas deras förmögenhet uppgå till c</w:t>
      </w:r>
      <w:r w:rsidR="000E0BD9" w:rsidRPr="00212AB4">
        <w:rPr>
          <w:lang w:val="sv-SE"/>
        </w:rPr>
        <w:t>irka</w:t>
      </w:r>
      <w:r w:rsidR="004D7ADA" w:rsidRPr="00212AB4">
        <w:rPr>
          <w:lang w:val="sv-SE"/>
        </w:rPr>
        <w:t xml:space="preserve"> 100 biljoner USD år 2025.</w:t>
      </w:r>
      <w:r w:rsidR="000E0BD9" w:rsidRPr="00212AB4">
        <w:rPr>
          <w:lang w:val="sv-SE"/>
        </w:rPr>
        <w:t xml:space="preserve"> </w:t>
      </w:r>
    </w:p>
    <w:p w:rsidR="0055377A" w:rsidRPr="00212AB4" w:rsidRDefault="0055377A" w:rsidP="00ED421E">
      <w:pPr>
        <w:spacing w:line="360" w:lineRule="auto"/>
        <w:rPr>
          <w:lang w:val="sv-SE"/>
        </w:rPr>
      </w:pPr>
    </w:p>
    <w:p w:rsidR="00313D56" w:rsidRPr="00212AB4" w:rsidRDefault="00AD3E7D" w:rsidP="00F57854">
      <w:pPr>
        <w:spacing w:line="360" w:lineRule="auto"/>
        <w:rPr>
          <w:lang w:val="sv-SE"/>
        </w:rPr>
      </w:pPr>
      <w:r w:rsidRPr="00212AB4">
        <w:rPr>
          <w:lang w:val="sv-SE"/>
        </w:rPr>
        <w:t xml:space="preserve">För första gången i </w:t>
      </w:r>
      <w:r w:rsidR="00D93592" w:rsidRPr="00212AB4">
        <w:rPr>
          <w:lang w:val="sv-SE"/>
        </w:rPr>
        <w:t xml:space="preserve">World </w:t>
      </w:r>
      <w:proofErr w:type="spellStart"/>
      <w:r w:rsidR="00D93592" w:rsidRPr="00212AB4">
        <w:rPr>
          <w:lang w:val="sv-SE"/>
        </w:rPr>
        <w:t>Wealth</w:t>
      </w:r>
      <w:proofErr w:type="spellEnd"/>
      <w:r w:rsidR="00D93592" w:rsidRPr="00212AB4">
        <w:rPr>
          <w:lang w:val="sv-SE"/>
        </w:rPr>
        <w:t xml:space="preserve"> Report</w:t>
      </w:r>
      <w:r w:rsidR="00953207" w:rsidRPr="00212AB4">
        <w:rPr>
          <w:lang w:val="sv-SE"/>
        </w:rPr>
        <w:t>s</w:t>
      </w:r>
      <w:r w:rsidRPr="00212AB4">
        <w:rPr>
          <w:lang w:val="sv-SE"/>
        </w:rPr>
        <w:t xml:space="preserve"> 20-åriga histor</w:t>
      </w:r>
      <w:r w:rsidR="00D85D89" w:rsidRPr="00212AB4">
        <w:rPr>
          <w:lang w:val="sv-SE"/>
        </w:rPr>
        <w:t xml:space="preserve">ia </w:t>
      </w:r>
      <w:r w:rsidR="008B7BAE" w:rsidRPr="00212AB4">
        <w:rPr>
          <w:lang w:val="sv-SE"/>
        </w:rPr>
        <w:t>toppar</w:t>
      </w:r>
      <w:r w:rsidR="006A571A" w:rsidRPr="00212AB4">
        <w:rPr>
          <w:lang w:val="sv-SE"/>
        </w:rPr>
        <w:t xml:space="preserve"> Asien och Stillahavsområdet</w:t>
      </w:r>
      <w:r w:rsidR="00FE7608" w:rsidRPr="00212AB4">
        <w:rPr>
          <w:lang w:val="sv-SE"/>
        </w:rPr>
        <w:t xml:space="preserve"> världsrankingen</w:t>
      </w:r>
      <w:r w:rsidR="00313D56" w:rsidRPr="00212AB4">
        <w:rPr>
          <w:lang w:val="sv-SE"/>
        </w:rPr>
        <w:t xml:space="preserve"> </w:t>
      </w:r>
      <w:r w:rsidR="008B7BAE" w:rsidRPr="00212AB4">
        <w:rPr>
          <w:lang w:val="sv-SE"/>
        </w:rPr>
        <w:t>med</w:t>
      </w:r>
      <w:r w:rsidR="00FE7608" w:rsidRPr="00212AB4">
        <w:rPr>
          <w:lang w:val="sv-SE"/>
        </w:rPr>
        <w:t xml:space="preserve"> </w:t>
      </w:r>
      <w:r w:rsidR="004E5A9B" w:rsidRPr="00212AB4">
        <w:rPr>
          <w:lang w:val="sv-SE"/>
        </w:rPr>
        <w:t>5,1 miljoner dollarmiljonärer</w:t>
      </w:r>
      <w:r w:rsidR="005C2111" w:rsidRPr="00212AB4">
        <w:rPr>
          <w:lang w:val="sv-SE"/>
        </w:rPr>
        <w:t xml:space="preserve"> och</w:t>
      </w:r>
      <w:r w:rsidR="004E5A9B" w:rsidRPr="00212AB4">
        <w:rPr>
          <w:lang w:val="sv-SE"/>
        </w:rPr>
        <w:t xml:space="preserve"> </w:t>
      </w:r>
      <w:r w:rsidR="00FE7608" w:rsidRPr="00212AB4">
        <w:rPr>
          <w:lang w:val="sv-SE"/>
        </w:rPr>
        <w:t>17,</w:t>
      </w:r>
      <w:r w:rsidR="0022584C" w:rsidRPr="00212AB4">
        <w:rPr>
          <w:lang w:val="sv-SE"/>
        </w:rPr>
        <w:t>4</w:t>
      </w:r>
      <w:r w:rsidR="00FE7608" w:rsidRPr="00212AB4">
        <w:rPr>
          <w:lang w:val="sv-SE"/>
        </w:rPr>
        <w:t xml:space="preserve"> biljoner</w:t>
      </w:r>
      <w:r w:rsidR="00EB4E5A" w:rsidRPr="00212AB4">
        <w:rPr>
          <w:lang w:val="sv-SE"/>
        </w:rPr>
        <w:t xml:space="preserve"> USD</w:t>
      </w:r>
      <w:r w:rsidR="00FE7608" w:rsidRPr="00212AB4">
        <w:rPr>
          <w:lang w:val="sv-SE"/>
        </w:rPr>
        <w:t xml:space="preserve"> i </w:t>
      </w:r>
      <w:r w:rsidR="000E0BD9" w:rsidRPr="00212AB4">
        <w:rPr>
          <w:lang w:val="sv-SE"/>
        </w:rPr>
        <w:t>förmögenhet</w:t>
      </w:r>
      <w:r w:rsidR="00BD5FE1" w:rsidRPr="00212AB4">
        <w:rPr>
          <w:lang w:val="sv-SE"/>
        </w:rPr>
        <w:t xml:space="preserve">. </w:t>
      </w:r>
      <w:r w:rsidR="00313D56" w:rsidRPr="00212AB4">
        <w:rPr>
          <w:lang w:val="sv-SE"/>
        </w:rPr>
        <w:t>I</w:t>
      </w:r>
      <w:r w:rsidR="00BD5FE1" w:rsidRPr="00212AB4">
        <w:rPr>
          <w:lang w:val="sv-SE"/>
        </w:rPr>
        <w:t xml:space="preserve"> Asien och Stillahavsområdet ökade</w:t>
      </w:r>
      <w:r w:rsidR="00313D56" w:rsidRPr="00212AB4">
        <w:rPr>
          <w:lang w:val="sv-SE"/>
        </w:rPr>
        <w:t xml:space="preserve"> antalet dollarmiljonärer</w:t>
      </w:r>
      <w:r w:rsidR="005C2111" w:rsidRPr="00212AB4">
        <w:rPr>
          <w:lang w:val="sv-SE"/>
        </w:rPr>
        <w:t xml:space="preserve"> med </w:t>
      </w:r>
      <w:r w:rsidR="00BF6C02" w:rsidRPr="00212AB4">
        <w:rPr>
          <w:lang w:val="sv-SE"/>
        </w:rPr>
        <w:t xml:space="preserve">närmare </w:t>
      </w:r>
      <w:r w:rsidR="005C2111" w:rsidRPr="00212AB4">
        <w:rPr>
          <w:lang w:val="sv-SE"/>
        </w:rPr>
        <w:t>10</w:t>
      </w:r>
      <w:r w:rsidR="003952CA" w:rsidRPr="00212AB4">
        <w:rPr>
          <w:lang w:val="sv-SE"/>
        </w:rPr>
        <w:t xml:space="preserve"> </w:t>
      </w:r>
      <w:r w:rsidR="005C2111" w:rsidRPr="00212AB4">
        <w:rPr>
          <w:lang w:val="sv-SE"/>
        </w:rPr>
        <w:t xml:space="preserve">% </w:t>
      </w:r>
      <w:r w:rsidR="00BD5FE1" w:rsidRPr="00212AB4">
        <w:rPr>
          <w:lang w:val="sv-SE"/>
        </w:rPr>
        <w:t>från</w:t>
      </w:r>
      <w:r w:rsidR="005C2111" w:rsidRPr="00212AB4">
        <w:rPr>
          <w:lang w:val="sv-SE"/>
        </w:rPr>
        <w:t xml:space="preserve"> 2014</w:t>
      </w:r>
      <w:r w:rsidR="00BD5FE1" w:rsidRPr="00212AB4">
        <w:rPr>
          <w:lang w:val="sv-SE"/>
        </w:rPr>
        <w:t xml:space="preserve"> samtidigt som </w:t>
      </w:r>
      <w:r w:rsidR="005C2111" w:rsidRPr="00212AB4">
        <w:rPr>
          <w:lang w:val="sv-SE"/>
        </w:rPr>
        <w:t>Nordamerika</w:t>
      </w:r>
      <w:r w:rsidR="003B2B4C" w:rsidRPr="00212AB4">
        <w:rPr>
          <w:lang w:val="sv-SE"/>
        </w:rPr>
        <w:t xml:space="preserve"> hade</w:t>
      </w:r>
      <w:r w:rsidR="005C2111" w:rsidRPr="00212AB4">
        <w:rPr>
          <w:lang w:val="sv-SE"/>
        </w:rPr>
        <w:t xml:space="preserve"> en modest tillväxt på 2</w:t>
      </w:r>
      <w:r w:rsidR="003952CA" w:rsidRPr="00212AB4">
        <w:rPr>
          <w:lang w:val="sv-SE"/>
        </w:rPr>
        <w:t xml:space="preserve"> </w:t>
      </w:r>
      <w:r w:rsidR="005C2111" w:rsidRPr="00212AB4">
        <w:rPr>
          <w:lang w:val="sv-SE"/>
        </w:rPr>
        <w:t>%</w:t>
      </w:r>
      <w:r w:rsidR="00BD5FE1" w:rsidRPr="00212AB4">
        <w:rPr>
          <w:lang w:val="sv-SE"/>
        </w:rPr>
        <w:t>.</w:t>
      </w:r>
    </w:p>
    <w:p w:rsidR="00313D56" w:rsidRPr="00212AB4" w:rsidRDefault="00313D56" w:rsidP="00F57854">
      <w:pPr>
        <w:spacing w:line="360" w:lineRule="auto"/>
        <w:rPr>
          <w:lang w:val="sv-SE"/>
        </w:rPr>
      </w:pPr>
    </w:p>
    <w:p w:rsidR="00ED421E" w:rsidRPr="00212AB4" w:rsidRDefault="00ED421E" w:rsidP="00F57854">
      <w:pPr>
        <w:spacing w:line="360" w:lineRule="auto"/>
        <w:rPr>
          <w:lang w:val="sv-SE"/>
        </w:rPr>
      </w:pPr>
      <w:r w:rsidRPr="00212AB4">
        <w:rPr>
          <w:lang w:val="sv-SE"/>
        </w:rPr>
        <w:t>Om Asien och Stillahavsområdet fortsätter med samma tillväxttakt</w:t>
      </w:r>
      <w:r w:rsidR="00EA4395" w:rsidRPr="00212AB4">
        <w:rPr>
          <w:lang w:val="sv-SE"/>
        </w:rPr>
        <w:t xml:space="preserve"> kommer området</w:t>
      </w:r>
      <w:r w:rsidR="00BF6C02" w:rsidRPr="00212AB4">
        <w:rPr>
          <w:lang w:val="sv-SE"/>
        </w:rPr>
        <w:t xml:space="preserve"> att</w:t>
      </w:r>
      <w:r w:rsidR="00EA4395" w:rsidRPr="00212AB4">
        <w:rPr>
          <w:lang w:val="sv-SE"/>
        </w:rPr>
        <w:t xml:space="preserve"> </w:t>
      </w:r>
      <w:r w:rsidRPr="00212AB4">
        <w:rPr>
          <w:lang w:val="sv-SE"/>
        </w:rPr>
        <w:t>stå för två femtedelar av världens rikedomar inom tio års tid, mer än Europas, Latinamerika, Mellanöstern och Afrika tillsammans.</w:t>
      </w:r>
    </w:p>
    <w:p w:rsidR="00344FC4" w:rsidRPr="00212AB4" w:rsidRDefault="00344FC4" w:rsidP="00F57854">
      <w:pPr>
        <w:spacing w:line="360" w:lineRule="auto"/>
        <w:rPr>
          <w:lang w:val="sv-SE"/>
        </w:rPr>
      </w:pPr>
    </w:p>
    <w:p w:rsidR="001E216B" w:rsidRPr="00212AB4" w:rsidRDefault="00ED421E" w:rsidP="00F57854">
      <w:pPr>
        <w:spacing w:line="360" w:lineRule="auto"/>
        <w:rPr>
          <w:lang w:val="sv-SE"/>
        </w:rPr>
      </w:pPr>
      <w:r w:rsidRPr="00212AB4">
        <w:rPr>
          <w:i/>
          <w:lang w:val="sv-SE"/>
        </w:rPr>
        <w:t xml:space="preserve">– Liksom vi </w:t>
      </w:r>
      <w:r w:rsidR="003562F4" w:rsidRPr="00212AB4">
        <w:rPr>
          <w:i/>
          <w:lang w:val="sv-SE"/>
        </w:rPr>
        <w:t xml:space="preserve">förutspått </w:t>
      </w:r>
      <w:r w:rsidRPr="00212AB4">
        <w:rPr>
          <w:i/>
          <w:lang w:val="sv-SE"/>
        </w:rPr>
        <w:t xml:space="preserve">i </w:t>
      </w:r>
      <w:r w:rsidR="004D7ADA" w:rsidRPr="00212AB4">
        <w:rPr>
          <w:i/>
          <w:lang w:val="sv-SE"/>
        </w:rPr>
        <w:t>tidigar</w:t>
      </w:r>
      <w:r w:rsidR="00DB2ECF" w:rsidRPr="00212AB4">
        <w:rPr>
          <w:i/>
          <w:lang w:val="sv-SE"/>
        </w:rPr>
        <w:t xml:space="preserve">e </w:t>
      </w:r>
      <w:r w:rsidR="003B06CA" w:rsidRPr="00212AB4">
        <w:rPr>
          <w:i/>
          <w:lang w:val="sv-SE"/>
        </w:rPr>
        <w:t>r</w:t>
      </w:r>
      <w:r w:rsidRPr="00212AB4">
        <w:rPr>
          <w:i/>
          <w:lang w:val="sv-SE"/>
        </w:rPr>
        <w:t>apport</w:t>
      </w:r>
      <w:r w:rsidR="004D7ADA" w:rsidRPr="00212AB4">
        <w:rPr>
          <w:i/>
          <w:lang w:val="sv-SE"/>
        </w:rPr>
        <w:t>er så</w:t>
      </w:r>
      <w:r w:rsidRPr="00212AB4">
        <w:rPr>
          <w:i/>
          <w:lang w:val="sv-SE"/>
        </w:rPr>
        <w:t xml:space="preserve"> blev 2015 året då Asien och Stillahavsområdet </w:t>
      </w:r>
      <w:r w:rsidR="00261745" w:rsidRPr="00212AB4">
        <w:rPr>
          <w:i/>
          <w:lang w:val="sv-SE"/>
        </w:rPr>
        <w:t>passerade Nordamerika</w:t>
      </w:r>
      <w:r w:rsidRPr="00212AB4">
        <w:rPr>
          <w:i/>
          <w:lang w:val="sv-SE"/>
        </w:rPr>
        <w:t xml:space="preserve"> </w:t>
      </w:r>
      <w:r w:rsidR="004D7ADA" w:rsidRPr="00212AB4">
        <w:rPr>
          <w:i/>
          <w:lang w:val="sv-SE"/>
        </w:rPr>
        <w:t xml:space="preserve">både i antalet </w:t>
      </w:r>
      <w:r w:rsidR="00DB2ECF" w:rsidRPr="00212AB4">
        <w:rPr>
          <w:i/>
          <w:lang w:val="sv-SE"/>
        </w:rPr>
        <w:t>dollarmiljonärer</w:t>
      </w:r>
      <w:r w:rsidR="004D7ADA" w:rsidRPr="00212AB4">
        <w:rPr>
          <w:i/>
          <w:lang w:val="sv-SE"/>
        </w:rPr>
        <w:t xml:space="preserve"> och </w:t>
      </w:r>
      <w:r w:rsidR="003562F4" w:rsidRPr="00212AB4">
        <w:rPr>
          <w:i/>
          <w:lang w:val="sv-SE"/>
        </w:rPr>
        <w:t xml:space="preserve">avseende </w:t>
      </w:r>
      <w:r w:rsidR="004D7ADA" w:rsidRPr="00212AB4">
        <w:rPr>
          <w:i/>
          <w:lang w:val="sv-SE"/>
        </w:rPr>
        <w:t>förmögenhet</w:t>
      </w:r>
      <w:r w:rsidR="003562F4" w:rsidRPr="00212AB4">
        <w:rPr>
          <w:i/>
          <w:lang w:val="sv-SE"/>
        </w:rPr>
        <w:t>snivå</w:t>
      </w:r>
      <w:r w:rsidRPr="00212AB4">
        <w:rPr>
          <w:i/>
          <w:lang w:val="sv-SE"/>
        </w:rPr>
        <w:t xml:space="preserve">, </w:t>
      </w:r>
      <w:r w:rsidRPr="00212AB4">
        <w:rPr>
          <w:lang w:val="sv-SE"/>
        </w:rPr>
        <w:t xml:space="preserve">säger Johan Bergström, </w:t>
      </w:r>
      <w:proofErr w:type="spellStart"/>
      <w:r w:rsidRPr="00212AB4">
        <w:rPr>
          <w:lang w:val="sv-SE"/>
        </w:rPr>
        <w:t>Head</w:t>
      </w:r>
      <w:proofErr w:type="spellEnd"/>
      <w:r w:rsidRPr="00212AB4">
        <w:rPr>
          <w:lang w:val="sv-SE"/>
        </w:rPr>
        <w:t xml:space="preserve"> of Financial Serv</w:t>
      </w:r>
      <w:r w:rsidR="0004065E" w:rsidRPr="00212AB4">
        <w:rPr>
          <w:lang w:val="sv-SE"/>
        </w:rPr>
        <w:t>ices på Capgemini Consulting</w:t>
      </w:r>
      <w:r w:rsidR="004D7ADA" w:rsidRPr="00212AB4">
        <w:rPr>
          <w:lang w:val="sv-SE"/>
        </w:rPr>
        <w:t>,</w:t>
      </w:r>
      <w:r w:rsidR="0004065E" w:rsidRPr="00212AB4">
        <w:rPr>
          <w:lang w:val="sv-SE"/>
        </w:rPr>
        <w:t xml:space="preserve"> men </w:t>
      </w:r>
      <w:r w:rsidRPr="00212AB4">
        <w:rPr>
          <w:lang w:val="sv-SE"/>
        </w:rPr>
        <w:t>tillägger:</w:t>
      </w:r>
    </w:p>
    <w:p w:rsidR="006D4529" w:rsidRPr="00212AB4" w:rsidRDefault="006D4529" w:rsidP="00DF00C7">
      <w:pPr>
        <w:spacing w:line="360" w:lineRule="auto"/>
        <w:rPr>
          <w:i/>
          <w:lang w:val="sv-SE"/>
        </w:rPr>
      </w:pPr>
    </w:p>
    <w:p w:rsidR="00D85D89" w:rsidRPr="00212AB4" w:rsidRDefault="006D4529" w:rsidP="00DF00C7">
      <w:pPr>
        <w:spacing w:line="360" w:lineRule="auto"/>
        <w:rPr>
          <w:i/>
          <w:lang w:val="sv-SE"/>
        </w:rPr>
      </w:pPr>
      <w:r w:rsidRPr="00212AB4">
        <w:rPr>
          <w:i/>
          <w:lang w:val="sv-SE"/>
        </w:rPr>
        <w:lastRenderedPageBreak/>
        <w:t xml:space="preserve">– </w:t>
      </w:r>
      <w:r w:rsidR="0004065E" w:rsidRPr="00212AB4">
        <w:rPr>
          <w:i/>
          <w:lang w:val="sv-SE"/>
        </w:rPr>
        <w:t>Vi ser nu</w:t>
      </w:r>
      <w:r w:rsidRPr="00212AB4">
        <w:rPr>
          <w:i/>
          <w:lang w:val="sv-SE"/>
        </w:rPr>
        <w:t xml:space="preserve"> </w:t>
      </w:r>
      <w:r w:rsidR="00573A78" w:rsidRPr="00212AB4">
        <w:rPr>
          <w:i/>
          <w:lang w:val="sv-SE"/>
        </w:rPr>
        <w:t>tecken på stagnation</w:t>
      </w:r>
      <w:r w:rsidRPr="00212AB4">
        <w:rPr>
          <w:i/>
          <w:lang w:val="sv-SE"/>
        </w:rPr>
        <w:t xml:space="preserve"> </w:t>
      </w:r>
      <w:r w:rsidR="0046342A" w:rsidRPr="00212AB4">
        <w:rPr>
          <w:i/>
          <w:lang w:val="sv-SE"/>
        </w:rPr>
        <w:t xml:space="preserve">både </w:t>
      </w:r>
      <w:r w:rsidRPr="00212AB4">
        <w:rPr>
          <w:i/>
          <w:lang w:val="sv-SE"/>
        </w:rPr>
        <w:t xml:space="preserve">i Sverige och i världen. </w:t>
      </w:r>
      <w:r w:rsidR="00573A78" w:rsidRPr="00212AB4">
        <w:rPr>
          <w:i/>
          <w:lang w:val="sv-SE"/>
        </w:rPr>
        <w:t xml:space="preserve">Tillväxten av dollarmiljonärer </w:t>
      </w:r>
      <w:r w:rsidRPr="00212AB4">
        <w:rPr>
          <w:i/>
          <w:lang w:val="sv-SE"/>
        </w:rPr>
        <w:t xml:space="preserve">i Sverige </w:t>
      </w:r>
      <w:r w:rsidR="00573A78" w:rsidRPr="00212AB4">
        <w:rPr>
          <w:i/>
          <w:lang w:val="sv-SE"/>
        </w:rPr>
        <w:t xml:space="preserve">har minskat jämfört med 2014 och varken börsen eller bostadsmarknaden </w:t>
      </w:r>
      <w:r w:rsidR="00122EC8" w:rsidRPr="00212AB4">
        <w:rPr>
          <w:i/>
          <w:lang w:val="sv-SE"/>
        </w:rPr>
        <w:t>här hemma</w:t>
      </w:r>
      <w:r w:rsidR="003562F4" w:rsidRPr="00212AB4">
        <w:rPr>
          <w:i/>
          <w:lang w:val="sv-SE"/>
        </w:rPr>
        <w:t xml:space="preserve"> </w:t>
      </w:r>
      <w:r w:rsidR="00573A78" w:rsidRPr="00212AB4">
        <w:rPr>
          <w:i/>
          <w:lang w:val="sv-SE"/>
        </w:rPr>
        <w:t xml:space="preserve">visar samma stabila siffror under första halvan av 2016 </w:t>
      </w:r>
      <w:r w:rsidR="00D60243" w:rsidRPr="00212AB4">
        <w:rPr>
          <w:i/>
          <w:lang w:val="sv-SE"/>
        </w:rPr>
        <w:t>som</w:t>
      </w:r>
      <w:r w:rsidR="00573A78" w:rsidRPr="00212AB4">
        <w:rPr>
          <w:i/>
          <w:lang w:val="sv-SE"/>
        </w:rPr>
        <w:t xml:space="preserve"> motsvarande period </w:t>
      </w:r>
      <w:r w:rsidRPr="00212AB4">
        <w:rPr>
          <w:i/>
          <w:lang w:val="sv-SE"/>
        </w:rPr>
        <w:t>förra året.</w:t>
      </w:r>
      <w:r w:rsidR="0046342A" w:rsidRPr="00212AB4">
        <w:rPr>
          <w:i/>
          <w:lang w:val="sv-SE"/>
        </w:rPr>
        <w:t xml:space="preserve"> Nordamerika hade en </w:t>
      </w:r>
      <w:r w:rsidR="002F5E45">
        <w:rPr>
          <w:i/>
          <w:lang w:val="sv-SE"/>
        </w:rPr>
        <w:t xml:space="preserve">minskad </w:t>
      </w:r>
      <w:r w:rsidR="0046342A" w:rsidRPr="00212AB4">
        <w:rPr>
          <w:i/>
          <w:lang w:val="sv-SE"/>
        </w:rPr>
        <w:t xml:space="preserve">tillväxt av </w:t>
      </w:r>
      <w:r w:rsidR="00D662EB" w:rsidRPr="00212AB4">
        <w:rPr>
          <w:i/>
          <w:lang w:val="sv-SE"/>
        </w:rPr>
        <w:t xml:space="preserve">miljonärer 2015, och det finns en </w:t>
      </w:r>
      <w:r w:rsidR="00356C39" w:rsidRPr="00212AB4">
        <w:rPr>
          <w:i/>
          <w:lang w:val="sv-SE"/>
        </w:rPr>
        <w:t>osäkerhet k</w:t>
      </w:r>
      <w:bookmarkStart w:id="0" w:name="_GoBack"/>
      <w:bookmarkEnd w:id="0"/>
      <w:r w:rsidR="00356C39" w:rsidRPr="00212AB4">
        <w:rPr>
          <w:i/>
          <w:lang w:val="sv-SE"/>
        </w:rPr>
        <w:t>ring</w:t>
      </w:r>
      <w:r w:rsidR="007469AD" w:rsidRPr="00212AB4">
        <w:rPr>
          <w:i/>
          <w:lang w:val="sv-SE"/>
        </w:rPr>
        <w:t xml:space="preserve"> </w:t>
      </w:r>
      <w:r w:rsidR="00D662EB" w:rsidRPr="00212AB4">
        <w:rPr>
          <w:i/>
          <w:lang w:val="sv-SE"/>
        </w:rPr>
        <w:t xml:space="preserve">utvecklingen av </w:t>
      </w:r>
      <w:r w:rsidR="006F26E8" w:rsidRPr="00212AB4">
        <w:rPr>
          <w:i/>
          <w:lang w:val="sv-SE"/>
        </w:rPr>
        <w:t>Kina</w:t>
      </w:r>
      <w:r w:rsidR="00D662EB" w:rsidRPr="00212AB4">
        <w:rPr>
          <w:i/>
          <w:lang w:val="sv-SE"/>
        </w:rPr>
        <w:t>s ekonomiska utveckling</w:t>
      </w:r>
      <w:r w:rsidRPr="00212AB4">
        <w:rPr>
          <w:i/>
          <w:lang w:val="sv-SE"/>
        </w:rPr>
        <w:t xml:space="preserve"> som t</w:t>
      </w:r>
      <w:r w:rsidR="00356C39" w:rsidRPr="00212AB4">
        <w:rPr>
          <w:i/>
          <w:lang w:val="sv-SE"/>
        </w:rPr>
        <w:t>illsammans med Japan</w:t>
      </w:r>
      <w:r w:rsidR="00D75C8F" w:rsidRPr="00212AB4">
        <w:rPr>
          <w:i/>
          <w:lang w:val="sv-SE"/>
        </w:rPr>
        <w:t xml:space="preserve"> stå</w:t>
      </w:r>
      <w:r w:rsidRPr="00212AB4">
        <w:rPr>
          <w:i/>
          <w:lang w:val="sv-SE"/>
        </w:rPr>
        <w:t xml:space="preserve">tt </w:t>
      </w:r>
      <w:r w:rsidR="00D75C8F" w:rsidRPr="00212AB4">
        <w:rPr>
          <w:i/>
          <w:lang w:val="sv-SE"/>
        </w:rPr>
        <w:t>för nästan 60 % av tillväxten av antalet dollarmiljonärer</w:t>
      </w:r>
      <w:r w:rsidRPr="00212AB4">
        <w:rPr>
          <w:i/>
          <w:lang w:val="sv-SE"/>
        </w:rPr>
        <w:t>.</w:t>
      </w:r>
      <w:r w:rsidR="001E216B" w:rsidRPr="00212AB4">
        <w:rPr>
          <w:i/>
          <w:lang w:val="sv-SE"/>
        </w:rPr>
        <w:t xml:space="preserve"> </w:t>
      </w:r>
    </w:p>
    <w:p w:rsidR="009A25E2" w:rsidRPr="00212AB4" w:rsidRDefault="009A25E2" w:rsidP="00D469EE">
      <w:pPr>
        <w:spacing w:line="360" w:lineRule="auto"/>
        <w:rPr>
          <w:strike/>
          <w:lang w:val="sv-SE"/>
        </w:rPr>
      </w:pPr>
    </w:p>
    <w:p w:rsidR="00444A1F" w:rsidRPr="00212AB4" w:rsidRDefault="00444A1F" w:rsidP="00444A1F">
      <w:pPr>
        <w:spacing w:line="360" w:lineRule="auto"/>
        <w:rPr>
          <w:lang w:val="sv-SE"/>
        </w:rPr>
      </w:pPr>
      <w:r w:rsidRPr="00212AB4">
        <w:rPr>
          <w:lang w:val="sv-SE"/>
        </w:rPr>
        <w:t xml:space="preserve">Enligt årets World </w:t>
      </w:r>
      <w:proofErr w:type="spellStart"/>
      <w:r w:rsidRPr="00212AB4">
        <w:rPr>
          <w:lang w:val="sv-SE"/>
        </w:rPr>
        <w:t>Wealth</w:t>
      </w:r>
      <w:proofErr w:type="spellEnd"/>
      <w:r w:rsidRPr="00212AB4">
        <w:rPr>
          <w:lang w:val="sv-SE"/>
        </w:rPr>
        <w:t xml:space="preserve"> Report fördelar sig globalt dollarmiljonärernas förmögenheter i 2</w:t>
      </w:r>
      <w:r w:rsidR="00DB2ECF" w:rsidRPr="00212AB4">
        <w:rPr>
          <w:lang w:val="sv-SE"/>
        </w:rPr>
        <w:t>4</w:t>
      </w:r>
      <w:r w:rsidRPr="00212AB4">
        <w:rPr>
          <w:lang w:val="sv-SE"/>
        </w:rPr>
        <w:t>,8 % aktier, 23,5% kontanter, 17,9 % fastigheter, 18</w:t>
      </w:r>
      <w:r w:rsidR="00261745" w:rsidRPr="00212AB4">
        <w:rPr>
          <w:lang w:val="sv-SE"/>
        </w:rPr>
        <w:t xml:space="preserve"> </w:t>
      </w:r>
      <w:r w:rsidRPr="00212AB4">
        <w:rPr>
          <w:lang w:val="sv-SE"/>
        </w:rPr>
        <w:t>% räntebärande papper, och 15,</w:t>
      </w:r>
      <w:r w:rsidR="007008DE" w:rsidRPr="00212AB4">
        <w:rPr>
          <w:lang w:val="sv-SE"/>
        </w:rPr>
        <w:t>8</w:t>
      </w:r>
      <w:r w:rsidRPr="00212AB4">
        <w:rPr>
          <w:lang w:val="sv-SE"/>
        </w:rPr>
        <w:t xml:space="preserve"> % alternativa investeringar. </w:t>
      </w:r>
    </w:p>
    <w:p w:rsidR="003438E4" w:rsidRDefault="003438E4" w:rsidP="00201343">
      <w:pPr>
        <w:spacing w:line="360" w:lineRule="auto"/>
        <w:rPr>
          <w:lang w:val="sv-SE"/>
        </w:rPr>
      </w:pPr>
    </w:p>
    <w:p w:rsidR="00BF4596" w:rsidRDefault="00BF4596" w:rsidP="00BF4596">
      <w:pPr>
        <w:spacing w:line="360" w:lineRule="auto"/>
        <w:jc w:val="center"/>
        <w:rPr>
          <w:lang w:val="sv-SE"/>
        </w:rPr>
      </w:pPr>
      <w:r>
        <w:rPr>
          <w:lang w:val="sv-SE"/>
        </w:rPr>
        <w:t>***</w:t>
      </w:r>
    </w:p>
    <w:p w:rsidR="00BF4596" w:rsidRPr="00212AB4" w:rsidRDefault="00BF4596" w:rsidP="00201343">
      <w:pPr>
        <w:spacing w:line="360" w:lineRule="auto"/>
        <w:rPr>
          <w:lang w:val="sv-SE"/>
        </w:rPr>
      </w:pPr>
    </w:p>
    <w:p w:rsidR="00F57854" w:rsidRPr="00212AB4" w:rsidRDefault="00D93592" w:rsidP="00F57854">
      <w:pPr>
        <w:spacing w:line="360" w:lineRule="auto"/>
        <w:rPr>
          <w:b/>
          <w:lang w:val="sv-SE"/>
        </w:rPr>
      </w:pPr>
      <w:r w:rsidRPr="00212AB4">
        <w:rPr>
          <w:b/>
          <w:lang w:val="sv-SE"/>
        </w:rPr>
        <w:t xml:space="preserve">Om World </w:t>
      </w:r>
      <w:proofErr w:type="spellStart"/>
      <w:r w:rsidRPr="00212AB4">
        <w:rPr>
          <w:b/>
          <w:lang w:val="sv-SE"/>
        </w:rPr>
        <w:t>Wealth</w:t>
      </w:r>
      <w:proofErr w:type="spellEnd"/>
      <w:r w:rsidRPr="00212AB4">
        <w:rPr>
          <w:b/>
          <w:lang w:val="sv-SE"/>
        </w:rPr>
        <w:t xml:space="preserve"> Report 2016</w:t>
      </w:r>
    </w:p>
    <w:p w:rsidR="00422C02" w:rsidRPr="00212AB4" w:rsidRDefault="006A571A" w:rsidP="00F57854">
      <w:pPr>
        <w:pStyle w:val="NoSpacing"/>
        <w:spacing w:line="360" w:lineRule="auto"/>
        <w:rPr>
          <w:rFonts w:ascii="Times New Roman" w:hAnsi="Times New Roman" w:cs="Times New Roman"/>
          <w:sz w:val="20"/>
          <w:szCs w:val="20"/>
        </w:rPr>
      </w:pPr>
      <w:r w:rsidRPr="00212AB4">
        <w:rPr>
          <w:rFonts w:ascii="Times New Roman" w:hAnsi="Times New Roman" w:cs="Times New Roman"/>
          <w:sz w:val="20"/>
          <w:szCs w:val="20"/>
        </w:rPr>
        <w:t xml:space="preserve">World </w:t>
      </w:r>
      <w:proofErr w:type="spellStart"/>
      <w:r w:rsidRPr="00212AB4">
        <w:rPr>
          <w:rFonts w:ascii="Times New Roman" w:hAnsi="Times New Roman" w:cs="Times New Roman"/>
          <w:sz w:val="20"/>
          <w:szCs w:val="20"/>
        </w:rPr>
        <w:t>Wealth</w:t>
      </w:r>
      <w:proofErr w:type="spellEnd"/>
      <w:r w:rsidRPr="00212AB4">
        <w:rPr>
          <w:rFonts w:ascii="Times New Roman" w:hAnsi="Times New Roman" w:cs="Times New Roman"/>
          <w:sz w:val="20"/>
          <w:szCs w:val="20"/>
        </w:rPr>
        <w:t xml:space="preserve"> Report från Capgemini och RBC </w:t>
      </w:r>
      <w:proofErr w:type="spellStart"/>
      <w:r w:rsidRPr="00212AB4">
        <w:rPr>
          <w:rFonts w:ascii="Times New Roman" w:hAnsi="Times New Roman" w:cs="Times New Roman"/>
          <w:sz w:val="20"/>
          <w:szCs w:val="20"/>
        </w:rPr>
        <w:t>Wealth</w:t>
      </w:r>
      <w:proofErr w:type="spellEnd"/>
      <w:r w:rsidRPr="00212AB4">
        <w:rPr>
          <w:rFonts w:ascii="Times New Roman" w:hAnsi="Times New Roman" w:cs="Times New Roman"/>
          <w:sz w:val="20"/>
          <w:szCs w:val="20"/>
        </w:rPr>
        <w:t xml:space="preserve"> Management har genomförts för tjugonde året i rad och läses av företagsledare inom bank-, finans- och försäkringsbranscherna runt om i världen. Undersökningen kartlägger personer som har en förmögenhet på mer än en miljon dollar i </w:t>
      </w:r>
      <w:proofErr w:type="spellStart"/>
      <w:r w:rsidRPr="00212AB4">
        <w:rPr>
          <w:rFonts w:ascii="Times New Roman" w:hAnsi="Times New Roman" w:cs="Times New Roman"/>
          <w:sz w:val="20"/>
          <w:szCs w:val="20"/>
        </w:rPr>
        <w:t>investeringsbara</w:t>
      </w:r>
      <w:proofErr w:type="spellEnd"/>
      <w:r w:rsidRPr="00212AB4">
        <w:rPr>
          <w:rFonts w:ascii="Times New Roman" w:hAnsi="Times New Roman" w:cs="Times New Roman"/>
          <w:sz w:val="20"/>
          <w:szCs w:val="20"/>
        </w:rPr>
        <w:t xml:space="preserve"> tillgångar exklusive värdet av primär bostad och samlarföremål, så kallade High Net Worth </w:t>
      </w:r>
      <w:proofErr w:type="spellStart"/>
      <w:r w:rsidRPr="00212AB4">
        <w:rPr>
          <w:rFonts w:ascii="Times New Roman" w:hAnsi="Times New Roman" w:cs="Times New Roman"/>
          <w:sz w:val="20"/>
          <w:szCs w:val="20"/>
        </w:rPr>
        <w:t>Individuals</w:t>
      </w:r>
      <w:proofErr w:type="spellEnd"/>
      <w:r w:rsidRPr="00212AB4">
        <w:rPr>
          <w:rFonts w:ascii="Times New Roman" w:hAnsi="Times New Roman" w:cs="Times New Roman"/>
          <w:sz w:val="20"/>
          <w:szCs w:val="20"/>
        </w:rPr>
        <w:t xml:space="preserve"> (HNWI). Rapporten tas fram på makroekonomisk nivå, till skillnad från beräkningar som görs på individernas förmögenhetsdeklarationer. Det är den enda rapporten som på ett omfattande sätt beskriver världens dollarmiljonärer och som har genomförts under så lång tid som tjugo år. Rapporten inkluderar undersökningen </w:t>
      </w:r>
      <w:r w:rsidRPr="00212AB4">
        <w:rPr>
          <w:rFonts w:ascii="Times New Roman" w:eastAsia="Times New Roman" w:hAnsi="Times New Roman" w:cs="Times New Roman"/>
          <w:sz w:val="20"/>
          <w:szCs w:val="20"/>
        </w:rPr>
        <w:t xml:space="preserve">Global </w:t>
      </w:r>
      <w:r w:rsidRPr="00212AB4">
        <w:rPr>
          <w:rFonts w:ascii="Times New Roman" w:eastAsia="MS Mincho" w:hAnsi="Times New Roman" w:cs="Times New Roman"/>
          <w:bCs/>
          <w:kern w:val="2"/>
          <w:sz w:val="20"/>
          <w:szCs w:val="20"/>
        </w:rPr>
        <w:t xml:space="preserve">High Net Worth </w:t>
      </w:r>
      <w:proofErr w:type="spellStart"/>
      <w:r w:rsidRPr="00212AB4">
        <w:rPr>
          <w:rFonts w:ascii="Times New Roman" w:eastAsia="MS Mincho" w:hAnsi="Times New Roman" w:cs="Times New Roman"/>
          <w:bCs/>
          <w:kern w:val="2"/>
          <w:sz w:val="20"/>
          <w:szCs w:val="20"/>
        </w:rPr>
        <w:t>Insights</w:t>
      </w:r>
      <w:proofErr w:type="spellEnd"/>
      <w:r w:rsidRPr="00212AB4">
        <w:rPr>
          <w:rFonts w:ascii="Times New Roman" w:eastAsia="MS Mincho" w:hAnsi="Times New Roman" w:cs="Times New Roman"/>
          <w:bCs/>
          <w:kern w:val="2"/>
          <w:sz w:val="20"/>
          <w:szCs w:val="20"/>
        </w:rPr>
        <w:t xml:space="preserve"> </w:t>
      </w:r>
      <w:proofErr w:type="spellStart"/>
      <w:r w:rsidRPr="00212AB4">
        <w:rPr>
          <w:rFonts w:ascii="Times New Roman" w:eastAsia="MS Mincho" w:hAnsi="Times New Roman" w:cs="Times New Roman"/>
          <w:bCs/>
          <w:kern w:val="2"/>
          <w:sz w:val="20"/>
          <w:szCs w:val="20"/>
        </w:rPr>
        <w:t>Survey</w:t>
      </w:r>
      <w:proofErr w:type="spellEnd"/>
      <w:r w:rsidR="00422C02" w:rsidRPr="00212AB4">
        <w:rPr>
          <w:rFonts w:ascii="Times New Roman" w:hAnsi="Times New Roman" w:cs="Times New Roman"/>
          <w:sz w:val="20"/>
          <w:szCs w:val="20"/>
        </w:rPr>
        <w:t xml:space="preserve"> där 5 2</w:t>
      </w:r>
      <w:r w:rsidRPr="00212AB4">
        <w:rPr>
          <w:rFonts w:ascii="Times New Roman" w:hAnsi="Times New Roman" w:cs="Times New Roman"/>
          <w:sz w:val="20"/>
          <w:szCs w:val="20"/>
        </w:rPr>
        <w:t xml:space="preserve">00 dollarmiljonärer i 23 länder svarar på frågor om sina förtroendenivåer, kapitalplaceringsbeslut samt sina preferenser gällande kapitalförvaltning. </w:t>
      </w:r>
    </w:p>
    <w:p w:rsidR="00F57854" w:rsidRPr="00212AB4" w:rsidRDefault="00F57854" w:rsidP="00F57854">
      <w:pPr>
        <w:rPr>
          <w:lang w:val="sv-SE"/>
        </w:rPr>
      </w:pPr>
    </w:p>
    <w:p w:rsidR="00F57854" w:rsidRPr="00212AB4" w:rsidRDefault="006A571A" w:rsidP="00F57854">
      <w:pPr>
        <w:rPr>
          <w:color w:val="0000FF"/>
          <w:u w:val="single"/>
          <w:lang w:val="sv-SE"/>
        </w:rPr>
      </w:pPr>
      <w:r w:rsidRPr="00212AB4">
        <w:rPr>
          <w:lang w:val="sv-SE"/>
        </w:rPr>
        <w:t xml:space="preserve">För mer information eller för att ladda ner rapporten besök </w:t>
      </w:r>
      <w:r w:rsidR="008E03E1" w:rsidRPr="008E03E1">
        <w:rPr>
          <w:color w:val="0000FF"/>
          <w:u w:val="single"/>
          <w:lang w:val="sv-SE"/>
        </w:rPr>
        <w:fldChar w:fldCharType="begin"/>
      </w:r>
      <w:r w:rsidRPr="00212AB4">
        <w:rPr>
          <w:color w:val="0000FF"/>
          <w:u w:val="single"/>
          <w:lang w:val="sv-SE"/>
        </w:rPr>
        <w:instrText>HYPERLINK "http://www.worldwealthreport.com/"</w:instrText>
      </w:r>
      <w:r w:rsidR="008E03E1" w:rsidRPr="008E03E1">
        <w:rPr>
          <w:color w:val="0000FF"/>
          <w:u w:val="single"/>
          <w:lang w:val="sv-SE"/>
        </w:rPr>
        <w:fldChar w:fldCharType="separate"/>
      </w:r>
      <w:r w:rsidR="00F57854" w:rsidRPr="00212AB4">
        <w:rPr>
          <w:color w:val="0000FF"/>
          <w:u w:val="single"/>
          <w:lang w:val="sv-SE"/>
        </w:rPr>
        <w:t>www.worldwealthreport.com</w:t>
      </w:r>
    </w:p>
    <w:p w:rsidR="00D93592" w:rsidRPr="00212AB4" w:rsidRDefault="008E03E1" w:rsidP="00F57854">
      <w:pPr>
        <w:pStyle w:val="NoSpacing"/>
        <w:spacing w:line="360" w:lineRule="auto"/>
        <w:rPr>
          <w:rFonts w:ascii="Times New Roman" w:hAnsi="Times New Roman" w:cs="Times New Roman"/>
          <w:color w:val="0000FF"/>
          <w:sz w:val="20"/>
          <w:szCs w:val="20"/>
          <w:u w:val="single"/>
        </w:rPr>
      </w:pPr>
      <w:r w:rsidRPr="00212AB4">
        <w:rPr>
          <w:rFonts w:ascii="Times New Roman" w:hAnsi="Times New Roman" w:cs="Times New Roman"/>
          <w:color w:val="0000FF"/>
          <w:sz w:val="20"/>
          <w:szCs w:val="20"/>
          <w:u w:val="single"/>
        </w:rPr>
        <w:fldChar w:fldCharType="end"/>
      </w:r>
    </w:p>
    <w:p w:rsidR="00D92D0C" w:rsidRPr="00212AB4" w:rsidRDefault="00FA275B" w:rsidP="00D92D0C">
      <w:pPr>
        <w:pStyle w:val="NormalWeb"/>
        <w:shd w:val="clear" w:color="auto" w:fill="FFFFFF"/>
        <w:spacing w:before="0" w:beforeAutospacing="0" w:after="0" w:afterAutospacing="0" w:line="360" w:lineRule="auto"/>
        <w:textAlignment w:val="baseline"/>
        <w:rPr>
          <w:rFonts w:ascii="Times New Roman" w:hAnsi="Times New Roman" w:cs="Times New Roman"/>
          <w:color w:val="000000"/>
          <w:spacing w:val="2"/>
          <w:sz w:val="20"/>
          <w:szCs w:val="20"/>
          <w:lang w:val="sv-SE"/>
        </w:rPr>
      </w:pPr>
      <w:r w:rsidRPr="00212AB4">
        <w:rPr>
          <w:rStyle w:val="Strong"/>
          <w:rFonts w:ascii="Times New Roman" w:hAnsi="Times New Roman" w:cs="Times New Roman"/>
          <w:sz w:val="20"/>
          <w:szCs w:val="20"/>
          <w:lang w:val="sv-SE"/>
        </w:rPr>
        <w:t>Om Capgemini</w:t>
      </w:r>
      <w:r w:rsidR="00095946" w:rsidRPr="00212AB4">
        <w:rPr>
          <w:rStyle w:val="Strong"/>
          <w:rFonts w:ascii="Times New Roman" w:hAnsi="Times New Roman" w:cs="Times New Roman"/>
          <w:sz w:val="20"/>
          <w:szCs w:val="20"/>
          <w:lang w:val="sv-SE"/>
        </w:rPr>
        <w:br/>
      </w:r>
      <w:r w:rsidR="00D92D0C" w:rsidRPr="00212AB4">
        <w:rPr>
          <w:rFonts w:ascii="Times New Roman" w:hAnsi="Times New Roman" w:cs="Times New Roman"/>
          <w:color w:val="000000"/>
          <w:spacing w:val="2"/>
          <w:sz w:val="20"/>
          <w:szCs w:val="20"/>
          <w:lang w:val="sv-SE"/>
        </w:rPr>
        <w:t xml:space="preserve">Med fler än 180 000 anställda i 40 länder är Capgemini en av världens främsta leverantörer av management-, teknik- och </w:t>
      </w:r>
      <w:proofErr w:type="spellStart"/>
      <w:r w:rsidR="00D92D0C" w:rsidRPr="00212AB4">
        <w:rPr>
          <w:rFonts w:ascii="Times New Roman" w:hAnsi="Times New Roman" w:cs="Times New Roman"/>
          <w:color w:val="000000"/>
          <w:spacing w:val="2"/>
          <w:sz w:val="20"/>
          <w:szCs w:val="20"/>
          <w:lang w:val="sv-SE"/>
        </w:rPr>
        <w:t>outsourcingtjänster</w:t>
      </w:r>
      <w:proofErr w:type="spellEnd"/>
      <w:r w:rsidR="00D92D0C" w:rsidRPr="00212AB4">
        <w:rPr>
          <w:rFonts w:ascii="Times New Roman" w:hAnsi="Times New Roman" w:cs="Times New Roman"/>
          <w:color w:val="000000"/>
          <w:spacing w:val="2"/>
          <w:sz w:val="20"/>
          <w:szCs w:val="20"/>
          <w:lang w:val="sv-SE"/>
        </w:rPr>
        <w:t>. 2015 rapporterade gruppen en omsättning på 11,9 miljarder Euro. Tillsammans med våra kunder, skapar och levererar vi på Capgemini verksamhets-, teknik- och digitala lösningar som motsvarar kundernas affärsbehov och möjliggör innovation och konkurrenskraft. En stark multikulturell organisation har gett oss möjligheten att utveckla ett unikt sätt att samarbeta,</w:t>
      </w:r>
      <w:r w:rsidR="00D92D0C" w:rsidRPr="00212AB4">
        <w:rPr>
          <w:rStyle w:val="apple-converted-space"/>
          <w:rFonts w:ascii="Times New Roman" w:hAnsi="Times New Roman" w:cs="Times New Roman"/>
          <w:color w:val="000000"/>
          <w:spacing w:val="2"/>
          <w:sz w:val="20"/>
          <w:szCs w:val="20"/>
          <w:lang w:val="sv-SE"/>
        </w:rPr>
        <w:t> </w:t>
      </w:r>
      <w:hyperlink r:id="rId9" w:tgtFrame="_blank" w:history="1">
        <w:r w:rsidR="00D92D0C" w:rsidRPr="00212AB4">
          <w:rPr>
            <w:rStyle w:val="Hyperlink"/>
            <w:rFonts w:ascii="Times New Roman" w:hAnsi="Times New Roman" w:cs="Times New Roman"/>
            <w:spacing w:val="2"/>
            <w:sz w:val="20"/>
            <w:szCs w:val="20"/>
            <w:bdr w:val="none" w:sz="0" w:space="0" w:color="auto" w:frame="1"/>
            <w:lang w:val="sv-SE"/>
          </w:rPr>
          <w:t xml:space="preserve">Collaborative Business </w:t>
        </w:r>
        <w:proofErr w:type="spellStart"/>
        <w:r w:rsidR="00D92D0C" w:rsidRPr="00212AB4">
          <w:rPr>
            <w:rStyle w:val="Hyperlink"/>
            <w:rFonts w:ascii="Times New Roman" w:hAnsi="Times New Roman" w:cs="Times New Roman"/>
            <w:spacing w:val="2"/>
            <w:sz w:val="20"/>
            <w:szCs w:val="20"/>
            <w:bdr w:val="none" w:sz="0" w:space="0" w:color="auto" w:frame="1"/>
            <w:lang w:val="sv-SE"/>
          </w:rPr>
          <w:t>Experience™</w:t>
        </w:r>
        <w:proofErr w:type="spellEnd"/>
        <w:r w:rsidR="00D92D0C" w:rsidRPr="00212AB4">
          <w:rPr>
            <w:rStyle w:val="Hyperlink"/>
            <w:rFonts w:ascii="Times New Roman" w:hAnsi="Times New Roman" w:cs="Times New Roman"/>
            <w:spacing w:val="2"/>
            <w:sz w:val="20"/>
            <w:szCs w:val="20"/>
            <w:bdr w:val="none" w:sz="0" w:space="0" w:color="auto" w:frame="1"/>
            <w:lang w:val="sv-SE"/>
          </w:rPr>
          <w:t>,</w:t>
        </w:r>
      </w:hyperlink>
      <w:r w:rsidR="00D92D0C" w:rsidRPr="00212AB4">
        <w:rPr>
          <w:rStyle w:val="apple-converted-space"/>
          <w:rFonts w:ascii="Times New Roman" w:hAnsi="Times New Roman" w:cs="Times New Roman"/>
          <w:color w:val="000000"/>
          <w:spacing w:val="2"/>
          <w:sz w:val="20"/>
          <w:szCs w:val="20"/>
          <w:lang w:val="sv-SE"/>
        </w:rPr>
        <w:t> </w:t>
      </w:r>
      <w:r w:rsidR="00D92D0C" w:rsidRPr="00212AB4">
        <w:rPr>
          <w:rFonts w:ascii="Times New Roman" w:hAnsi="Times New Roman" w:cs="Times New Roman"/>
          <w:color w:val="000000"/>
          <w:spacing w:val="2"/>
          <w:sz w:val="20"/>
          <w:szCs w:val="20"/>
          <w:lang w:val="sv-SE"/>
        </w:rPr>
        <w:t>som bygger på</w:t>
      </w:r>
      <w:r w:rsidR="00D92D0C" w:rsidRPr="00212AB4">
        <w:rPr>
          <w:rStyle w:val="apple-converted-space"/>
          <w:rFonts w:ascii="Times New Roman" w:hAnsi="Times New Roman" w:cs="Times New Roman"/>
          <w:color w:val="000000"/>
          <w:spacing w:val="2"/>
          <w:sz w:val="20"/>
          <w:szCs w:val="20"/>
          <w:lang w:val="sv-SE"/>
        </w:rPr>
        <w:t> </w:t>
      </w:r>
      <w:proofErr w:type="spellStart"/>
      <w:r w:rsidR="008E03E1" w:rsidRPr="00212AB4">
        <w:rPr>
          <w:lang w:val="sv-SE"/>
        </w:rPr>
        <w:fldChar w:fldCharType="begin"/>
      </w:r>
      <w:r w:rsidR="00D34DD1" w:rsidRPr="00212AB4">
        <w:rPr>
          <w:lang w:val="sv-SE"/>
        </w:rPr>
        <w:instrText>HYPERLINK "http://www.capgemini.com/about/how-we-work/rightshorer" \t "_blank"</w:instrText>
      </w:r>
      <w:r w:rsidR="008E03E1" w:rsidRPr="00212AB4">
        <w:rPr>
          <w:lang w:val="sv-SE"/>
        </w:rPr>
        <w:fldChar w:fldCharType="separate"/>
      </w:r>
      <w:r w:rsidR="00D92D0C" w:rsidRPr="00212AB4">
        <w:rPr>
          <w:rStyle w:val="Hyperlink"/>
          <w:rFonts w:ascii="Times New Roman" w:hAnsi="Times New Roman" w:cs="Times New Roman"/>
          <w:spacing w:val="2"/>
          <w:sz w:val="20"/>
          <w:szCs w:val="20"/>
          <w:bdr w:val="none" w:sz="0" w:space="0" w:color="auto" w:frame="1"/>
          <w:lang w:val="sv-SE"/>
        </w:rPr>
        <w:t>Rightshore</w:t>
      </w:r>
      <w:proofErr w:type="spellEnd"/>
      <w:r w:rsidR="00D92D0C" w:rsidRPr="00212AB4">
        <w:rPr>
          <w:rStyle w:val="Hyperlink"/>
          <w:rFonts w:ascii="Times New Roman" w:hAnsi="Times New Roman" w:cs="Times New Roman"/>
          <w:spacing w:val="2"/>
          <w:sz w:val="20"/>
          <w:szCs w:val="20"/>
          <w:bdr w:val="none" w:sz="0" w:space="0" w:color="auto" w:frame="1"/>
          <w:lang w:val="sv-SE"/>
        </w:rPr>
        <w:t>®,</w:t>
      </w:r>
      <w:r w:rsidR="008E03E1" w:rsidRPr="00212AB4">
        <w:rPr>
          <w:lang w:val="sv-SE"/>
        </w:rPr>
        <w:fldChar w:fldCharType="end"/>
      </w:r>
      <w:r w:rsidR="00D92D0C" w:rsidRPr="00212AB4">
        <w:rPr>
          <w:rStyle w:val="apple-converted-space"/>
          <w:rFonts w:ascii="Times New Roman" w:hAnsi="Times New Roman" w:cs="Times New Roman"/>
          <w:color w:val="000000"/>
          <w:spacing w:val="2"/>
          <w:sz w:val="20"/>
          <w:szCs w:val="20"/>
          <w:lang w:val="sv-SE"/>
        </w:rPr>
        <w:t> </w:t>
      </w:r>
      <w:r w:rsidR="00D92D0C" w:rsidRPr="00212AB4">
        <w:rPr>
          <w:rFonts w:ascii="Times New Roman" w:hAnsi="Times New Roman" w:cs="Times New Roman"/>
          <w:color w:val="000000"/>
          <w:spacing w:val="2"/>
          <w:sz w:val="20"/>
          <w:szCs w:val="20"/>
          <w:lang w:val="sv-SE"/>
        </w:rPr>
        <w:t>vår globala leveransmodell.</w:t>
      </w:r>
    </w:p>
    <w:p w:rsidR="00D92D0C" w:rsidRPr="00212AB4" w:rsidRDefault="00D92D0C" w:rsidP="00D92D0C">
      <w:pPr>
        <w:pStyle w:val="NormalWeb"/>
        <w:shd w:val="clear" w:color="auto" w:fill="FFFFFF"/>
        <w:spacing w:before="0" w:beforeAutospacing="0" w:after="0" w:afterAutospacing="0" w:line="360" w:lineRule="auto"/>
        <w:textAlignment w:val="baseline"/>
        <w:rPr>
          <w:rFonts w:ascii="Times New Roman" w:hAnsi="Times New Roman" w:cs="Times New Roman"/>
          <w:color w:val="000000"/>
          <w:spacing w:val="2"/>
          <w:sz w:val="20"/>
          <w:szCs w:val="20"/>
          <w:lang w:val="sv-SE"/>
        </w:rPr>
      </w:pPr>
    </w:p>
    <w:p w:rsidR="00D92D0C" w:rsidRPr="00212AB4" w:rsidRDefault="00D92D0C" w:rsidP="00D92D0C">
      <w:pPr>
        <w:pStyle w:val="NormalWeb"/>
        <w:shd w:val="clear" w:color="auto" w:fill="FFFFFF"/>
        <w:spacing w:before="0" w:beforeAutospacing="0" w:after="0" w:afterAutospacing="0" w:line="360" w:lineRule="auto"/>
        <w:textAlignment w:val="baseline"/>
        <w:rPr>
          <w:rFonts w:ascii="Times New Roman" w:hAnsi="Times New Roman" w:cs="Times New Roman"/>
          <w:color w:val="000000"/>
          <w:spacing w:val="2"/>
          <w:sz w:val="20"/>
          <w:szCs w:val="20"/>
          <w:lang w:val="sv-SE"/>
        </w:rPr>
      </w:pPr>
      <w:r w:rsidRPr="00212AB4">
        <w:rPr>
          <w:rFonts w:ascii="Times New Roman" w:hAnsi="Times New Roman" w:cs="Times New Roman"/>
          <w:color w:val="000000"/>
          <w:spacing w:val="2"/>
          <w:sz w:val="20"/>
          <w:szCs w:val="20"/>
          <w:lang w:val="sv-SE"/>
        </w:rPr>
        <w:t>Läs mer på</w:t>
      </w:r>
      <w:r w:rsidRPr="00212AB4">
        <w:rPr>
          <w:rStyle w:val="apple-converted-space"/>
          <w:rFonts w:ascii="Times New Roman" w:hAnsi="Times New Roman" w:cs="Times New Roman"/>
          <w:color w:val="000000"/>
          <w:spacing w:val="2"/>
          <w:sz w:val="20"/>
          <w:szCs w:val="20"/>
          <w:lang w:val="sv-SE"/>
        </w:rPr>
        <w:t> </w:t>
      </w:r>
      <w:hyperlink r:id="rId10" w:tgtFrame="_blank" w:history="1">
        <w:r w:rsidRPr="00212AB4">
          <w:rPr>
            <w:rStyle w:val="Hyperlink"/>
            <w:rFonts w:ascii="Times New Roman" w:hAnsi="Times New Roman" w:cs="Times New Roman"/>
            <w:spacing w:val="2"/>
            <w:sz w:val="20"/>
            <w:szCs w:val="20"/>
            <w:bdr w:val="none" w:sz="0" w:space="0" w:color="auto" w:frame="1"/>
            <w:lang w:val="sv-SE"/>
          </w:rPr>
          <w:t>www.se.capgemini.com</w:t>
        </w:r>
      </w:hyperlink>
    </w:p>
    <w:p w:rsidR="00D92D0C" w:rsidRPr="00212AB4" w:rsidRDefault="00D92D0C" w:rsidP="00D92D0C">
      <w:pPr>
        <w:pStyle w:val="NormalWeb"/>
        <w:shd w:val="clear" w:color="auto" w:fill="FFFFFF"/>
        <w:spacing w:before="0" w:beforeAutospacing="0" w:after="0" w:afterAutospacing="0" w:line="360" w:lineRule="auto"/>
        <w:textAlignment w:val="baseline"/>
        <w:rPr>
          <w:rFonts w:ascii="Times New Roman" w:hAnsi="Times New Roman" w:cs="Times New Roman"/>
          <w:color w:val="000000"/>
          <w:spacing w:val="2"/>
          <w:sz w:val="20"/>
          <w:szCs w:val="20"/>
          <w:lang w:val="sv-SE"/>
        </w:rPr>
      </w:pPr>
      <w:proofErr w:type="spellStart"/>
      <w:r w:rsidRPr="00212AB4">
        <w:rPr>
          <w:rStyle w:val="Emphasis"/>
          <w:rFonts w:ascii="Times New Roman" w:hAnsi="Times New Roman" w:cs="Times New Roman"/>
          <w:color w:val="000000"/>
          <w:spacing w:val="2"/>
          <w:sz w:val="20"/>
          <w:szCs w:val="20"/>
          <w:bdr w:val="none" w:sz="0" w:space="0" w:color="auto" w:frame="1"/>
          <w:lang w:val="sv-SE"/>
        </w:rPr>
        <w:t>Rightshore</w:t>
      </w:r>
      <w:proofErr w:type="spellEnd"/>
      <w:r w:rsidRPr="00212AB4">
        <w:rPr>
          <w:rStyle w:val="Emphasis"/>
          <w:rFonts w:ascii="Times New Roman" w:hAnsi="Times New Roman" w:cs="Times New Roman"/>
          <w:color w:val="000000"/>
          <w:spacing w:val="2"/>
          <w:sz w:val="20"/>
          <w:szCs w:val="20"/>
          <w:bdr w:val="none" w:sz="0" w:space="0" w:color="auto" w:frame="1"/>
          <w:lang w:val="sv-SE"/>
        </w:rPr>
        <w:t>® är ett registrerat varumärke som tillhör Capgemini</w:t>
      </w:r>
    </w:p>
    <w:p w:rsidR="00431186" w:rsidRDefault="00431186" w:rsidP="007D5CFF">
      <w:pPr>
        <w:pStyle w:val="Default"/>
        <w:spacing w:line="360" w:lineRule="auto"/>
        <w:rPr>
          <w:rFonts w:ascii="Times New Roman" w:hAnsi="Times New Roman" w:cs="Times New Roman"/>
          <w:b/>
          <w:bCs/>
          <w:sz w:val="20"/>
          <w:szCs w:val="20"/>
        </w:rPr>
      </w:pPr>
    </w:p>
    <w:p w:rsidR="007D5CFF" w:rsidRPr="00212AB4" w:rsidRDefault="006A571A" w:rsidP="007D5CFF">
      <w:pPr>
        <w:pStyle w:val="Default"/>
        <w:spacing w:line="360" w:lineRule="auto"/>
        <w:rPr>
          <w:rFonts w:ascii="Times New Roman" w:hAnsi="Times New Roman" w:cs="Times New Roman"/>
          <w:sz w:val="20"/>
          <w:szCs w:val="20"/>
        </w:rPr>
      </w:pPr>
      <w:r w:rsidRPr="00212AB4">
        <w:rPr>
          <w:rFonts w:ascii="Times New Roman" w:hAnsi="Times New Roman" w:cs="Times New Roman"/>
          <w:b/>
          <w:bCs/>
          <w:sz w:val="20"/>
          <w:szCs w:val="20"/>
        </w:rPr>
        <w:t xml:space="preserve">Om Capgemini Consulting </w:t>
      </w:r>
    </w:p>
    <w:p w:rsidR="007D5CFF" w:rsidRPr="00212AB4" w:rsidRDefault="006A571A" w:rsidP="007D5CFF">
      <w:pPr>
        <w:pStyle w:val="Default"/>
        <w:spacing w:line="360" w:lineRule="auto"/>
        <w:rPr>
          <w:rFonts w:ascii="Times New Roman" w:hAnsi="Times New Roman" w:cs="Times New Roman"/>
          <w:sz w:val="20"/>
          <w:szCs w:val="20"/>
        </w:rPr>
      </w:pPr>
      <w:r w:rsidRPr="00212AB4">
        <w:rPr>
          <w:rFonts w:ascii="Times New Roman" w:hAnsi="Times New Roman" w:cs="Times New Roman"/>
          <w:sz w:val="20"/>
          <w:szCs w:val="20"/>
        </w:rPr>
        <w:t xml:space="preserve">Capgemini Consulting är det globala varumärket för managementkonsulttjänster inom strategi och transformation, och är en del av </w:t>
      </w:r>
      <w:proofErr w:type="spellStart"/>
      <w:r w:rsidRPr="00212AB4">
        <w:rPr>
          <w:rFonts w:ascii="Times New Roman" w:hAnsi="Times New Roman" w:cs="Times New Roman"/>
          <w:sz w:val="20"/>
          <w:szCs w:val="20"/>
        </w:rPr>
        <w:t>Capgeminigruppen</w:t>
      </w:r>
      <w:proofErr w:type="spellEnd"/>
      <w:r w:rsidRPr="00212AB4">
        <w:rPr>
          <w:rFonts w:ascii="Times New Roman" w:hAnsi="Times New Roman" w:cs="Times New Roman"/>
          <w:sz w:val="20"/>
          <w:szCs w:val="20"/>
        </w:rPr>
        <w:t xml:space="preserve">. Med ett globalt team bestående av över </w:t>
      </w:r>
      <w:r w:rsidR="006D1FF1" w:rsidRPr="00212AB4">
        <w:rPr>
          <w:rFonts w:ascii="Times New Roman" w:hAnsi="Times New Roman" w:cs="Times New Roman"/>
          <w:sz w:val="20"/>
          <w:szCs w:val="20"/>
        </w:rPr>
        <w:t>3 000</w:t>
      </w:r>
      <w:r w:rsidRPr="00212AB4">
        <w:rPr>
          <w:rFonts w:ascii="Times New Roman" w:hAnsi="Times New Roman" w:cs="Times New Roman"/>
          <w:sz w:val="20"/>
          <w:szCs w:val="20"/>
        </w:rPr>
        <w:t xml:space="preserve"> managementkonsulter är Capgemini Consulting specialiserat på att agera stöd och rådgivare till ledande företag </w:t>
      </w:r>
      <w:r w:rsidRPr="00212AB4">
        <w:rPr>
          <w:rFonts w:ascii="Times New Roman" w:hAnsi="Times New Roman" w:cs="Times New Roman"/>
          <w:sz w:val="20"/>
          <w:szCs w:val="20"/>
        </w:rPr>
        <w:lastRenderedPageBreak/>
        <w:t xml:space="preserve">och myndigheter vid omfattande transformationer, från innovativ strategiutveckling till genomförande med fokus på långsiktiga resultat och tillväxt. I den nya digitala ekonomin står företag och organisationer inför en rad betydande utmaningar och möjligheter. Med Capgemini Consultings kunskap om den digitala ekonomin tillsammans med vår ledande ställning inom affärsutveckling och organisationsförändring hjälper vi våra kunder att genomföra framgångsrik digital transformation. </w:t>
      </w:r>
    </w:p>
    <w:p w:rsidR="00152A4A" w:rsidRPr="00212AB4" w:rsidRDefault="006A571A" w:rsidP="007D5CFF">
      <w:pPr>
        <w:spacing w:line="360" w:lineRule="auto"/>
        <w:rPr>
          <w:lang w:val="sv-SE"/>
        </w:rPr>
      </w:pPr>
      <w:r w:rsidRPr="00212AB4">
        <w:rPr>
          <w:lang w:val="sv-SE"/>
        </w:rPr>
        <w:t xml:space="preserve">Läs mer på </w:t>
      </w:r>
      <w:hyperlink r:id="rId11" w:history="1">
        <w:r w:rsidRPr="00212AB4">
          <w:rPr>
            <w:rStyle w:val="Hyperlink"/>
            <w:lang w:val="sv-SE"/>
          </w:rPr>
          <w:t>www.capgemini-consulting.se</w:t>
        </w:r>
      </w:hyperlink>
      <w:r w:rsidRPr="00212AB4">
        <w:rPr>
          <w:lang w:val="sv-SE"/>
        </w:rPr>
        <w:t xml:space="preserve">   </w:t>
      </w:r>
    </w:p>
    <w:p w:rsidR="006A571A" w:rsidRPr="00212AB4" w:rsidRDefault="006A571A" w:rsidP="006A571A">
      <w:pPr>
        <w:spacing w:line="360" w:lineRule="auto"/>
        <w:rPr>
          <w:rStyle w:val="Emphasis"/>
          <w:i w:val="0"/>
          <w:iCs w:val="0"/>
          <w:lang w:val="sv-SE"/>
        </w:rPr>
      </w:pPr>
    </w:p>
    <w:p w:rsidR="00F57854" w:rsidRPr="00212AB4" w:rsidRDefault="006A571A" w:rsidP="00F57854">
      <w:pPr>
        <w:pStyle w:val="NoSpacing"/>
        <w:spacing w:line="360" w:lineRule="auto"/>
        <w:rPr>
          <w:rFonts w:ascii="Times New Roman" w:hAnsi="Times New Roman" w:cs="Times New Roman"/>
          <w:sz w:val="20"/>
          <w:szCs w:val="20"/>
        </w:rPr>
      </w:pPr>
      <w:r w:rsidRPr="00212AB4">
        <w:rPr>
          <w:rFonts w:ascii="Times New Roman" w:hAnsi="Times New Roman" w:cs="Times New Roman"/>
          <w:b/>
          <w:sz w:val="20"/>
          <w:szCs w:val="20"/>
        </w:rPr>
        <w:t xml:space="preserve">Om RBC </w:t>
      </w:r>
      <w:proofErr w:type="spellStart"/>
      <w:r w:rsidRPr="00212AB4">
        <w:rPr>
          <w:rFonts w:ascii="Times New Roman" w:hAnsi="Times New Roman" w:cs="Times New Roman"/>
          <w:b/>
          <w:sz w:val="20"/>
          <w:szCs w:val="20"/>
        </w:rPr>
        <w:t>Wealth</w:t>
      </w:r>
      <w:proofErr w:type="spellEnd"/>
      <w:r w:rsidRPr="00212AB4">
        <w:rPr>
          <w:rFonts w:ascii="Times New Roman" w:hAnsi="Times New Roman" w:cs="Times New Roman"/>
          <w:b/>
          <w:sz w:val="20"/>
          <w:szCs w:val="20"/>
        </w:rPr>
        <w:t xml:space="preserve"> Management</w:t>
      </w:r>
      <w:r w:rsidRPr="00212AB4">
        <w:rPr>
          <w:rFonts w:ascii="Times New Roman" w:hAnsi="Times New Roman" w:cs="Times New Roman"/>
          <w:b/>
          <w:sz w:val="20"/>
          <w:szCs w:val="20"/>
        </w:rPr>
        <w:br/>
      </w:r>
      <w:r w:rsidRPr="00212AB4">
        <w:rPr>
          <w:rFonts w:ascii="Times New Roman" w:hAnsi="Times New Roman" w:cs="Times New Roman"/>
          <w:sz w:val="20"/>
          <w:szCs w:val="20"/>
        </w:rPr>
        <w:t xml:space="preserve">RBC </w:t>
      </w:r>
      <w:proofErr w:type="spellStart"/>
      <w:r w:rsidRPr="00212AB4">
        <w:rPr>
          <w:rFonts w:ascii="Times New Roman" w:hAnsi="Times New Roman" w:cs="Times New Roman"/>
          <w:sz w:val="20"/>
          <w:szCs w:val="20"/>
        </w:rPr>
        <w:t>Wealth</w:t>
      </w:r>
      <w:proofErr w:type="spellEnd"/>
      <w:r w:rsidRPr="00212AB4">
        <w:rPr>
          <w:rFonts w:ascii="Times New Roman" w:hAnsi="Times New Roman" w:cs="Times New Roman"/>
          <w:sz w:val="20"/>
          <w:szCs w:val="20"/>
        </w:rPr>
        <w:t xml:space="preserve"> Management är en av världens fem största kapitalförvaltare. RBC </w:t>
      </w:r>
      <w:proofErr w:type="spellStart"/>
      <w:r w:rsidRPr="00212AB4">
        <w:rPr>
          <w:rFonts w:ascii="Times New Roman" w:hAnsi="Times New Roman" w:cs="Times New Roman"/>
          <w:sz w:val="20"/>
          <w:szCs w:val="20"/>
        </w:rPr>
        <w:t>Wealth</w:t>
      </w:r>
      <w:proofErr w:type="spellEnd"/>
      <w:r w:rsidRPr="00212AB4">
        <w:rPr>
          <w:rFonts w:ascii="Times New Roman" w:hAnsi="Times New Roman" w:cs="Times New Roman"/>
          <w:sz w:val="20"/>
          <w:szCs w:val="20"/>
        </w:rPr>
        <w:t xml:space="preserve"> Management hanterar förmögenheter åt kunder i Kanada, USA, Latinamerika, Europa, Mellanöstern, Afrika och Asien med en komplett uppsättning av banktjänster, investeringar samt övriga kapitalförvaltningslösningar.</w:t>
      </w:r>
    </w:p>
    <w:p w:rsidR="00FE4E91" w:rsidRPr="00212AB4" w:rsidRDefault="006A571A" w:rsidP="00F57854">
      <w:pPr>
        <w:pStyle w:val="NoSpacing"/>
        <w:spacing w:line="360" w:lineRule="auto"/>
        <w:rPr>
          <w:rFonts w:ascii="Times New Roman" w:hAnsi="Times New Roman" w:cs="Times New Roman"/>
          <w:sz w:val="20"/>
          <w:szCs w:val="20"/>
        </w:rPr>
      </w:pPr>
      <w:r w:rsidRPr="00212AB4">
        <w:rPr>
          <w:rFonts w:ascii="Times New Roman" w:hAnsi="Times New Roman" w:cs="Times New Roman"/>
          <w:sz w:val="20"/>
          <w:szCs w:val="20"/>
        </w:rPr>
        <w:t xml:space="preserve">För mer information, besök </w:t>
      </w:r>
      <w:hyperlink r:id="rId12" w:history="1">
        <w:r w:rsidR="00FA275B" w:rsidRPr="00212AB4">
          <w:rPr>
            <w:rStyle w:val="Hyperlink"/>
            <w:rFonts w:ascii="Times New Roman" w:hAnsi="Times New Roman" w:cs="Times New Roman"/>
            <w:sz w:val="20"/>
            <w:szCs w:val="20"/>
          </w:rPr>
          <w:t>www.rbcwealthmanagement.com</w:t>
        </w:r>
      </w:hyperlink>
      <w:r w:rsidR="00FE4E91" w:rsidRPr="00212AB4">
        <w:rPr>
          <w:rFonts w:ascii="Times New Roman" w:hAnsi="Times New Roman" w:cs="Times New Roman"/>
          <w:sz w:val="20"/>
          <w:szCs w:val="20"/>
        </w:rPr>
        <w:t xml:space="preserve">. </w:t>
      </w:r>
    </w:p>
    <w:p w:rsidR="00F57854" w:rsidRPr="00212AB4" w:rsidRDefault="00F57854" w:rsidP="00F57854">
      <w:pPr>
        <w:pStyle w:val="NoSpacing"/>
        <w:spacing w:line="360" w:lineRule="auto"/>
        <w:rPr>
          <w:rFonts w:ascii="Times New Roman" w:hAnsi="Times New Roman" w:cs="Times New Roman"/>
          <w:b/>
          <w:sz w:val="20"/>
          <w:szCs w:val="20"/>
        </w:rPr>
      </w:pPr>
    </w:p>
    <w:p w:rsidR="00F57854" w:rsidRPr="00212AB4" w:rsidRDefault="006A571A" w:rsidP="00F57854">
      <w:pPr>
        <w:pStyle w:val="NoSpacing"/>
        <w:spacing w:line="360" w:lineRule="auto"/>
        <w:rPr>
          <w:rFonts w:ascii="Times New Roman" w:hAnsi="Times New Roman" w:cs="Times New Roman"/>
          <w:sz w:val="20"/>
          <w:szCs w:val="20"/>
        </w:rPr>
      </w:pPr>
      <w:r w:rsidRPr="00212AB4">
        <w:rPr>
          <w:rFonts w:ascii="Times New Roman" w:hAnsi="Times New Roman" w:cs="Times New Roman"/>
          <w:b/>
          <w:sz w:val="20"/>
          <w:szCs w:val="20"/>
        </w:rPr>
        <w:t>Om Royal Bank of Canada</w:t>
      </w:r>
      <w:r w:rsidRPr="00212AB4">
        <w:rPr>
          <w:rFonts w:ascii="Times New Roman" w:hAnsi="Times New Roman" w:cs="Times New Roman"/>
          <w:b/>
          <w:sz w:val="20"/>
          <w:szCs w:val="20"/>
        </w:rPr>
        <w:br/>
      </w:r>
      <w:r w:rsidRPr="00212AB4">
        <w:rPr>
          <w:rFonts w:ascii="Times New Roman" w:hAnsi="Times New Roman" w:cs="Times New Roman"/>
          <w:sz w:val="20"/>
          <w:szCs w:val="20"/>
        </w:rPr>
        <w:t>Royal Bank of Canada och dess dotterbolag är verksamma under det gemensamma varumärket RBC. RBC är Kanadas största bank mätt i tillgångar och börsvärde och bland de största bankerna i världen baserat på marknadsvärde.</w:t>
      </w:r>
    </w:p>
    <w:p w:rsidR="00F57854" w:rsidRPr="00212AB4" w:rsidRDefault="006A571A" w:rsidP="00F57854">
      <w:pPr>
        <w:pStyle w:val="NoSpacing"/>
        <w:spacing w:line="360" w:lineRule="auto"/>
        <w:rPr>
          <w:rFonts w:ascii="Times New Roman" w:hAnsi="Times New Roman" w:cs="Times New Roman"/>
          <w:bCs/>
          <w:sz w:val="20"/>
          <w:szCs w:val="20"/>
        </w:rPr>
      </w:pPr>
      <w:r w:rsidRPr="00212AB4">
        <w:rPr>
          <w:rFonts w:ascii="Times New Roman" w:hAnsi="Times New Roman" w:cs="Times New Roman"/>
          <w:bCs/>
          <w:sz w:val="20"/>
          <w:szCs w:val="20"/>
        </w:rPr>
        <w:t xml:space="preserve">För mer information, besök </w:t>
      </w:r>
      <w:hyperlink r:id="rId13" w:history="1">
        <w:r w:rsidR="00FA275B" w:rsidRPr="00212AB4">
          <w:rPr>
            <w:rStyle w:val="Hyperlink"/>
            <w:rFonts w:ascii="Times New Roman" w:hAnsi="Times New Roman" w:cs="Times New Roman"/>
            <w:bCs/>
            <w:sz w:val="20"/>
            <w:szCs w:val="20"/>
          </w:rPr>
          <w:t>www.rbc.com</w:t>
        </w:r>
      </w:hyperlink>
      <w:r w:rsidR="00FE4E91" w:rsidRPr="00212AB4">
        <w:rPr>
          <w:rFonts w:ascii="Times New Roman" w:hAnsi="Times New Roman" w:cs="Times New Roman"/>
          <w:bCs/>
          <w:sz w:val="20"/>
          <w:szCs w:val="20"/>
        </w:rPr>
        <w:t>.</w:t>
      </w:r>
    </w:p>
    <w:p w:rsidR="00844F20" w:rsidRPr="00212AB4" w:rsidRDefault="00844F20" w:rsidP="00F57854">
      <w:pPr>
        <w:rPr>
          <w:lang w:val="sv-SE"/>
        </w:rPr>
      </w:pPr>
    </w:p>
    <w:p w:rsidR="00CA12DF" w:rsidRPr="00212AB4" w:rsidRDefault="00CA12DF" w:rsidP="00F57854">
      <w:pPr>
        <w:rPr>
          <w:lang w:val="sv-SE"/>
        </w:rPr>
      </w:pPr>
    </w:p>
    <w:sectPr w:rsidR="00CA12DF" w:rsidRPr="00212AB4" w:rsidSect="00AC5B70">
      <w:headerReference w:type="default" r:id="rId14"/>
      <w:footerReference w:type="default" r:id="rId15"/>
      <w:pgSz w:w="11906" w:h="16838" w:code="9"/>
      <w:pgMar w:top="1417" w:right="1417" w:bottom="1134" w:left="1417" w:header="85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F56" w:rsidRDefault="000C3F56" w:rsidP="003E1594">
      <w:r>
        <w:separator/>
      </w:r>
    </w:p>
  </w:endnote>
  <w:endnote w:type="continuationSeparator" w:id="0">
    <w:p w:rsidR="000C3F56" w:rsidRDefault="000C3F56" w:rsidP="003E1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58" w:rsidRPr="00FC5CBA" w:rsidRDefault="00116858" w:rsidP="002E1768">
    <w:pPr>
      <w:pStyle w:val="Footer1"/>
    </w:pPr>
    <w:r w:rsidRPr="00FC5CBA">
      <w:t xml:space="preserve">Capgemini </w:t>
    </w:r>
    <w:proofErr w:type="spellStart"/>
    <w:r w:rsidRPr="00FC5CBA">
      <w:t>Pressinformation</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F56" w:rsidRDefault="000C3F56" w:rsidP="003E1594">
      <w:r>
        <w:separator/>
      </w:r>
    </w:p>
  </w:footnote>
  <w:footnote w:type="continuationSeparator" w:id="0">
    <w:p w:rsidR="000C3F56" w:rsidRDefault="000C3F56" w:rsidP="003E1594">
      <w:r>
        <w:continuationSeparator/>
      </w:r>
    </w:p>
  </w:footnote>
  <w:footnote w:id="1">
    <w:p w:rsidR="00116858" w:rsidRPr="008F64A8" w:rsidRDefault="00116858" w:rsidP="00F57854">
      <w:pPr>
        <w:pStyle w:val="ListParagraph"/>
        <w:spacing w:line="276" w:lineRule="auto"/>
        <w:ind w:left="0"/>
        <w:rPr>
          <w:sz w:val="14"/>
          <w:szCs w:val="14"/>
          <w:lang w:val="sv-SE"/>
        </w:rPr>
      </w:pPr>
      <w:r w:rsidRPr="008F64A8">
        <w:rPr>
          <w:rStyle w:val="FootnoteReference"/>
          <w:sz w:val="14"/>
          <w:szCs w:val="14"/>
        </w:rPr>
        <w:footnoteRef/>
      </w:r>
      <w:r w:rsidRPr="008F64A8">
        <w:rPr>
          <w:sz w:val="14"/>
          <w:szCs w:val="14"/>
          <w:lang w:val="sv-SE"/>
        </w:rPr>
        <w:t xml:space="preserve"> Dollarmiljonärer definieras som personer med </w:t>
      </w:r>
      <w:proofErr w:type="spellStart"/>
      <w:r w:rsidRPr="008F64A8">
        <w:rPr>
          <w:sz w:val="14"/>
          <w:szCs w:val="14"/>
          <w:lang w:val="sv-SE"/>
        </w:rPr>
        <w:t>investeringsbar</w:t>
      </w:r>
      <w:proofErr w:type="spellEnd"/>
      <w:r w:rsidRPr="008F64A8">
        <w:rPr>
          <w:sz w:val="14"/>
          <w:szCs w:val="14"/>
          <w:lang w:val="sv-SE"/>
        </w:rPr>
        <w:t xml:space="preserve"> förmögenhet på 1 miljon USD eller mer, exklusive primärbostad, samlarobjekt, förbrukningsvaror och konsumentkapitalvaror.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58" w:rsidRDefault="00116858" w:rsidP="002E1768">
    <w:pPr>
      <w:pStyle w:val="Header"/>
      <w:tabs>
        <w:tab w:val="clear" w:pos="4536"/>
        <w:tab w:val="clear" w:pos="9072"/>
        <w:tab w:val="right" w:pos="9000"/>
      </w:tabs>
      <w:rPr>
        <w:noProof/>
        <w:lang w:val="fr-FR" w:eastAsia="fr-FR"/>
      </w:rPr>
    </w:pPr>
    <w:r>
      <w:rPr>
        <w:noProof/>
        <w:lang w:val="sv-SE" w:eastAsia="sv-SE"/>
      </w:rPr>
      <w:drawing>
        <wp:anchor distT="0" distB="0" distL="114300" distR="114300" simplePos="0" relativeHeight="251659264" behindDoc="0" locked="1" layoutInCell="1" allowOverlap="1">
          <wp:simplePos x="0" y="0"/>
          <wp:positionH relativeFrom="page">
            <wp:posOffset>539750</wp:posOffset>
          </wp:positionH>
          <wp:positionV relativeFrom="page">
            <wp:posOffset>539750</wp:posOffset>
          </wp:positionV>
          <wp:extent cx="943610" cy="228600"/>
          <wp:effectExtent l="0" t="0" r="8890" b="0"/>
          <wp:wrapSquare wrapText="bothSides"/>
          <wp:docPr id="1" name="Image 0" descr="Capgemi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gemini_logo.jpg"/>
                  <pic:cNvPicPr/>
                </pic:nvPicPr>
                <pic:blipFill>
                  <a:blip r:embed="rId1"/>
                  <a:stretch>
                    <a:fillRect/>
                  </a:stretch>
                </pic:blipFill>
                <pic:spPr>
                  <a:xfrm>
                    <a:off x="0" y="0"/>
                    <a:ext cx="943610" cy="228600"/>
                  </a:xfrm>
                  <a:prstGeom prst="rect">
                    <a:avLst/>
                  </a:prstGeom>
                </pic:spPr>
              </pic:pic>
            </a:graphicData>
          </a:graphic>
        </wp:anchor>
      </w:drawing>
    </w:r>
  </w:p>
  <w:p w:rsidR="00116858" w:rsidRDefault="00116858" w:rsidP="002E1768">
    <w:pPr>
      <w:pStyle w:val="Header"/>
      <w:tabs>
        <w:tab w:val="clear" w:pos="4536"/>
        <w:tab w:val="clear" w:pos="9072"/>
        <w:tab w:val="right" w:pos="9000"/>
      </w:tabs>
      <w:rPr>
        <w:noProof/>
        <w:lang w:val="fr-FR" w:eastAsia="fr-FR"/>
      </w:rPr>
    </w:pPr>
  </w:p>
  <w:p w:rsidR="00116858" w:rsidRDefault="00116858" w:rsidP="002E1768">
    <w:pPr>
      <w:pStyle w:val="Header"/>
      <w:tabs>
        <w:tab w:val="clear" w:pos="4536"/>
        <w:tab w:val="clear" w:pos="9072"/>
        <w:tab w:val="right" w:pos="9923"/>
      </w:tabs>
    </w:pPr>
    <w:r>
      <w:tab/>
    </w:r>
  </w:p>
  <w:p w:rsidR="00116858" w:rsidRDefault="00116858" w:rsidP="002E1768">
    <w:pPr>
      <w:pStyle w:val="Header"/>
      <w:tabs>
        <w:tab w:val="clear" w:pos="4536"/>
        <w:tab w:val="clear" w:pos="9072"/>
        <w:tab w:val="right" w:pos="9923"/>
      </w:tabs>
    </w:pPr>
  </w:p>
  <w:p w:rsidR="00116858" w:rsidRDefault="00116858" w:rsidP="002E1768">
    <w:pPr>
      <w:pStyle w:val="Header"/>
      <w:tabs>
        <w:tab w:val="clear" w:pos="4536"/>
        <w:tab w:val="clear" w:pos="9072"/>
        <w:tab w:val="right" w:pos="9923"/>
      </w:tabs>
    </w:pPr>
  </w:p>
  <w:p w:rsidR="00116858" w:rsidRPr="00CE2EE3" w:rsidRDefault="00116858" w:rsidP="002E1768">
    <w:pPr>
      <w:pStyle w:val="Header"/>
      <w:tabs>
        <w:tab w:val="clear" w:pos="4536"/>
        <w:tab w:val="clear" w:pos="9072"/>
        <w:tab w:val="right" w:pos="9923"/>
      </w:tabs>
      <w:rPr>
        <w:sz w:val="36"/>
        <w:szCs w:val="36"/>
      </w:rPr>
    </w:pPr>
    <w:r w:rsidRPr="00CE2EE3">
      <w:rPr>
        <w:sz w:val="36"/>
        <w:szCs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1EB6"/>
    <w:multiLevelType w:val="hybridMultilevel"/>
    <w:tmpl w:val="35149450"/>
    <w:lvl w:ilvl="0" w:tplc="5F860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61589"/>
    <w:multiLevelType w:val="hybridMultilevel"/>
    <w:tmpl w:val="CABAFDD4"/>
    <w:lvl w:ilvl="0" w:tplc="5EB606FA">
      <w:start w:val="1"/>
      <w:numFmt w:val="bullet"/>
      <w:lvlText w:val=""/>
      <w:lvlJc w:val="left"/>
      <w:pPr>
        <w:tabs>
          <w:tab w:val="num" w:pos="720"/>
        </w:tabs>
        <w:ind w:left="720" w:hanging="360"/>
      </w:pPr>
      <w:rPr>
        <w:rFonts w:ascii="Wingdings" w:hAnsi="Wingdings" w:hint="default"/>
      </w:rPr>
    </w:lvl>
    <w:lvl w:ilvl="1" w:tplc="202CB29E" w:tentative="1">
      <w:start w:val="1"/>
      <w:numFmt w:val="bullet"/>
      <w:lvlText w:val=""/>
      <w:lvlJc w:val="left"/>
      <w:pPr>
        <w:tabs>
          <w:tab w:val="num" w:pos="1440"/>
        </w:tabs>
        <w:ind w:left="1440" w:hanging="360"/>
      </w:pPr>
      <w:rPr>
        <w:rFonts w:ascii="Wingdings" w:hAnsi="Wingdings" w:hint="default"/>
      </w:rPr>
    </w:lvl>
    <w:lvl w:ilvl="2" w:tplc="FE8CE180" w:tentative="1">
      <w:start w:val="1"/>
      <w:numFmt w:val="bullet"/>
      <w:lvlText w:val=""/>
      <w:lvlJc w:val="left"/>
      <w:pPr>
        <w:tabs>
          <w:tab w:val="num" w:pos="2160"/>
        </w:tabs>
        <w:ind w:left="2160" w:hanging="360"/>
      </w:pPr>
      <w:rPr>
        <w:rFonts w:ascii="Wingdings" w:hAnsi="Wingdings" w:hint="default"/>
      </w:rPr>
    </w:lvl>
    <w:lvl w:ilvl="3" w:tplc="8FFC4B26" w:tentative="1">
      <w:start w:val="1"/>
      <w:numFmt w:val="bullet"/>
      <w:lvlText w:val=""/>
      <w:lvlJc w:val="left"/>
      <w:pPr>
        <w:tabs>
          <w:tab w:val="num" w:pos="2880"/>
        </w:tabs>
        <w:ind w:left="2880" w:hanging="360"/>
      </w:pPr>
      <w:rPr>
        <w:rFonts w:ascii="Wingdings" w:hAnsi="Wingdings" w:hint="default"/>
      </w:rPr>
    </w:lvl>
    <w:lvl w:ilvl="4" w:tplc="6BE82010" w:tentative="1">
      <w:start w:val="1"/>
      <w:numFmt w:val="bullet"/>
      <w:lvlText w:val=""/>
      <w:lvlJc w:val="left"/>
      <w:pPr>
        <w:tabs>
          <w:tab w:val="num" w:pos="3600"/>
        </w:tabs>
        <w:ind w:left="3600" w:hanging="360"/>
      </w:pPr>
      <w:rPr>
        <w:rFonts w:ascii="Wingdings" w:hAnsi="Wingdings" w:hint="default"/>
      </w:rPr>
    </w:lvl>
    <w:lvl w:ilvl="5" w:tplc="47FA9F30" w:tentative="1">
      <w:start w:val="1"/>
      <w:numFmt w:val="bullet"/>
      <w:lvlText w:val=""/>
      <w:lvlJc w:val="left"/>
      <w:pPr>
        <w:tabs>
          <w:tab w:val="num" w:pos="4320"/>
        </w:tabs>
        <w:ind w:left="4320" w:hanging="360"/>
      </w:pPr>
      <w:rPr>
        <w:rFonts w:ascii="Wingdings" w:hAnsi="Wingdings" w:hint="default"/>
      </w:rPr>
    </w:lvl>
    <w:lvl w:ilvl="6" w:tplc="5DC48CF2" w:tentative="1">
      <w:start w:val="1"/>
      <w:numFmt w:val="bullet"/>
      <w:lvlText w:val=""/>
      <w:lvlJc w:val="left"/>
      <w:pPr>
        <w:tabs>
          <w:tab w:val="num" w:pos="5040"/>
        </w:tabs>
        <w:ind w:left="5040" w:hanging="360"/>
      </w:pPr>
      <w:rPr>
        <w:rFonts w:ascii="Wingdings" w:hAnsi="Wingdings" w:hint="default"/>
      </w:rPr>
    </w:lvl>
    <w:lvl w:ilvl="7" w:tplc="96408308" w:tentative="1">
      <w:start w:val="1"/>
      <w:numFmt w:val="bullet"/>
      <w:lvlText w:val=""/>
      <w:lvlJc w:val="left"/>
      <w:pPr>
        <w:tabs>
          <w:tab w:val="num" w:pos="5760"/>
        </w:tabs>
        <w:ind w:left="5760" w:hanging="360"/>
      </w:pPr>
      <w:rPr>
        <w:rFonts w:ascii="Wingdings" w:hAnsi="Wingdings" w:hint="default"/>
      </w:rPr>
    </w:lvl>
    <w:lvl w:ilvl="8" w:tplc="2E2CC990" w:tentative="1">
      <w:start w:val="1"/>
      <w:numFmt w:val="bullet"/>
      <w:lvlText w:val=""/>
      <w:lvlJc w:val="left"/>
      <w:pPr>
        <w:tabs>
          <w:tab w:val="num" w:pos="6480"/>
        </w:tabs>
        <w:ind w:left="6480" w:hanging="360"/>
      </w:pPr>
      <w:rPr>
        <w:rFonts w:ascii="Wingdings" w:hAnsi="Wingdings" w:hint="default"/>
      </w:rPr>
    </w:lvl>
  </w:abstractNum>
  <w:abstractNum w:abstractNumId="2">
    <w:nsid w:val="28C952B6"/>
    <w:multiLevelType w:val="hybridMultilevel"/>
    <w:tmpl w:val="F9B65CB6"/>
    <w:lvl w:ilvl="0" w:tplc="9F6A2E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33794"/>
  </w:hdrShapeDefaults>
  <w:footnotePr>
    <w:footnote w:id="-1"/>
    <w:footnote w:id="0"/>
  </w:footnotePr>
  <w:endnotePr>
    <w:endnote w:id="-1"/>
    <w:endnote w:id="0"/>
  </w:endnotePr>
  <w:compat/>
  <w:rsids>
    <w:rsidRoot w:val="003E1594"/>
    <w:rsid w:val="00004392"/>
    <w:rsid w:val="00004842"/>
    <w:rsid w:val="00030046"/>
    <w:rsid w:val="000306C9"/>
    <w:rsid w:val="0004065E"/>
    <w:rsid w:val="00043582"/>
    <w:rsid w:val="00050F67"/>
    <w:rsid w:val="00057165"/>
    <w:rsid w:val="00061C72"/>
    <w:rsid w:val="00062A40"/>
    <w:rsid w:val="00062CF0"/>
    <w:rsid w:val="00070556"/>
    <w:rsid w:val="00070C96"/>
    <w:rsid w:val="00075763"/>
    <w:rsid w:val="00076719"/>
    <w:rsid w:val="00077E37"/>
    <w:rsid w:val="0008538D"/>
    <w:rsid w:val="00095946"/>
    <w:rsid w:val="00096C49"/>
    <w:rsid w:val="000A227F"/>
    <w:rsid w:val="000A7C9D"/>
    <w:rsid w:val="000B2D90"/>
    <w:rsid w:val="000C05F5"/>
    <w:rsid w:val="000C3F56"/>
    <w:rsid w:val="000C49FC"/>
    <w:rsid w:val="000C4B2B"/>
    <w:rsid w:val="000C609D"/>
    <w:rsid w:val="000D5EF1"/>
    <w:rsid w:val="000E0BD9"/>
    <w:rsid w:val="000F1678"/>
    <w:rsid w:val="000F72F0"/>
    <w:rsid w:val="00111207"/>
    <w:rsid w:val="00116858"/>
    <w:rsid w:val="00122EC8"/>
    <w:rsid w:val="00124440"/>
    <w:rsid w:val="001336FB"/>
    <w:rsid w:val="00133924"/>
    <w:rsid w:val="0013446F"/>
    <w:rsid w:val="00135DCC"/>
    <w:rsid w:val="00142E54"/>
    <w:rsid w:val="00145E32"/>
    <w:rsid w:val="001469F4"/>
    <w:rsid w:val="00152A4A"/>
    <w:rsid w:val="00160938"/>
    <w:rsid w:val="00172838"/>
    <w:rsid w:val="00176380"/>
    <w:rsid w:val="0018358D"/>
    <w:rsid w:val="00183DAA"/>
    <w:rsid w:val="001849F8"/>
    <w:rsid w:val="00185525"/>
    <w:rsid w:val="00186D05"/>
    <w:rsid w:val="00192EA2"/>
    <w:rsid w:val="00193A6A"/>
    <w:rsid w:val="001A0AC1"/>
    <w:rsid w:val="001A0B95"/>
    <w:rsid w:val="001A1D6A"/>
    <w:rsid w:val="001A3208"/>
    <w:rsid w:val="001A5CF0"/>
    <w:rsid w:val="001A75DC"/>
    <w:rsid w:val="001B448E"/>
    <w:rsid w:val="001B5E79"/>
    <w:rsid w:val="001C787F"/>
    <w:rsid w:val="001D05F0"/>
    <w:rsid w:val="001D1ED0"/>
    <w:rsid w:val="001D495F"/>
    <w:rsid w:val="001E216B"/>
    <w:rsid w:val="001E5718"/>
    <w:rsid w:val="00201343"/>
    <w:rsid w:val="00210448"/>
    <w:rsid w:val="0021294F"/>
    <w:rsid w:val="00212AB4"/>
    <w:rsid w:val="002201BB"/>
    <w:rsid w:val="0022584C"/>
    <w:rsid w:val="00236897"/>
    <w:rsid w:val="002550EE"/>
    <w:rsid w:val="00261745"/>
    <w:rsid w:val="002726B0"/>
    <w:rsid w:val="002754C6"/>
    <w:rsid w:val="00283338"/>
    <w:rsid w:val="0028390E"/>
    <w:rsid w:val="00286B9E"/>
    <w:rsid w:val="00293B41"/>
    <w:rsid w:val="00295E37"/>
    <w:rsid w:val="002B4E51"/>
    <w:rsid w:val="002B6C18"/>
    <w:rsid w:val="002C0B31"/>
    <w:rsid w:val="002C6C61"/>
    <w:rsid w:val="002D4DDB"/>
    <w:rsid w:val="002D7690"/>
    <w:rsid w:val="002E1768"/>
    <w:rsid w:val="002E1970"/>
    <w:rsid w:val="002F2C5C"/>
    <w:rsid w:val="002F5E45"/>
    <w:rsid w:val="00300D0F"/>
    <w:rsid w:val="00301B97"/>
    <w:rsid w:val="0031093E"/>
    <w:rsid w:val="00313D56"/>
    <w:rsid w:val="003256AF"/>
    <w:rsid w:val="00335453"/>
    <w:rsid w:val="003438E4"/>
    <w:rsid w:val="00344BA0"/>
    <w:rsid w:val="00344EE1"/>
    <w:rsid w:val="00344FC4"/>
    <w:rsid w:val="00346502"/>
    <w:rsid w:val="0035141F"/>
    <w:rsid w:val="003562F4"/>
    <w:rsid w:val="00356C39"/>
    <w:rsid w:val="00367640"/>
    <w:rsid w:val="00370E7B"/>
    <w:rsid w:val="00373277"/>
    <w:rsid w:val="0037458B"/>
    <w:rsid w:val="003952CA"/>
    <w:rsid w:val="003A1847"/>
    <w:rsid w:val="003A51F7"/>
    <w:rsid w:val="003A52D5"/>
    <w:rsid w:val="003A5E3F"/>
    <w:rsid w:val="003A6A0C"/>
    <w:rsid w:val="003B06CA"/>
    <w:rsid w:val="003B2B4C"/>
    <w:rsid w:val="003B5A3D"/>
    <w:rsid w:val="003B6C79"/>
    <w:rsid w:val="003C03AC"/>
    <w:rsid w:val="003C0696"/>
    <w:rsid w:val="003C1F7D"/>
    <w:rsid w:val="003C421B"/>
    <w:rsid w:val="003C4E0E"/>
    <w:rsid w:val="003E1594"/>
    <w:rsid w:val="003E17F9"/>
    <w:rsid w:val="003E4E71"/>
    <w:rsid w:val="003F7070"/>
    <w:rsid w:val="00410129"/>
    <w:rsid w:val="00417FEE"/>
    <w:rsid w:val="00422733"/>
    <w:rsid w:val="00422C02"/>
    <w:rsid w:val="004260CB"/>
    <w:rsid w:val="00431186"/>
    <w:rsid w:val="00442DFE"/>
    <w:rsid w:val="00444A1F"/>
    <w:rsid w:val="00456EE0"/>
    <w:rsid w:val="0045751A"/>
    <w:rsid w:val="00457FF3"/>
    <w:rsid w:val="00460615"/>
    <w:rsid w:val="00462318"/>
    <w:rsid w:val="004632EC"/>
    <w:rsid w:val="0046342A"/>
    <w:rsid w:val="00466F03"/>
    <w:rsid w:val="004766A1"/>
    <w:rsid w:val="00476C56"/>
    <w:rsid w:val="00480DC1"/>
    <w:rsid w:val="00482415"/>
    <w:rsid w:val="004851F4"/>
    <w:rsid w:val="004866B1"/>
    <w:rsid w:val="004A3EE9"/>
    <w:rsid w:val="004A6293"/>
    <w:rsid w:val="004A73AC"/>
    <w:rsid w:val="004B1F8C"/>
    <w:rsid w:val="004B1FB7"/>
    <w:rsid w:val="004B2CC7"/>
    <w:rsid w:val="004B5B02"/>
    <w:rsid w:val="004C013F"/>
    <w:rsid w:val="004D78CB"/>
    <w:rsid w:val="004D7ADA"/>
    <w:rsid w:val="004E0259"/>
    <w:rsid w:val="004E2E48"/>
    <w:rsid w:val="004E3FBD"/>
    <w:rsid w:val="004E5A9B"/>
    <w:rsid w:val="00502E67"/>
    <w:rsid w:val="005064CA"/>
    <w:rsid w:val="00515095"/>
    <w:rsid w:val="00515EA6"/>
    <w:rsid w:val="00523FEA"/>
    <w:rsid w:val="00526E61"/>
    <w:rsid w:val="00542F61"/>
    <w:rsid w:val="00543A2C"/>
    <w:rsid w:val="00543F5B"/>
    <w:rsid w:val="0055377A"/>
    <w:rsid w:val="005600F0"/>
    <w:rsid w:val="00560C3C"/>
    <w:rsid w:val="00563F6B"/>
    <w:rsid w:val="00564EBB"/>
    <w:rsid w:val="00566AFF"/>
    <w:rsid w:val="00566F29"/>
    <w:rsid w:val="0057250F"/>
    <w:rsid w:val="00573A37"/>
    <w:rsid w:val="00573A78"/>
    <w:rsid w:val="00574BDB"/>
    <w:rsid w:val="005824AC"/>
    <w:rsid w:val="0058590C"/>
    <w:rsid w:val="005905A1"/>
    <w:rsid w:val="005946CD"/>
    <w:rsid w:val="00596E3B"/>
    <w:rsid w:val="005A41FA"/>
    <w:rsid w:val="005A52EF"/>
    <w:rsid w:val="005A65D2"/>
    <w:rsid w:val="005B29AE"/>
    <w:rsid w:val="005B441D"/>
    <w:rsid w:val="005C1934"/>
    <w:rsid w:val="005C2111"/>
    <w:rsid w:val="005C4D04"/>
    <w:rsid w:val="005D0859"/>
    <w:rsid w:val="005D59DF"/>
    <w:rsid w:val="005D7048"/>
    <w:rsid w:val="005E08B7"/>
    <w:rsid w:val="005E09EE"/>
    <w:rsid w:val="005E21FC"/>
    <w:rsid w:val="005E68E5"/>
    <w:rsid w:val="005E6D87"/>
    <w:rsid w:val="005F0F47"/>
    <w:rsid w:val="005F424F"/>
    <w:rsid w:val="00600386"/>
    <w:rsid w:val="00615F53"/>
    <w:rsid w:val="006209BD"/>
    <w:rsid w:val="00635D3A"/>
    <w:rsid w:val="00642740"/>
    <w:rsid w:val="00645F64"/>
    <w:rsid w:val="00654A04"/>
    <w:rsid w:val="006552F7"/>
    <w:rsid w:val="006703D7"/>
    <w:rsid w:val="00672A75"/>
    <w:rsid w:val="00676DA0"/>
    <w:rsid w:val="006967B8"/>
    <w:rsid w:val="006A571A"/>
    <w:rsid w:val="006B7411"/>
    <w:rsid w:val="006C561C"/>
    <w:rsid w:val="006C6D3C"/>
    <w:rsid w:val="006D1FF1"/>
    <w:rsid w:val="006D4529"/>
    <w:rsid w:val="006D6031"/>
    <w:rsid w:val="006E270B"/>
    <w:rsid w:val="006E47E3"/>
    <w:rsid w:val="006F26E8"/>
    <w:rsid w:val="006F2ACA"/>
    <w:rsid w:val="006F513C"/>
    <w:rsid w:val="007008DE"/>
    <w:rsid w:val="00721815"/>
    <w:rsid w:val="0072279E"/>
    <w:rsid w:val="00724B85"/>
    <w:rsid w:val="00734698"/>
    <w:rsid w:val="0073754B"/>
    <w:rsid w:val="0073761E"/>
    <w:rsid w:val="00740529"/>
    <w:rsid w:val="0074106F"/>
    <w:rsid w:val="007424CC"/>
    <w:rsid w:val="00744F87"/>
    <w:rsid w:val="007469AD"/>
    <w:rsid w:val="00746BE6"/>
    <w:rsid w:val="007550CF"/>
    <w:rsid w:val="0076357D"/>
    <w:rsid w:val="00765EA2"/>
    <w:rsid w:val="00771426"/>
    <w:rsid w:val="00772171"/>
    <w:rsid w:val="007775E9"/>
    <w:rsid w:val="007812AF"/>
    <w:rsid w:val="007831FF"/>
    <w:rsid w:val="007846D0"/>
    <w:rsid w:val="00791BDC"/>
    <w:rsid w:val="00794A63"/>
    <w:rsid w:val="00795763"/>
    <w:rsid w:val="0079576C"/>
    <w:rsid w:val="007960B4"/>
    <w:rsid w:val="007A09A0"/>
    <w:rsid w:val="007B12EB"/>
    <w:rsid w:val="007B3BDE"/>
    <w:rsid w:val="007B5971"/>
    <w:rsid w:val="007C4A0C"/>
    <w:rsid w:val="007D202D"/>
    <w:rsid w:val="007D350B"/>
    <w:rsid w:val="007D395A"/>
    <w:rsid w:val="007D5CFF"/>
    <w:rsid w:val="007E1003"/>
    <w:rsid w:val="007F7753"/>
    <w:rsid w:val="00804DF7"/>
    <w:rsid w:val="0080622F"/>
    <w:rsid w:val="008178DB"/>
    <w:rsid w:val="00823A15"/>
    <w:rsid w:val="0082587E"/>
    <w:rsid w:val="0083241E"/>
    <w:rsid w:val="00834B99"/>
    <w:rsid w:val="008412B8"/>
    <w:rsid w:val="008427AC"/>
    <w:rsid w:val="00843372"/>
    <w:rsid w:val="00844F20"/>
    <w:rsid w:val="0085410B"/>
    <w:rsid w:val="00854820"/>
    <w:rsid w:val="008576D4"/>
    <w:rsid w:val="008629EA"/>
    <w:rsid w:val="00865026"/>
    <w:rsid w:val="008657FB"/>
    <w:rsid w:val="00867577"/>
    <w:rsid w:val="00867E1A"/>
    <w:rsid w:val="008747F7"/>
    <w:rsid w:val="00875A5B"/>
    <w:rsid w:val="00882340"/>
    <w:rsid w:val="0088336C"/>
    <w:rsid w:val="0088531A"/>
    <w:rsid w:val="008861B8"/>
    <w:rsid w:val="00887895"/>
    <w:rsid w:val="0088799D"/>
    <w:rsid w:val="00893DCA"/>
    <w:rsid w:val="00896AD9"/>
    <w:rsid w:val="00897B0A"/>
    <w:rsid w:val="008A427F"/>
    <w:rsid w:val="008A4AD7"/>
    <w:rsid w:val="008A5B52"/>
    <w:rsid w:val="008A699D"/>
    <w:rsid w:val="008A7567"/>
    <w:rsid w:val="008B7BAE"/>
    <w:rsid w:val="008C0DBD"/>
    <w:rsid w:val="008C1F7D"/>
    <w:rsid w:val="008C3C68"/>
    <w:rsid w:val="008C6473"/>
    <w:rsid w:val="008E03E1"/>
    <w:rsid w:val="008E2680"/>
    <w:rsid w:val="008E463E"/>
    <w:rsid w:val="008F17C0"/>
    <w:rsid w:val="008F64A8"/>
    <w:rsid w:val="008F6737"/>
    <w:rsid w:val="00900170"/>
    <w:rsid w:val="009001ED"/>
    <w:rsid w:val="00907C77"/>
    <w:rsid w:val="009106C2"/>
    <w:rsid w:val="009162DA"/>
    <w:rsid w:val="009320C5"/>
    <w:rsid w:val="00937D3B"/>
    <w:rsid w:val="009408DE"/>
    <w:rsid w:val="0094275B"/>
    <w:rsid w:val="009508CC"/>
    <w:rsid w:val="00950D61"/>
    <w:rsid w:val="00953207"/>
    <w:rsid w:val="00965432"/>
    <w:rsid w:val="00970439"/>
    <w:rsid w:val="009722E5"/>
    <w:rsid w:val="00974205"/>
    <w:rsid w:val="00974539"/>
    <w:rsid w:val="00982D2E"/>
    <w:rsid w:val="00984142"/>
    <w:rsid w:val="00990BFE"/>
    <w:rsid w:val="00992FDC"/>
    <w:rsid w:val="00994699"/>
    <w:rsid w:val="00996ABB"/>
    <w:rsid w:val="009A25E2"/>
    <w:rsid w:val="009A4960"/>
    <w:rsid w:val="009A5920"/>
    <w:rsid w:val="009A65F8"/>
    <w:rsid w:val="009A7718"/>
    <w:rsid w:val="009B4621"/>
    <w:rsid w:val="009B4FC7"/>
    <w:rsid w:val="009B6BE4"/>
    <w:rsid w:val="009D7732"/>
    <w:rsid w:val="009E1708"/>
    <w:rsid w:val="009E50D9"/>
    <w:rsid w:val="009E582B"/>
    <w:rsid w:val="009E6839"/>
    <w:rsid w:val="009F5F50"/>
    <w:rsid w:val="00A00BA9"/>
    <w:rsid w:val="00A027C7"/>
    <w:rsid w:val="00A02D29"/>
    <w:rsid w:val="00A03DC5"/>
    <w:rsid w:val="00A05FE2"/>
    <w:rsid w:val="00A06DE5"/>
    <w:rsid w:val="00A11EDB"/>
    <w:rsid w:val="00A13249"/>
    <w:rsid w:val="00A158CA"/>
    <w:rsid w:val="00A220E0"/>
    <w:rsid w:val="00A2405D"/>
    <w:rsid w:val="00A2560F"/>
    <w:rsid w:val="00A274E3"/>
    <w:rsid w:val="00A32222"/>
    <w:rsid w:val="00A32A85"/>
    <w:rsid w:val="00A51ABE"/>
    <w:rsid w:val="00A64F97"/>
    <w:rsid w:val="00A72887"/>
    <w:rsid w:val="00A76069"/>
    <w:rsid w:val="00A77C7B"/>
    <w:rsid w:val="00A85620"/>
    <w:rsid w:val="00A86CB9"/>
    <w:rsid w:val="00AB0E5D"/>
    <w:rsid w:val="00AB2E0E"/>
    <w:rsid w:val="00AB7FEF"/>
    <w:rsid w:val="00AC32AB"/>
    <w:rsid w:val="00AC3462"/>
    <w:rsid w:val="00AC5B70"/>
    <w:rsid w:val="00AC5CA9"/>
    <w:rsid w:val="00AD071B"/>
    <w:rsid w:val="00AD3E7D"/>
    <w:rsid w:val="00AE61C4"/>
    <w:rsid w:val="00AE62B7"/>
    <w:rsid w:val="00AE7497"/>
    <w:rsid w:val="00AF50E0"/>
    <w:rsid w:val="00B027E7"/>
    <w:rsid w:val="00B052CB"/>
    <w:rsid w:val="00B12D8B"/>
    <w:rsid w:val="00B230CD"/>
    <w:rsid w:val="00B2328B"/>
    <w:rsid w:val="00B26761"/>
    <w:rsid w:val="00B27E59"/>
    <w:rsid w:val="00B30272"/>
    <w:rsid w:val="00B32774"/>
    <w:rsid w:val="00B345C8"/>
    <w:rsid w:val="00B40908"/>
    <w:rsid w:val="00B41BCE"/>
    <w:rsid w:val="00B46C6C"/>
    <w:rsid w:val="00B51D31"/>
    <w:rsid w:val="00B61549"/>
    <w:rsid w:val="00B65063"/>
    <w:rsid w:val="00B6518C"/>
    <w:rsid w:val="00B719D1"/>
    <w:rsid w:val="00B721A5"/>
    <w:rsid w:val="00B73494"/>
    <w:rsid w:val="00B865FE"/>
    <w:rsid w:val="00B919B1"/>
    <w:rsid w:val="00B943D5"/>
    <w:rsid w:val="00B97967"/>
    <w:rsid w:val="00BA5804"/>
    <w:rsid w:val="00BB07D0"/>
    <w:rsid w:val="00BD07F3"/>
    <w:rsid w:val="00BD0C7F"/>
    <w:rsid w:val="00BD22F9"/>
    <w:rsid w:val="00BD34C7"/>
    <w:rsid w:val="00BD5FE1"/>
    <w:rsid w:val="00BE4FAE"/>
    <w:rsid w:val="00BE6DED"/>
    <w:rsid w:val="00BF0B49"/>
    <w:rsid w:val="00BF4596"/>
    <w:rsid w:val="00BF6ACA"/>
    <w:rsid w:val="00BF6C02"/>
    <w:rsid w:val="00C02404"/>
    <w:rsid w:val="00C0366B"/>
    <w:rsid w:val="00C067AB"/>
    <w:rsid w:val="00C136EC"/>
    <w:rsid w:val="00C1410C"/>
    <w:rsid w:val="00C16B3E"/>
    <w:rsid w:val="00C32DDB"/>
    <w:rsid w:val="00C421B7"/>
    <w:rsid w:val="00C426AE"/>
    <w:rsid w:val="00C46215"/>
    <w:rsid w:val="00C57285"/>
    <w:rsid w:val="00C57563"/>
    <w:rsid w:val="00C62338"/>
    <w:rsid w:val="00C634F6"/>
    <w:rsid w:val="00C70801"/>
    <w:rsid w:val="00C71C08"/>
    <w:rsid w:val="00C71C2D"/>
    <w:rsid w:val="00C83903"/>
    <w:rsid w:val="00C83957"/>
    <w:rsid w:val="00C8636E"/>
    <w:rsid w:val="00C90774"/>
    <w:rsid w:val="00C93873"/>
    <w:rsid w:val="00C96AE2"/>
    <w:rsid w:val="00CA12DF"/>
    <w:rsid w:val="00CB26F2"/>
    <w:rsid w:val="00CB57B8"/>
    <w:rsid w:val="00CB64BE"/>
    <w:rsid w:val="00CD3C59"/>
    <w:rsid w:val="00CD4313"/>
    <w:rsid w:val="00CD45D8"/>
    <w:rsid w:val="00CD6CB1"/>
    <w:rsid w:val="00CE0F5F"/>
    <w:rsid w:val="00CE2C5B"/>
    <w:rsid w:val="00CE5D53"/>
    <w:rsid w:val="00CF29F2"/>
    <w:rsid w:val="00CF2DE8"/>
    <w:rsid w:val="00CF66FF"/>
    <w:rsid w:val="00CF6AB2"/>
    <w:rsid w:val="00CF79E7"/>
    <w:rsid w:val="00D016A4"/>
    <w:rsid w:val="00D03E99"/>
    <w:rsid w:val="00D0541C"/>
    <w:rsid w:val="00D079EE"/>
    <w:rsid w:val="00D11553"/>
    <w:rsid w:val="00D14672"/>
    <w:rsid w:val="00D15C09"/>
    <w:rsid w:val="00D268B2"/>
    <w:rsid w:val="00D34DD1"/>
    <w:rsid w:val="00D421F0"/>
    <w:rsid w:val="00D45815"/>
    <w:rsid w:val="00D469EE"/>
    <w:rsid w:val="00D60243"/>
    <w:rsid w:val="00D662EB"/>
    <w:rsid w:val="00D733D3"/>
    <w:rsid w:val="00D75C8F"/>
    <w:rsid w:val="00D85D89"/>
    <w:rsid w:val="00D92D0C"/>
    <w:rsid w:val="00D93592"/>
    <w:rsid w:val="00D97028"/>
    <w:rsid w:val="00D97E64"/>
    <w:rsid w:val="00DA0942"/>
    <w:rsid w:val="00DA43AA"/>
    <w:rsid w:val="00DA463A"/>
    <w:rsid w:val="00DB1F49"/>
    <w:rsid w:val="00DB2ECF"/>
    <w:rsid w:val="00DB557A"/>
    <w:rsid w:val="00DD6A76"/>
    <w:rsid w:val="00DD6FD1"/>
    <w:rsid w:val="00DE664B"/>
    <w:rsid w:val="00DE721F"/>
    <w:rsid w:val="00DF00C7"/>
    <w:rsid w:val="00DF4FE1"/>
    <w:rsid w:val="00E11E0D"/>
    <w:rsid w:val="00E1679B"/>
    <w:rsid w:val="00E5249B"/>
    <w:rsid w:val="00E66AB5"/>
    <w:rsid w:val="00E6745C"/>
    <w:rsid w:val="00E679C0"/>
    <w:rsid w:val="00E70712"/>
    <w:rsid w:val="00E76918"/>
    <w:rsid w:val="00E87A76"/>
    <w:rsid w:val="00E9103C"/>
    <w:rsid w:val="00EA2644"/>
    <w:rsid w:val="00EA3722"/>
    <w:rsid w:val="00EA4395"/>
    <w:rsid w:val="00EA7021"/>
    <w:rsid w:val="00EB1947"/>
    <w:rsid w:val="00EB3BE3"/>
    <w:rsid w:val="00EB3C59"/>
    <w:rsid w:val="00EB4E5A"/>
    <w:rsid w:val="00EB6E70"/>
    <w:rsid w:val="00EB7880"/>
    <w:rsid w:val="00EB7D03"/>
    <w:rsid w:val="00EC3762"/>
    <w:rsid w:val="00EC634D"/>
    <w:rsid w:val="00EC66DB"/>
    <w:rsid w:val="00ED16F5"/>
    <w:rsid w:val="00ED1A76"/>
    <w:rsid w:val="00ED2287"/>
    <w:rsid w:val="00ED421E"/>
    <w:rsid w:val="00EE0C17"/>
    <w:rsid w:val="00EE1BE9"/>
    <w:rsid w:val="00EE4900"/>
    <w:rsid w:val="00EE5BB6"/>
    <w:rsid w:val="00F00ACD"/>
    <w:rsid w:val="00F0295F"/>
    <w:rsid w:val="00F16B65"/>
    <w:rsid w:val="00F22AFF"/>
    <w:rsid w:val="00F26810"/>
    <w:rsid w:val="00F26972"/>
    <w:rsid w:val="00F2790B"/>
    <w:rsid w:val="00F30276"/>
    <w:rsid w:val="00F33F93"/>
    <w:rsid w:val="00F3540B"/>
    <w:rsid w:val="00F4623E"/>
    <w:rsid w:val="00F46853"/>
    <w:rsid w:val="00F52714"/>
    <w:rsid w:val="00F57854"/>
    <w:rsid w:val="00F64844"/>
    <w:rsid w:val="00F669D6"/>
    <w:rsid w:val="00F82D2A"/>
    <w:rsid w:val="00F82DEB"/>
    <w:rsid w:val="00F86FA0"/>
    <w:rsid w:val="00F949A5"/>
    <w:rsid w:val="00F9702A"/>
    <w:rsid w:val="00FA0471"/>
    <w:rsid w:val="00FA275B"/>
    <w:rsid w:val="00FB193C"/>
    <w:rsid w:val="00FC572B"/>
    <w:rsid w:val="00FD328C"/>
    <w:rsid w:val="00FE2339"/>
    <w:rsid w:val="00FE2A65"/>
    <w:rsid w:val="00FE4E91"/>
    <w:rsid w:val="00FE69CA"/>
    <w:rsid w:val="00FE7608"/>
    <w:rsid w:val="00FF20A6"/>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94"/>
    <w:pPr>
      <w:spacing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734698"/>
    <w:pPr>
      <w:spacing w:before="100" w:beforeAutospacing="1" w:after="100" w:afterAutospacing="1"/>
      <w:outlineLvl w:val="0"/>
    </w:pPr>
    <w:rPr>
      <w:b/>
      <w:bCs/>
      <w:kern w:val="36"/>
      <w:sz w:val="48"/>
      <w:szCs w:val="4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1594"/>
    <w:rPr>
      <w:color w:val="0000FF"/>
      <w:u w:val="single"/>
    </w:rPr>
  </w:style>
  <w:style w:type="paragraph" w:styleId="NormalWeb">
    <w:name w:val="Normal (Web)"/>
    <w:basedOn w:val="Normal"/>
    <w:uiPriority w:val="99"/>
    <w:rsid w:val="003E1594"/>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link w:val="HeaderChar"/>
    <w:rsid w:val="003E1594"/>
    <w:pPr>
      <w:tabs>
        <w:tab w:val="center" w:pos="4536"/>
        <w:tab w:val="right" w:pos="9072"/>
      </w:tabs>
    </w:pPr>
  </w:style>
  <w:style w:type="character" w:customStyle="1" w:styleId="HeaderChar">
    <w:name w:val="Header Char"/>
    <w:basedOn w:val="DefaultParagraphFont"/>
    <w:link w:val="Header"/>
    <w:rsid w:val="003E1594"/>
    <w:rPr>
      <w:rFonts w:ascii="Times New Roman" w:eastAsia="Times New Roman" w:hAnsi="Times New Roman" w:cs="Times New Roman"/>
      <w:sz w:val="20"/>
      <w:szCs w:val="20"/>
      <w:lang w:val="en-US"/>
    </w:rPr>
  </w:style>
  <w:style w:type="paragraph" w:customStyle="1" w:styleId="Footer1">
    <w:name w:val="Footer1"/>
    <w:basedOn w:val="Normal"/>
    <w:autoRedefine/>
    <w:rsid w:val="003E1594"/>
    <w:pPr>
      <w:tabs>
        <w:tab w:val="left" w:pos="9540"/>
      </w:tabs>
      <w:ind w:right="360"/>
      <w:jc w:val="both"/>
    </w:pPr>
    <w:rPr>
      <w:rFonts w:ascii="Arial" w:hAnsi="Arial" w:cs="Arial"/>
      <w:i/>
      <w:color w:val="595959" w:themeColor="text1" w:themeTint="A6"/>
      <w:sz w:val="16"/>
      <w:lang w:val="fr-FR"/>
    </w:rPr>
  </w:style>
  <w:style w:type="character" w:styleId="Strong">
    <w:name w:val="Strong"/>
    <w:basedOn w:val="DefaultParagraphFont"/>
    <w:uiPriority w:val="22"/>
    <w:qFormat/>
    <w:rsid w:val="003E1594"/>
    <w:rPr>
      <w:b/>
      <w:bCs/>
    </w:rPr>
  </w:style>
  <w:style w:type="character" w:styleId="Emphasis">
    <w:name w:val="Emphasis"/>
    <w:basedOn w:val="DefaultParagraphFont"/>
    <w:uiPriority w:val="20"/>
    <w:qFormat/>
    <w:rsid w:val="003E1594"/>
    <w:rPr>
      <w:i/>
      <w:iCs/>
    </w:rPr>
  </w:style>
  <w:style w:type="paragraph" w:styleId="Footer">
    <w:name w:val="footer"/>
    <w:basedOn w:val="Normal"/>
    <w:link w:val="FooterChar"/>
    <w:uiPriority w:val="99"/>
    <w:unhideWhenUsed/>
    <w:rsid w:val="003E1594"/>
    <w:pPr>
      <w:tabs>
        <w:tab w:val="center" w:pos="4536"/>
        <w:tab w:val="right" w:pos="9072"/>
      </w:tabs>
    </w:pPr>
  </w:style>
  <w:style w:type="character" w:customStyle="1" w:styleId="FooterChar">
    <w:name w:val="Footer Char"/>
    <w:basedOn w:val="DefaultParagraphFont"/>
    <w:link w:val="Footer"/>
    <w:uiPriority w:val="99"/>
    <w:rsid w:val="003E1594"/>
    <w:rPr>
      <w:rFonts w:ascii="Times New Roman" w:eastAsia="Times New Roman" w:hAnsi="Times New Roman" w:cs="Times New Roman"/>
      <w:sz w:val="20"/>
      <w:szCs w:val="20"/>
      <w:lang w:val="en-US"/>
    </w:rPr>
  </w:style>
  <w:style w:type="paragraph" w:customStyle="1" w:styleId="Default">
    <w:name w:val="Default"/>
    <w:rsid w:val="009E582B"/>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F20"/>
    <w:rPr>
      <w:rFonts w:ascii="Tahoma" w:hAnsi="Tahoma" w:cs="Tahoma"/>
      <w:sz w:val="16"/>
      <w:szCs w:val="16"/>
    </w:rPr>
  </w:style>
  <w:style w:type="character" w:customStyle="1" w:styleId="BalloonTextChar">
    <w:name w:val="Balloon Text Char"/>
    <w:basedOn w:val="DefaultParagraphFont"/>
    <w:link w:val="BalloonText"/>
    <w:uiPriority w:val="99"/>
    <w:semiHidden/>
    <w:rsid w:val="00844F20"/>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844F20"/>
  </w:style>
  <w:style w:type="character" w:customStyle="1" w:styleId="FootnoteTextChar">
    <w:name w:val="Footnote Text Char"/>
    <w:basedOn w:val="DefaultParagraphFont"/>
    <w:link w:val="FootnoteText"/>
    <w:uiPriority w:val="99"/>
    <w:semiHidden/>
    <w:rsid w:val="00844F20"/>
    <w:rPr>
      <w:rFonts w:ascii="Times New Roman" w:eastAsia="Times New Roman" w:hAnsi="Times New Roman" w:cs="Times New Roman"/>
      <w:sz w:val="20"/>
      <w:szCs w:val="20"/>
      <w:lang w:val="en-US"/>
    </w:rPr>
  </w:style>
  <w:style w:type="character" w:styleId="FootnoteReference">
    <w:name w:val="footnote reference"/>
    <w:aliases w:val="stylish,Ref,de nota al pie,Footnote reference number,Footnote symbol,note TESI,Footnote Reference1,Voetnootverwijzing,Fußnotenzeichen2,Times 10 Point,Exposant 3 Point,Footnote"/>
    <w:basedOn w:val="DefaultParagraphFont"/>
    <w:uiPriority w:val="99"/>
    <w:unhideWhenUsed/>
    <w:rsid w:val="00844F20"/>
    <w:rPr>
      <w:vertAlign w:val="superscript"/>
    </w:rPr>
  </w:style>
  <w:style w:type="character" w:customStyle="1" w:styleId="Heading1Char">
    <w:name w:val="Heading 1 Char"/>
    <w:basedOn w:val="DefaultParagraphFont"/>
    <w:link w:val="Heading1"/>
    <w:uiPriority w:val="9"/>
    <w:rsid w:val="00734698"/>
    <w:rPr>
      <w:rFonts w:ascii="Times New Roman" w:eastAsia="Times New Roman" w:hAnsi="Times New Roman" w:cs="Times New Roman"/>
      <w:b/>
      <w:bCs/>
      <w:kern w:val="36"/>
      <w:sz w:val="48"/>
      <w:szCs w:val="48"/>
      <w:lang w:eastAsia="sv-SE"/>
    </w:rPr>
  </w:style>
  <w:style w:type="character" w:customStyle="1" w:styleId="field-content">
    <w:name w:val="field-content"/>
    <w:basedOn w:val="DefaultParagraphFont"/>
    <w:rsid w:val="001A0B95"/>
  </w:style>
  <w:style w:type="paragraph" w:styleId="ListParagraph">
    <w:name w:val="List Paragraph"/>
    <w:basedOn w:val="Normal"/>
    <w:uiPriority w:val="34"/>
    <w:qFormat/>
    <w:rsid w:val="00A64F97"/>
    <w:pPr>
      <w:ind w:left="720"/>
      <w:contextualSpacing/>
    </w:pPr>
  </w:style>
  <w:style w:type="character" w:styleId="FollowedHyperlink">
    <w:name w:val="FollowedHyperlink"/>
    <w:basedOn w:val="DefaultParagraphFont"/>
    <w:uiPriority w:val="99"/>
    <w:semiHidden/>
    <w:unhideWhenUsed/>
    <w:rsid w:val="007A09A0"/>
    <w:rPr>
      <w:color w:val="800080" w:themeColor="followedHyperlink"/>
      <w:u w:val="single"/>
    </w:rPr>
  </w:style>
  <w:style w:type="character" w:styleId="CommentReference">
    <w:name w:val="annotation reference"/>
    <w:basedOn w:val="DefaultParagraphFont"/>
    <w:uiPriority w:val="99"/>
    <w:semiHidden/>
    <w:unhideWhenUsed/>
    <w:rsid w:val="007D202D"/>
    <w:rPr>
      <w:sz w:val="16"/>
      <w:szCs w:val="16"/>
    </w:rPr>
  </w:style>
  <w:style w:type="paragraph" w:styleId="CommentText">
    <w:name w:val="annotation text"/>
    <w:basedOn w:val="Normal"/>
    <w:link w:val="CommentTextChar"/>
    <w:uiPriority w:val="99"/>
    <w:semiHidden/>
    <w:unhideWhenUsed/>
    <w:rsid w:val="007D202D"/>
  </w:style>
  <w:style w:type="character" w:customStyle="1" w:styleId="CommentTextChar">
    <w:name w:val="Comment Text Char"/>
    <w:basedOn w:val="DefaultParagraphFont"/>
    <w:link w:val="CommentText"/>
    <w:uiPriority w:val="99"/>
    <w:semiHidden/>
    <w:rsid w:val="007D202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02D"/>
    <w:rPr>
      <w:b/>
      <w:bCs/>
    </w:rPr>
  </w:style>
  <w:style w:type="character" w:customStyle="1" w:styleId="CommentSubjectChar">
    <w:name w:val="Comment Subject Char"/>
    <w:basedOn w:val="CommentTextChar"/>
    <w:link w:val="CommentSubject"/>
    <w:uiPriority w:val="99"/>
    <w:semiHidden/>
    <w:rsid w:val="007D202D"/>
    <w:rPr>
      <w:rFonts w:ascii="Times New Roman" w:eastAsia="Times New Roman" w:hAnsi="Times New Roman" w:cs="Times New Roman"/>
      <w:b/>
      <w:bCs/>
      <w:sz w:val="20"/>
      <w:szCs w:val="20"/>
      <w:lang w:val="en-US"/>
    </w:rPr>
  </w:style>
  <w:style w:type="paragraph" w:styleId="Revision">
    <w:name w:val="Revision"/>
    <w:hidden/>
    <w:uiPriority w:val="99"/>
    <w:semiHidden/>
    <w:rsid w:val="005E6D87"/>
    <w:pPr>
      <w:spacing w:line="240" w:lineRule="auto"/>
    </w:pPr>
    <w:rPr>
      <w:rFonts w:ascii="Times New Roman" w:eastAsia="Times New Roman" w:hAnsi="Times New Roman" w:cs="Times New Roman"/>
      <w:sz w:val="20"/>
      <w:szCs w:val="20"/>
      <w:lang w:val="en-US"/>
    </w:rPr>
  </w:style>
  <w:style w:type="paragraph" w:styleId="NoSpacing">
    <w:name w:val="No Spacing"/>
    <w:uiPriority w:val="1"/>
    <w:qFormat/>
    <w:rsid w:val="00E6745C"/>
    <w:pPr>
      <w:spacing w:line="240" w:lineRule="auto"/>
    </w:pPr>
    <w:rPr>
      <w:rFonts w:eastAsiaTheme="minorEastAsia"/>
      <w:lang w:eastAsia="sv-SE"/>
    </w:rPr>
  </w:style>
  <w:style w:type="character" w:customStyle="1" w:styleId="hps">
    <w:name w:val="hps"/>
    <w:basedOn w:val="DefaultParagraphFont"/>
    <w:rsid w:val="000C4B2B"/>
  </w:style>
  <w:style w:type="character" w:customStyle="1" w:styleId="atn">
    <w:name w:val="atn"/>
    <w:basedOn w:val="DefaultParagraphFont"/>
    <w:rsid w:val="00A03DC5"/>
  </w:style>
  <w:style w:type="character" w:customStyle="1" w:styleId="apple-converted-space">
    <w:name w:val="apple-converted-space"/>
    <w:basedOn w:val="DefaultParagraphFont"/>
    <w:rsid w:val="00095946"/>
  </w:style>
</w:styles>
</file>

<file path=word/webSettings.xml><?xml version="1.0" encoding="utf-8"?>
<w:webSettings xmlns:r="http://schemas.openxmlformats.org/officeDocument/2006/relationships" xmlns:w="http://schemas.openxmlformats.org/wordprocessingml/2006/main">
  <w:divs>
    <w:div w:id="39791999">
      <w:bodyDiv w:val="1"/>
      <w:marLeft w:val="0"/>
      <w:marRight w:val="0"/>
      <w:marTop w:val="0"/>
      <w:marBottom w:val="0"/>
      <w:divBdr>
        <w:top w:val="none" w:sz="0" w:space="0" w:color="auto"/>
        <w:left w:val="none" w:sz="0" w:space="0" w:color="auto"/>
        <w:bottom w:val="none" w:sz="0" w:space="0" w:color="auto"/>
        <w:right w:val="none" w:sz="0" w:space="0" w:color="auto"/>
      </w:divBdr>
    </w:div>
    <w:div w:id="189611521">
      <w:bodyDiv w:val="1"/>
      <w:marLeft w:val="0"/>
      <w:marRight w:val="0"/>
      <w:marTop w:val="0"/>
      <w:marBottom w:val="0"/>
      <w:divBdr>
        <w:top w:val="none" w:sz="0" w:space="0" w:color="auto"/>
        <w:left w:val="none" w:sz="0" w:space="0" w:color="auto"/>
        <w:bottom w:val="none" w:sz="0" w:space="0" w:color="auto"/>
        <w:right w:val="none" w:sz="0" w:space="0" w:color="auto"/>
      </w:divBdr>
    </w:div>
    <w:div w:id="328947315">
      <w:bodyDiv w:val="1"/>
      <w:marLeft w:val="0"/>
      <w:marRight w:val="0"/>
      <w:marTop w:val="0"/>
      <w:marBottom w:val="0"/>
      <w:divBdr>
        <w:top w:val="none" w:sz="0" w:space="0" w:color="auto"/>
        <w:left w:val="none" w:sz="0" w:space="0" w:color="auto"/>
        <w:bottom w:val="none" w:sz="0" w:space="0" w:color="auto"/>
        <w:right w:val="none" w:sz="0" w:space="0" w:color="auto"/>
      </w:divBdr>
      <w:divsChild>
        <w:div w:id="317344620">
          <w:marLeft w:val="0"/>
          <w:marRight w:val="0"/>
          <w:marTop w:val="0"/>
          <w:marBottom w:val="0"/>
          <w:divBdr>
            <w:top w:val="none" w:sz="0" w:space="0" w:color="auto"/>
            <w:left w:val="none" w:sz="0" w:space="0" w:color="auto"/>
            <w:bottom w:val="none" w:sz="0" w:space="0" w:color="auto"/>
            <w:right w:val="none" w:sz="0" w:space="0" w:color="auto"/>
          </w:divBdr>
          <w:divsChild>
            <w:div w:id="21062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390">
      <w:bodyDiv w:val="1"/>
      <w:marLeft w:val="0"/>
      <w:marRight w:val="0"/>
      <w:marTop w:val="0"/>
      <w:marBottom w:val="0"/>
      <w:divBdr>
        <w:top w:val="none" w:sz="0" w:space="0" w:color="auto"/>
        <w:left w:val="none" w:sz="0" w:space="0" w:color="auto"/>
        <w:bottom w:val="none" w:sz="0" w:space="0" w:color="auto"/>
        <w:right w:val="none" w:sz="0" w:space="0" w:color="auto"/>
      </w:divBdr>
    </w:div>
    <w:div w:id="813106229">
      <w:bodyDiv w:val="1"/>
      <w:marLeft w:val="0"/>
      <w:marRight w:val="0"/>
      <w:marTop w:val="0"/>
      <w:marBottom w:val="0"/>
      <w:divBdr>
        <w:top w:val="none" w:sz="0" w:space="0" w:color="auto"/>
        <w:left w:val="none" w:sz="0" w:space="0" w:color="auto"/>
        <w:bottom w:val="none" w:sz="0" w:space="0" w:color="auto"/>
        <w:right w:val="none" w:sz="0" w:space="0" w:color="auto"/>
      </w:divBdr>
      <w:divsChild>
        <w:div w:id="1532301920">
          <w:marLeft w:val="187"/>
          <w:marRight w:val="0"/>
          <w:marTop w:val="60"/>
          <w:marBottom w:val="0"/>
          <w:divBdr>
            <w:top w:val="none" w:sz="0" w:space="0" w:color="auto"/>
            <w:left w:val="none" w:sz="0" w:space="0" w:color="auto"/>
            <w:bottom w:val="none" w:sz="0" w:space="0" w:color="auto"/>
            <w:right w:val="none" w:sz="0" w:space="0" w:color="auto"/>
          </w:divBdr>
        </w:div>
        <w:div w:id="2018187668">
          <w:marLeft w:val="187"/>
          <w:marRight w:val="0"/>
          <w:marTop w:val="60"/>
          <w:marBottom w:val="0"/>
          <w:divBdr>
            <w:top w:val="none" w:sz="0" w:space="0" w:color="auto"/>
            <w:left w:val="none" w:sz="0" w:space="0" w:color="auto"/>
            <w:bottom w:val="none" w:sz="0" w:space="0" w:color="auto"/>
            <w:right w:val="none" w:sz="0" w:space="0" w:color="auto"/>
          </w:divBdr>
        </w:div>
        <w:div w:id="1215777455">
          <w:marLeft w:val="187"/>
          <w:marRight w:val="0"/>
          <w:marTop w:val="60"/>
          <w:marBottom w:val="0"/>
          <w:divBdr>
            <w:top w:val="none" w:sz="0" w:space="0" w:color="auto"/>
            <w:left w:val="none" w:sz="0" w:space="0" w:color="auto"/>
            <w:bottom w:val="none" w:sz="0" w:space="0" w:color="auto"/>
            <w:right w:val="none" w:sz="0" w:space="0" w:color="auto"/>
          </w:divBdr>
        </w:div>
        <w:div w:id="422149640">
          <w:marLeft w:val="187"/>
          <w:marRight w:val="0"/>
          <w:marTop w:val="60"/>
          <w:marBottom w:val="0"/>
          <w:divBdr>
            <w:top w:val="none" w:sz="0" w:space="0" w:color="auto"/>
            <w:left w:val="none" w:sz="0" w:space="0" w:color="auto"/>
            <w:bottom w:val="none" w:sz="0" w:space="0" w:color="auto"/>
            <w:right w:val="none" w:sz="0" w:space="0" w:color="auto"/>
          </w:divBdr>
        </w:div>
      </w:divsChild>
    </w:div>
    <w:div w:id="1289776911">
      <w:bodyDiv w:val="1"/>
      <w:marLeft w:val="0"/>
      <w:marRight w:val="0"/>
      <w:marTop w:val="0"/>
      <w:marBottom w:val="0"/>
      <w:divBdr>
        <w:top w:val="none" w:sz="0" w:space="0" w:color="auto"/>
        <w:left w:val="none" w:sz="0" w:space="0" w:color="auto"/>
        <w:bottom w:val="none" w:sz="0" w:space="0" w:color="auto"/>
        <w:right w:val="none" w:sz="0" w:space="0" w:color="auto"/>
      </w:divBdr>
    </w:div>
    <w:div w:id="1437170883">
      <w:bodyDiv w:val="1"/>
      <w:marLeft w:val="0"/>
      <w:marRight w:val="0"/>
      <w:marTop w:val="0"/>
      <w:marBottom w:val="0"/>
      <w:divBdr>
        <w:top w:val="none" w:sz="0" w:space="0" w:color="auto"/>
        <w:left w:val="none" w:sz="0" w:space="0" w:color="auto"/>
        <w:bottom w:val="none" w:sz="0" w:space="0" w:color="auto"/>
        <w:right w:val="none" w:sz="0" w:space="0" w:color="auto"/>
      </w:divBdr>
    </w:div>
    <w:div w:id="1441299256">
      <w:bodyDiv w:val="1"/>
      <w:marLeft w:val="0"/>
      <w:marRight w:val="0"/>
      <w:marTop w:val="0"/>
      <w:marBottom w:val="0"/>
      <w:divBdr>
        <w:top w:val="none" w:sz="0" w:space="0" w:color="auto"/>
        <w:left w:val="none" w:sz="0" w:space="0" w:color="auto"/>
        <w:bottom w:val="none" w:sz="0" w:space="0" w:color="auto"/>
        <w:right w:val="none" w:sz="0" w:space="0" w:color="auto"/>
      </w:divBdr>
    </w:div>
    <w:div w:id="1468430643">
      <w:bodyDiv w:val="1"/>
      <w:marLeft w:val="0"/>
      <w:marRight w:val="0"/>
      <w:marTop w:val="0"/>
      <w:marBottom w:val="0"/>
      <w:divBdr>
        <w:top w:val="none" w:sz="0" w:space="0" w:color="auto"/>
        <w:left w:val="none" w:sz="0" w:space="0" w:color="auto"/>
        <w:bottom w:val="none" w:sz="0" w:space="0" w:color="auto"/>
        <w:right w:val="none" w:sz="0" w:space="0" w:color="auto"/>
      </w:divBdr>
      <w:divsChild>
        <w:div w:id="1756198465">
          <w:marLeft w:val="0"/>
          <w:marRight w:val="0"/>
          <w:marTop w:val="0"/>
          <w:marBottom w:val="0"/>
          <w:divBdr>
            <w:top w:val="none" w:sz="0" w:space="0" w:color="auto"/>
            <w:left w:val="none" w:sz="0" w:space="0" w:color="auto"/>
            <w:bottom w:val="none" w:sz="0" w:space="0" w:color="auto"/>
            <w:right w:val="none" w:sz="0" w:space="0" w:color="auto"/>
          </w:divBdr>
          <w:divsChild>
            <w:div w:id="1883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0877">
      <w:bodyDiv w:val="1"/>
      <w:marLeft w:val="0"/>
      <w:marRight w:val="0"/>
      <w:marTop w:val="0"/>
      <w:marBottom w:val="0"/>
      <w:divBdr>
        <w:top w:val="none" w:sz="0" w:space="0" w:color="auto"/>
        <w:left w:val="none" w:sz="0" w:space="0" w:color="auto"/>
        <w:bottom w:val="none" w:sz="0" w:space="0" w:color="auto"/>
        <w:right w:val="none" w:sz="0" w:space="0" w:color="auto"/>
      </w:divBdr>
    </w:div>
    <w:div w:id="2102724978">
      <w:bodyDiv w:val="1"/>
      <w:marLeft w:val="0"/>
      <w:marRight w:val="0"/>
      <w:marTop w:val="0"/>
      <w:marBottom w:val="0"/>
      <w:divBdr>
        <w:top w:val="none" w:sz="0" w:space="0" w:color="auto"/>
        <w:left w:val="none" w:sz="0" w:space="0" w:color="auto"/>
        <w:bottom w:val="none" w:sz="0" w:space="0" w:color="auto"/>
        <w:right w:val="none" w:sz="0" w:space="0" w:color="auto"/>
      </w:divBdr>
    </w:div>
    <w:div w:id="212036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beudat@capgemini.com" TargetMode="External"/><Relationship Id="rId13" Type="http://schemas.openxmlformats.org/officeDocument/2006/relationships/hyperlink" Target="http://www.rb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bcwealthmanagemen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gemini-consulting.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apgemini.com/" TargetMode="External"/><Relationship Id="rId4" Type="http://schemas.openxmlformats.org/officeDocument/2006/relationships/settings" Target="settings.xml"/><Relationship Id="rId9" Type="http://schemas.openxmlformats.org/officeDocument/2006/relationships/hyperlink" Target="http://www.capgemini.com/about/how-we-work/the-collaborative-business-experience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991E-2A2B-473A-84DB-391D1C39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Capgemini</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Beudat</dc:creator>
  <cp:lastModifiedBy>xbeudat</cp:lastModifiedBy>
  <cp:revision>5</cp:revision>
  <cp:lastPrinted>2016-06-22T07:08:00Z</cp:lastPrinted>
  <dcterms:created xsi:type="dcterms:W3CDTF">2016-06-22T07:07:00Z</dcterms:created>
  <dcterms:modified xsi:type="dcterms:W3CDTF">2016-06-22T08:25:00Z</dcterms:modified>
</cp:coreProperties>
</file>