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E71" w:rsidRPr="00A62DD9" w:rsidRDefault="00425E71" w:rsidP="000061D9">
      <w:pPr>
        <w:pStyle w:val="PressInformation"/>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3.75pt;height:31.5pt;visibility:visible">
            <v:imagedata r:id="rId7" o:title=""/>
          </v:shape>
        </w:pict>
      </w:r>
    </w:p>
    <w:p w:rsidR="00425E71" w:rsidRPr="00A62DD9" w:rsidRDefault="00425E71" w:rsidP="000061D9">
      <w:pPr>
        <w:pStyle w:val="PressInformation"/>
        <w:rPr>
          <w:lang w:val="en-US"/>
        </w:rPr>
      </w:pPr>
    </w:p>
    <w:p w:rsidR="00425E71" w:rsidRPr="008E3F76" w:rsidRDefault="00425E71" w:rsidP="00956590">
      <w:pPr>
        <w:ind w:left="5760" w:right="-540"/>
        <w:rPr>
          <w:rFonts w:ascii="Arial" w:hAnsi="Arial" w:cs="Arial"/>
          <w:sz w:val="22"/>
          <w:szCs w:val="22"/>
          <w:u w:val="single"/>
          <w:lang w:val="da-DK"/>
        </w:rPr>
      </w:pPr>
      <w:r w:rsidRPr="008E3F76">
        <w:rPr>
          <w:rFonts w:ascii="Arial" w:hAnsi="Arial" w:cs="Arial"/>
          <w:sz w:val="20"/>
          <w:szCs w:val="20"/>
          <w:u w:val="single"/>
          <w:lang w:val="da-DK"/>
        </w:rPr>
        <w:t>Kontakt:</w:t>
      </w:r>
    </w:p>
    <w:p w:rsidR="00425E71" w:rsidRDefault="00425E71" w:rsidP="00956590">
      <w:pPr>
        <w:ind w:left="5760" w:right="-540"/>
        <w:rPr>
          <w:rFonts w:ascii="Arial" w:hAnsi="Arial" w:cs="Arial"/>
          <w:sz w:val="20"/>
          <w:szCs w:val="20"/>
          <w:lang w:val="da-DK"/>
        </w:rPr>
      </w:pPr>
      <w:r>
        <w:rPr>
          <w:rFonts w:ascii="Arial" w:hAnsi="Arial" w:cs="Arial"/>
          <w:sz w:val="20"/>
          <w:szCs w:val="20"/>
          <w:lang w:val="da-DK"/>
        </w:rPr>
        <w:t>Linda Brandelius</w:t>
      </w:r>
    </w:p>
    <w:p w:rsidR="00425E71" w:rsidRPr="008E3F76" w:rsidRDefault="00425E71" w:rsidP="00956590">
      <w:pPr>
        <w:ind w:left="5760" w:right="-540"/>
        <w:rPr>
          <w:rFonts w:ascii="Arial" w:hAnsi="Arial" w:cs="Arial"/>
          <w:sz w:val="20"/>
          <w:szCs w:val="20"/>
          <w:lang w:val="da-DK" w:eastAsia="en-GB"/>
        </w:rPr>
      </w:pPr>
      <w:r>
        <w:rPr>
          <w:rFonts w:ascii="Arial" w:hAnsi="Arial" w:cs="Arial"/>
          <w:sz w:val="20"/>
          <w:szCs w:val="20"/>
          <w:lang w:val="da-DK"/>
        </w:rPr>
        <w:t>Linda_brandelius@goodyear.com</w:t>
      </w:r>
    </w:p>
    <w:p w:rsidR="00425E71" w:rsidRPr="008E3F76" w:rsidRDefault="00425E71" w:rsidP="007C1023">
      <w:pPr>
        <w:pStyle w:val="PressRelease"/>
        <w:rPr>
          <w:lang w:val="da-DK"/>
        </w:rPr>
      </w:pPr>
      <w:r w:rsidRPr="008E3F76">
        <w:rPr>
          <w:lang w:val="da-DK"/>
        </w:rPr>
        <w:t>PRESSEMEDDELELSE</w:t>
      </w:r>
    </w:p>
    <w:p w:rsidR="00425E71" w:rsidRPr="008E3F76" w:rsidRDefault="00425E71" w:rsidP="00840B3F">
      <w:pPr>
        <w:pStyle w:val="Title"/>
        <w:spacing w:line="360" w:lineRule="auto"/>
        <w:rPr>
          <w:sz w:val="10"/>
          <w:szCs w:val="10"/>
          <w:lang w:val="da-DK"/>
        </w:rPr>
      </w:pPr>
    </w:p>
    <w:p w:rsidR="00425E71" w:rsidRPr="008E3F76" w:rsidRDefault="00425E71" w:rsidP="008B5A6B">
      <w:pPr>
        <w:pStyle w:val="Title"/>
        <w:spacing w:line="360" w:lineRule="auto"/>
        <w:rPr>
          <w:sz w:val="36"/>
          <w:szCs w:val="36"/>
          <w:lang w:val="da-DK"/>
        </w:rPr>
      </w:pPr>
      <w:bookmarkStart w:id="0" w:name="OLE_LINK39"/>
      <w:r w:rsidRPr="008E3F76">
        <w:rPr>
          <w:sz w:val="36"/>
          <w:szCs w:val="36"/>
          <w:lang w:val="da-DK"/>
        </w:rPr>
        <w:t xml:space="preserve">Goodyear introducerer lastbildækserien </w:t>
      </w:r>
    </w:p>
    <w:p w:rsidR="00425E71" w:rsidRPr="008E3F76" w:rsidRDefault="00425E71" w:rsidP="008B5A6B">
      <w:pPr>
        <w:pStyle w:val="Title"/>
        <w:spacing w:line="360" w:lineRule="auto"/>
        <w:rPr>
          <w:sz w:val="36"/>
          <w:szCs w:val="36"/>
          <w:lang w:val="da-DK"/>
        </w:rPr>
      </w:pPr>
      <w:r w:rsidRPr="008E3F76">
        <w:rPr>
          <w:sz w:val="36"/>
          <w:szCs w:val="36"/>
          <w:lang w:val="da-DK"/>
        </w:rPr>
        <w:t>Marathon +</w:t>
      </w:r>
    </w:p>
    <w:p w:rsidR="00425E71" w:rsidRPr="00B70AEF" w:rsidRDefault="00425E71" w:rsidP="008B5A6B">
      <w:pPr>
        <w:pStyle w:val="Title"/>
        <w:spacing w:line="360" w:lineRule="auto"/>
        <w:rPr>
          <w:i/>
          <w:sz w:val="28"/>
          <w:szCs w:val="28"/>
          <w:lang w:val="da-DK"/>
        </w:rPr>
      </w:pPr>
      <w:r w:rsidRPr="00B70AEF">
        <w:rPr>
          <w:i/>
          <w:sz w:val="28"/>
          <w:szCs w:val="28"/>
          <w:lang w:val="da-DK"/>
        </w:rPr>
        <w:t>med lavere driftsomkostninger og bedre vådgreb</w:t>
      </w:r>
    </w:p>
    <w:p w:rsidR="00425E71" w:rsidRPr="00B70AEF" w:rsidRDefault="00425E71" w:rsidP="00511BFA">
      <w:pPr>
        <w:spacing w:after="120" w:line="360" w:lineRule="auto"/>
        <w:jc w:val="both"/>
        <w:rPr>
          <w:rFonts w:ascii="Arial" w:hAnsi="Arial" w:cs="Arial"/>
          <w:sz w:val="22"/>
          <w:szCs w:val="22"/>
          <w:lang w:val="da-DK"/>
        </w:rPr>
      </w:pPr>
      <w:r>
        <w:rPr>
          <w:noProof/>
          <w:lang w:val="en-US"/>
        </w:rPr>
        <w:pict>
          <v:shape id="Picture 2" o:spid="_x0000_s1026" type="#_x0000_t75" alt="Marathon LHS II __315-80 R22" style="position:absolute;left:0;text-align:left;margin-left:208.5pt;margin-top:4.75pt;width:232.85pt;height:174.2pt;z-index:251658240;visibility:visible">
            <v:imagedata r:id="rId8" o:title=""/>
            <w10:wrap type="square"/>
          </v:shape>
        </w:pict>
      </w:r>
      <w:r w:rsidRPr="00B70AEF">
        <w:rPr>
          <w:rFonts w:ascii="Arial" w:hAnsi="Arial" w:cs="Arial"/>
          <w:sz w:val="22"/>
          <w:szCs w:val="22"/>
          <w:lang w:val="da-DK"/>
        </w:rPr>
        <w:t xml:space="preserve">Bruxelles, den </w:t>
      </w:r>
      <w:r>
        <w:rPr>
          <w:rFonts w:ascii="Arial" w:hAnsi="Arial" w:cs="Arial"/>
          <w:sz w:val="22"/>
          <w:szCs w:val="22"/>
          <w:lang w:val="da-DK"/>
        </w:rPr>
        <w:t>30</w:t>
      </w:r>
      <w:r w:rsidRPr="00B70AEF">
        <w:rPr>
          <w:rFonts w:ascii="Arial" w:hAnsi="Arial" w:cs="Arial"/>
          <w:sz w:val="22"/>
          <w:szCs w:val="22"/>
          <w:lang w:val="da-DK"/>
        </w:rPr>
        <w:t xml:space="preserve">. november – Lanceringen af Goodyears helt nye dækserie </w:t>
      </w:r>
      <w:bookmarkEnd w:id="0"/>
      <w:r w:rsidRPr="00B70AEF">
        <w:rPr>
          <w:rFonts w:ascii="Arial" w:hAnsi="Arial" w:cs="Arial"/>
          <w:sz w:val="22"/>
          <w:szCs w:val="22"/>
          <w:lang w:val="da-DK"/>
        </w:rPr>
        <w:t>Marathon +, er introduktionen til lastbildæk, som reducerer driftsomkostningerne endnu mere end forgængerne</w:t>
      </w:r>
      <w:r w:rsidRPr="00A62DD9">
        <w:rPr>
          <w:rStyle w:val="FootnoteReference"/>
          <w:rFonts w:ascii="Arial" w:hAnsi="Arial" w:cs="Arial"/>
          <w:sz w:val="22"/>
          <w:szCs w:val="22"/>
          <w:lang w:val="en-US"/>
        </w:rPr>
        <w:footnoteReference w:id="1"/>
      </w:r>
      <w:r w:rsidRPr="00B70AEF">
        <w:rPr>
          <w:rFonts w:ascii="Arial" w:hAnsi="Arial" w:cs="Arial"/>
          <w:sz w:val="22"/>
          <w:szCs w:val="22"/>
          <w:lang w:val="da-DK"/>
        </w:rPr>
        <w:t xml:space="preserve"> og deres konkurrenter</w:t>
      </w:r>
      <w:r w:rsidRPr="00A62DD9">
        <w:rPr>
          <w:rStyle w:val="FootnoteReference"/>
          <w:rFonts w:ascii="Arial" w:hAnsi="Arial" w:cs="Arial"/>
          <w:sz w:val="22"/>
          <w:szCs w:val="22"/>
          <w:lang w:val="en-US"/>
        </w:rPr>
        <w:footnoteReference w:id="2"/>
      </w:r>
      <w:r w:rsidRPr="00B70AEF">
        <w:rPr>
          <w:rFonts w:ascii="Arial" w:hAnsi="Arial" w:cs="Arial"/>
          <w:sz w:val="22"/>
          <w:szCs w:val="22"/>
          <w:lang w:val="da-DK"/>
        </w:rPr>
        <w:t xml:space="preserve">.   </w:t>
      </w:r>
      <w:bookmarkStart w:id="1" w:name="_GoBack"/>
      <w:bookmarkEnd w:id="1"/>
      <w:r w:rsidRPr="00B70AEF">
        <w:rPr>
          <w:rFonts w:ascii="Arial" w:hAnsi="Arial" w:cs="Arial"/>
          <w:sz w:val="22"/>
          <w:szCs w:val="22"/>
          <w:lang w:val="da-DK"/>
        </w:rPr>
        <w:t>Goodyear Marathon LHS II + og LHD II + fordæk og trækdæk til langturstransport har den laveste rullemodstand, noget Goodyear lastbildæk har haft til dato samtidig med et bedre vådgreb end konkurrenterne</w:t>
      </w:r>
      <w:r w:rsidRPr="00B70AEF">
        <w:rPr>
          <w:rFonts w:ascii="Arial" w:hAnsi="Arial" w:cs="Arial"/>
          <w:sz w:val="22"/>
          <w:szCs w:val="22"/>
          <w:vertAlign w:val="superscript"/>
          <w:lang w:val="da-DK"/>
        </w:rPr>
        <w:t>2</w:t>
      </w:r>
      <w:r w:rsidRPr="00B70AEF">
        <w:rPr>
          <w:rFonts w:ascii="Arial" w:hAnsi="Arial" w:cs="Arial"/>
          <w:sz w:val="22"/>
          <w:szCs w:val="22"/>
          <w:lang w:val="da-DK"/>
        </w:rPr>
        <w:t>, uden at gå på kompromis med kilometertallet.  Rullemodstanden i de nye dæk er 7 % mindre end hos dækkene LHS II og LHD II, hvilket betyder endnu lavere brændstofforbrug og emissioner</w:t>
      </w:r>
      <w:r w:rsidRPr="00B70AEF">
        <w:rPr>
          <w:rStyle w:val="FootnoteReference"/>
          <w:rFonts w:ascii="Arial" w:hAnsi="Arial" w:cs="Arial"/>
          <w:sz w:val="22"/>
          <w:szCs w:val="22"/>
          <w:lang w:val="da-DK"/>
        </w:rPr>
        <w:t>1</w:t>
      </w:r>
      <w:r w:rsidRPr="00B70AEF">
        <w:rPr>
          <w:rFonts w:ascii="Arial" w:hAnsi="Arial" w:cs="Arial"/>
          <w:sz w:val="22"/>
          <w:szCs w:val="22"/>
          <w:lang w:val="da-DK"/>
        </w:rPr>
        <w:t>.   Tests udført af TÜV Süd Automotive</w:t>
      </w:r>
      <w:r w:rsidRPr="00B70AEF">
        <w:rPr>
          <w:rFonts w:ascii="Arial" w:hAnsi="Arial" w:cs="Arial"/>
          <w:sz w:val="22"/>
          <w:szCs w:val="22"/>
          <w:vertAlign w:val="superscript"/>
          <w:lang w:val="da-DK"/>
        </w:rPr>
        <w:t>2</w:t>
      </w:r>
      <w:r w:rsidRPr="00B70AEF">
        <w:rPr>
          <w:rFonts w:ascii="Arial" w:hAnsi="Arial" w:cs="Arial"/>
          <w:sz w:val="22"/>
          <w:szCs w:val="22"/>
          <w:lang w:val="da-DK"/>
        </w:rPr>
        <w:t>, der sammenligner performance for de nye Marathon + dæk med tre af de førende konkurrenters, viser de nye dæks fremragende rullemodstand og bremseegenskaber i vådt føre. Nøglen til de teknologiske fremskridt, som har gjort dette muligt, er en ny og innovativ forbedring af slidbanematerialet kaldet Silefex.</w:t>
      </w:r>
    </w:p>
    <w:p w:rsidR="00425E71" w:rsidRPr="00B70AEF" w:rsidRDefault="00425E71" w:rsidP="00427D6C">
      <w:pPr>
        <w:spacing w:after="40"/>
        <w:jc w:val="both"/>
        <w:rPr>
          <w:rFonts w:ascii="Arial" w:hAnsi="Arial" w:cs="Arial"/>
          <w:b/>
          <w:sz w:val="22"/>
          <w:szCs w:val="22"/>
          <w:lang w:val="da-DK"/>
        </w:rPr>
      </w:pPr>
      <w:r w:rsidRPr="00B70AEF">
        <w:rPr>
          <w:rFonts w:ascii="Arial" w:hAnsi="Arial" w:cs="Arial"/>
          <w:b/>
          <w:sz w:val="22"/>
          <w:szCs w:val="22"/>
          <w:lang w:val="da-DK"/>
        </w:rPr>
        <w:t>MARKEDSTAL</w:t>
      </w:r>
    </w:p>
    <w:p w:rsidR="00425E71" w:rsidRPr="00B70AEF" w:rsidRDefault="00425E71" w:rsidP="00777E35">
      <w:pPr>
        <w:spacing w:after="120" w:line="360" w:lineRule="auto"/>
        <w:jc w:val="both"/>
        <w:rPr>
          <w:rFonts w:ascii="Arial" w:hAnsi="Arial" w:cs="Arial"/>
          <w:sz w:val="22"/>
          <w:szCs w:val="22"/>
          <w:lang w:val="da-DK"/>
        </w:rPr>
      </w:pPr>
      <w:r w:rsidRPr="00B70AEF">
        <w:rPr>
          <w:rFonts w:ascii="Arial" w:hAnsi="Arial" w:cs="Arial"/>
          <w:sz w:val="22"/>
          <w:szCs w:val="22"/>
          <w:lang w:val="da-DK"/>
        </w:rPr>
        <w:t>Med brændstofudgifter, der i nogle tilfælde repræsenterer 34,9 % af køretøjets samlede driftsomkostninger, og dertil chaufførudgifter på 27,1 %,</w:t>
      </w:r>
      <w:r w:rsidRPr="00B70AEF">
        <w:rPr>
          <w:rFonts w:ascii="Arial" w:hAnsi="Arial" w:cs="Arial"/>
          <w:color w:val="FF0000"/>
          <w:sz w:val="22"/>
          <w:szCs w:val="22"/>
          <w:lang w:val="da-DK"/>
        </w:rPr>
        <w:t xml:space="preserve"> </w:t>
      </w:r>
      <w:r w:rsidRPr="00B70AEF">
        <w:rPr>
          <w:rFonts w:ascii="Arial" w:hAnsi="Arial" w:cs="Arial"/>
          <w:sz w:val="22"/>
          <w:szCs w:val="22"/>
          <w:lang w:val="da-DK"/>
        </w:rPr>
        <w:t>mens dækudgifterne kun repræsenterer 2,4 %</w:t>
      </w:r>
      <w:r w:rsidRPr="00A62DD9">
        <w:rPr>
          <w:rStyle w:val="FootnoteReference"/>
          <w:rFonts w:ascii="Arial" w:hAnsi="Arial" w:cs="Arial"/>
          <w:sz w:val="22"/>
          <w:szCs w:val="22"/>
          <w:lang w:val="en-US"/>
        </w:rPr>
        <w:footnoteReference w:id="3"/>
      </w:r>
      <w:r w:rsidRPr="00B70AEF">
        <w:rPr>
          <w:rFonts w:ascii="Arial" w:hAnsi="Arial" w:cs="Arial"/>
          <w:sz w:val="22"/>
          <w:szCs w:val="22"/>
          <w:lang w:val="da-DK"/>
        </w:rPr>
        <w:t>, vælger Goodyear at fokusere på teknologi, der skærer yderligere ned på brændstofforbruget.  Der gås dog ikke på kompromis med forskningen og udviklingen på dette område, og det er afgørende at opretholde, om ikke ligefrem forbedre, kilometertallet og vådgrebet.</w:t>
      </w:r>
    </w:p>
    <w:p w:rsidR="00425E71" w:rsidRPr="00B70AEF" w:rsidRDefault="00425E71" w:rsidP="00427D6C">
      <w:pPr>
        <w:spacing w:after="40"/>
        <w:jc w:val="both"/>
        <w:rPr>
          <w:rFonts w:ascii="Arial" w:hAnsi="Arial" w:cs="Arial"/>
          <w:b/>
          <w:sz w:val="22"/>
          <w:szCs w:val="22"/>
          <w:lang w:val="da-DK"/>
        </w:rPr>
      </w:pPr>
      <w:r w:rsidRPr="00B70AEF">
        <w:rPr>
          <w:rFonts w:ascii="Arial" w:hAnsi="Arial" w:cs="Arial"/>
          <w:b/>
          <w:sz w:val="22"/>
          <w:szCs w:val="22"/>
          <w:lang w:val="da-DK"/>
        </w:rPr>
        <w:t>SILEFEX TEKNOLOGI</w:t>
      </w:r>
    </w:p>
    <w:p w:rsidR="00425E71" w:rsidRPr="00B70AEF" w:rsidRDefault="00425E71" w:rsidP="00117D96">
      <w:pPr>
        <w:spacing w:after="120" w:line="360" w:lineRule="auto"/>
        <w:jc w:val="both"/>
        <w:rPr>
          <w:rFonts w:ascii="Arial" w:hAnsi="Arial" w:cs="Arial"/>
          <w:sz w:val="22"/>
          <w:szCs w:val="22"/>
          <w:vertAlign w:val="superscript"/>
          <w:lang w:val="da-DK"/>
        </w:rPr>
      </w:pPr>
      <w:r w:rsidRPr="00B70AEF">
        <w:rPr>
          <w:rFonts w:ascii="Arial" w:hAnsi="Arial" w:cs="Arial"/>
          <w:sz w:val="22"/>
          <w:szCs w:val="22"/>
          <w:lang w:val="da-DK"/>
        </w:rPr>
        <w:t xml:space="preserve">Den fremragende rullemodstand – 7 % bedre end forgængerne – er opnået ved hjælp af en forbedring af slidbanematerialet, kaldet Silefex.  Også vådgrebet er enestående. Silefex er udviklet på Goodyear Innovation Center Luxembourg  og indeholder en optimeret blanding af silikafyldstoffer og premium naturgummi.  </w:t>
      </w:r>
    </w:p>
    <w:p w:rsidR="00425E71" w:rsidRPr="00B70AEF" w:rsidRDefault="00425E71" w:rsidP="00427D6C">
      <w:pPr>
        <w:spacing w:after="40"/>
        <w:jc w:val="both"/>
        <w:rPr>
          <w:rFonts w:ascii="Arial" w:hAnsi="Arial" w:cs="Arial"/>
          <w:b/>
          <w:sz w:val="22"/>
          <w:szCs w:val="22"/>
          <w:lang w:val="da-DK"/>
        </w:rPr>
      </w:pPr>
      <w:r w:rsidRPr="00B70AEF">
        <w:rPr>
          <w:rFonts w:ascii="Arial" w:hAnsi="Arial" w:cs="Arial"/>
          <w:b/>
          <w:sz w:val="22"/>
          <w:szCs w:val="22"/>
          <w:lang w:val="da-DK"/>
        </w:rPr>
        <w:t>EKSTRA FORDELE</w:t>
      </w:r>
    </w:p>
    <w:p w:rsidR="00425E71" w:rsidRPr="00B70AEF" w:rsidRDefault="00425E71" w:rsidP="00117D96">
      <w:pPr>
        <w:spacing w:after="120" w:line="360" w:lineRule="auto"/>
        <w:jc w:val="both"/>
        <w:rPr>
          <w:rFonts w:ascii="Arial" w:hAnsi="Arial" w:cs="Arial"/>
          <w:sz w:val="22"/>
          <w:szCs w:val="22"/>
          <w:lang w:val="da-DK"/>
        </w:rPr>
      </w:pPr>
      <w:r>
        <w:rPr>
          <w:noProof/>
          <w:lang w:val="en-US"/>
        </w:rPr>
        <w:pict>
          <v:shape id="Picture 3" o:spid="_x0000_s1027" type="#_x0000_t75" alt="Marathon LHD II __315-80 R22" style="position:absolute;left:0;text-align:left;margin-left:-.75pt;margin-top:6.45pt;width:200.25pt;height:149.75pt;z-index:251659264;visibility:visible">
            <v:imagedata r:id="rId9" o:title=""/>
            <w10:wrap type="square"/>
          </v:shape>
        </w:pict>
      </w:r>
      <w:r w:rsidRPr="00B70AEF">
        <w:rPr>
          <w:rFonts w:ascii="Arial" w:hAnsi="Arial" w:cs="Arial"/>
          <w:sz w:val="22"/>
          <w:szCs w:val="22"/>
          <w:lang w:val="da-DK"/>
        </w:rPr>
        <w:t xml:space="preserve">Udover forbedringen i rullemodstand har nogle størrelser af den nye serie af fordæk, Marathon LHS II +, også et forbedret lastindeks, der giver køretøjet en større lastkapacitet. </w:t>
      </w:r>
    </w:p>
    <w:p w:rsidR="00425E71" w:rsidRPr="00B70AEF" w:rsidRDefault="00425E71" w:rsidP="00117D96">
      <w:pPr>
        <w:spacing w:after="120" w:line="360" w:lineRule="auto"/>
        <w:jc w:val="both"/>
        <w:rPr>
          <w:rFonts w:ascii="Arial" w:hAnsi="Arial" w:cs="Arial"/>
          <w:sz w:val="22"/>
          <w:szCs w:val="22"/>
          <w:lang w:val="da-DK"/>
        </w:rPr>
      </w:pPr>
      <w:r w:rsidRPr="00B70AEF">
        <w:rPr>
          <w:rFonts w:ascii="Arial" w:hAnsi="Arial" w:cs="Arial"/>
          <w:sz w:val="22"/>
          <w:szCs w:val="22"/>
          <w:lang w:val="da-DK"/>
        </w:rPr>
        <w:t>Goodyear Marathon LHS II + og LHD II + erstatter dækserierne Goodyear Marathon LHS II og LHD II. Hermed sættes der nye standarder for dækperformance, især inden for rullemodstand, der reducerer både brændstofforbrug og emissioner.</w:t>
      </w:r>
    </w:p>
    <w:p w:rsidR="00425E71" w:rsidRPr="00B70AEF" w:rsidRDefault="00425E71" w:rsidP="00117D96">
      <w:pPr>
        <w:spacing w:after="120" w:line="360" w:lineRule="auto"/>
        <w:jc w:val="both"/>
        <w:rPr>
          <w:rFonts w:ascii="Arial" w:hAnsi="Arial" w:cs="Arial"/>
          <w:sz w:val="22"/>
          <w:szCs w:val="22"/>
          <w:lang w:val="da-DK"/>
        </w:rPr>
      </w:pPr>
      <w:r w:rsidRPr="00B70AEF">
        <w:rPr>
          <w:rFonts w:ascii="Arial" w:hAnsi="Arial" w:cs="Arial"/>
          <w:sz w:val="22"/>
          <w:szCs w:val="22"/>
          <w:lang w:val="da-DK"/>
        </w:rPr>
        <w:t>Ved udskiftning af en kombination af Marathon LHS II, LHD II og LHT II med LHS II +, LHD II + og LHT II kan der opnås en reduktion på 1 % i brændstofforbruget.  For en lastbil med trailer med et brændstofforbrug på 32 l/100 km, en brændstofpris på 1,20 euro/l og et årligt kilometertal på 120.000 km, er besparelsen på 500 euro pr. køretøj pr. år. Samtidig reduceres CO</w:t>
      </w:r>
      <w:r w:rsidRPr="00B70AEF">
        <w:rPr>
          <w:rFonts w:ascii="Arial" w:hAnsi="Arial" w:cs="Arial"/>
          <w:sz w:val="22"/>
          <w:szCs w:val="22"/>
          <w:vertAlign w:val="subscript"/>
          <w:lang w:val="da-DK"/>
        </w:rPr>
        <w:t xml:space="preserve">2 </w:t>
      </w:r>
      <w:r w:rsidRPr="00B70AEF">
        <w:rPr>
          <w:rFonts w:ascii="Arial" w:hAnsi="Arial" w:cs="Arial"/>
          <w:sz w:val="22"/>
          <w:szCs w:val="22"/>
          <w:lang w:val="da-DK"/>
        </w:rPr>
        <w:t>udslippet med 1.000 kg.</w:t>
      </w:r>
    </w:p>
    <w:p w:rsidR="00425E71" w:rsidRPr="00B70AEF" w:rsidRDefault="00425E71" w:rsidP="00427D6C">
      <w:pPr>
        <w:spacing w:after="40"/>
        <w:jc w:val="both"/>
        <w:rPr>
          <w:rFonts w:ascii="Arial" w:hAnsi="Arial" w:cs="Arial"/>
          <w:b/>
          <w:sz w:val="22"/>
          <w:szCs w:val="22"/>
          <w:lang w:val="da-DK"/>
        </w:rPr>
      </w:pPr>
      <w:r w:rsidRPr="00B70AEF">
        <w:rPr>
          <w:rFonts w:ascii="Arial" w:hAnsi="Arial" w:cs="Arial"/>
          <w:b/>
          <w:sz w:val="22"/>
          <w:szCs w:val="22"/>
          <w:lang w:val="da-DK"/>
        </w:rPr>
        <w:t>TESTS OG RESULTATER</w:t>
      </w:r>
    </w:p>
    <w:p w:rsidR="00425E71" w:rsidRPr="00B70AEF" w:rsidRDefault="00425E71" w:rsidP="00427D6C">
      <w:pPr>
        <w:spacing w:after="40" w:line="360" w:lineRule="auto"/>
        <w:jc w:val="both"/>
        <w:rPr>
          <w:rFonts w:ascii="Arial" w:hAnsi="Arial" w:cs="Arial"/>
          <w:b/>
          <w:sz w:val="22"/>
          <w:szCs w:val="22"/>
          <w:lang w:val="da-DK"/>
        </w:rPr>
      </w:pPr>
      <w:r w:rsidRPr="00B70AEF">
        <w:rPr>
          <w:rFonts w:ascii="Arial" w:hAnsi="Arial" w:cs="Arial"/>
          <w:sz w:val="22"/>
          <w:szCs w:val="22"/>
          <w:lang w:val="da-DK"/>
        </w:rPr>
        <w:t>TÜV Süd Automotive, rapport nr. 76246887-1</w:t>
      </w:r>
      <w:r w:rsidRPr="00B70AEF">
        <w:rPr>
          <w:rFonts w:ascii="Arial" w:hAnsi="Arial" w:cs="Arial"/>
          <w:sz w:val="22"/>
          <w:szCs w:val="22"/>
          <w:vertAlign w:val="superscript"/>
          <w:lang w:val="da-DK"/>
        </w:rPr>
        <w:t>2</w:t>
      </w:r>
      <w:r w:rsidRPr="00B70AEF">
        <w:rPr>
          <w:rFonts w:ascii="Arial" w:hAnsi="Arial" w:cs="Arial"/>
          <w:sz w:val="22"/>
          <w:szCs w:val="22"/>
          <w:lang w:val="da-DK"/>
        </w:rPr>
        <w:t xml:space="preserve"> fokuserede på dækstørrelserne 315/70R22.5 fordæk og trækdæk samt 385/65R22.5 trailerdæk.  Testens mål var at sammenligne dækkenes rullemodstand.  Kombinationen af Goodyear Marathon LHS II + fordæk, Marathon LHD II + trækdæk og Marathon LHT II trailerdæk blev sammenlignet med tilsvarende dæk fra de tre førende konkurrenter.  Med hensyn til rullemodstand lå Marathon LHS II + fordækket mellem 3 % og 19 % foran konkurrenterne. Marathon LHD II + lå i ét tilfælde på lige med konkurrenterne og var i andre tilfælde op tilfælde op til 16 % bedre. Marathon LHT II trailerdækket var mellem 12 % og 28 % bedre end konkurrenterne.   TÜV Süd Automotive's rapport nr. 76246886-1 fokuserede tilsvarende på vådgreb. Her blev anvendt Goodyear Marathon LHS II + fordæk og Marathon LHD II + trækdæk. Resultaterne for vådgreb viste, at standselængden for Goodyear-kombinationen i alle tilfælde var kortere end konkurrenternes – i et enkelt tilfælde 0,9 meter kortere.  Ved bremsning på våd asfalt, var Goodyear-dækkene i gennemsnit 2 % bedre end konkurrenterne.</w:t>
      </w:r>
    </w:p>
    <w:p w:rsidR="00425E71" w:rsidRPr="00B70AEF" w:rsidRDefault="00425E71" w:rsidP="00427D6C">
      <w:pPr>
        <w:spacing w:after="40" w:line="360" w:lineRule="auto"/>
        <w:jc w:val="both"/>
        <w:rPr>
          <w:rFonts w:ascii="Arial" w:hAnsi="Arial" w:cs="Arial"/>
          <w:b/>
          <w:sz w:val="22"/>
          <w:szCs w:val="22"/>
          <w:lang w:val="da-DK"/>
        </w:rPr>
      </w:pPr>
    </w:p>
    <w:p w:rsidR="00425E71" w:rsidRPr="00B70AEF" w:rsidRDefault="00425E71" w:rsidP="00427D6C">
      <w:pPr>
        <w:spacing w:after="40" w:line="360" w:lineRule="auto"/>
        <w:jc w:val="both"/>
        <w:rPr>
          <w:rFonts w:ascii="Arial" w:hAnsi="Arial" w:cs="Arial"/>
          <w:sz w:val="22"/>
          <w:szCs w:val="22"/>
          <w:lang w:val="da-DK"/>
        </w:rPr>
      </w:pPr>
      <w:r w:rsidRPr="00B70AEF">
        <w:rPr>
          <w:rFonts w:ascii="Arial" w:hAnsi="Arial" w:cs="Arial"/>
          <w:b/>
          <w:sz w:val="22"/>
          <w:szCs w:val="22"/>
          <w:lang w:val="da-DK"/>
        </w:rPr>
        <w:t>PARTNERSKABER</w:t>
      </w:r>
    </w:p>
    <w:p w:rsidR="00425E71" w:rsidRPr="00B70AEF" w:rsidRDefault="00425E71" w:rsidP="00464FC7">
      <w:pPr>
        <w:spacing w:after="120" w:line="360" w:lineRule="auto"/>
        <w:jc w:val="both"/>
        <w:rPr>
          <w:rFonts w:ascii="Arial" w:hAnsi="Arial" w:cs="Arial"/>
          <w:sz w:val="22"/>
          <w:szCs w:val="22"/>
          <w:lang w:val="da-DK"/>
        </w:rPr>
      </w:pPr>
      <w:r w:rsidRPr="00B70AEF">
        <w:rPr>
          <w:rFonts w:ascii="Arial" w:hAnsi="Arial" w:cs="Arial"/>
          <w:sz w:val="22"/>
          <w:szCs w:val="22"/>
          <w:lang w:val="da-DK"/>
        </w:rPr>
        <w:t xml:space="preserve">Goodyear har haft et tæt samarbejde med Mercedes-Benz Trucks om udviklingen af de nye </w:t>
      </w:r>
      <w:r w:rsidRPr="00B70AEF">
        <w:rPr>
          <w:rFonts w:ascii="Arial" w:hAnsi="Arial" w:cs="Arial"/>
          <w:i/>
          <w:sz w:val="22"/>
          <w:szCs w:val="22"/>
          <w:lang w:val="da-DK"/>
        </w:rPr>
        <w:t>Marathon +</w:t>
      </w:r>
      <w:r w:rsidRPr="00B70AEF">
        <w:rPr>
          <w:rFonts w:ascii="Arial" w:hAnsi="Arial" w:cs="Arial"/>
          <w:sz w:val="22"/>
          <w:szCs w:val="22"/>
          <w:lang w:val="da-DK"/>
        </w:rPr>
        <w:t xml:space="preserve"> dæk.  Testningen af de nye dæk, herunder test af slidbaneslitage og vådgreb, blev udført af Mercedes-Benz Trucks, som bekræftede de nye dæks performance. Dækkene har fået betegnelserne </w:t>
      </w:r>
      <w:r w:rsidRPr="00B70AEF">
        <w:rPr>
          <w:rFonts w:ascii="Arial" w:hAnsi="Arial" w:cs="Arial"/>
          <w:i/>
          <w:sz w:val="22"/>
          <w:szCs w:val="22"/>
          <w:lang w:val="da-DK"/>
        </w:rPr>
        <w:t>Marathon LHS II</w:t>
      </w:r>
      <w:r w:rsidRPr="00B70AEF">
        <w:rPr>
          <w:rFonts w:ascii="Arial" w:hAnsi="Arial" w:cs="Arial"/>
          <w:sz w:val="22"/>
          <w:szCs w:val="22"/>
          <w:lang w:val="da-DK"/>
        </w:rPr>
        <w:t xml:space="preserve"> </w:t>
      </w:r>
      <w:r w:rsidRPr="00B70AEF">
        <w:rPr>
          <w:rFonts w:ascii="Arial" w:hAnsi="Arial" w:cs="Arial"/>
          <w:i/>
          <w:sz w:val="22"/>
          <w:szCs w:val="22"/>
          <w:lang w:val="da-DK"/>
        </w:rPr>
        <w:t>+</w:t>
      </w:r>
      <w:r w:rsidRPr="00B70AEF">
        <w:rPr>
          <w:rFonts w:ascii="Arial" w:hAnsi="Arial" w:cs="Arial"/>
          <w:sz w:val="22"/>
          <w:szCs w:val="22"/>
          <w:lang w:val="da-DK"/>
        </w:rPr>
        <w:t xml:space="preserve"> og </w:t>
      </w:r>
      <w:r w:rsidRPr="00B70AEF">
        <w:rPr>
          <w:rFonts w:ascii="Arial" w:hAnsi="Arial" w:cs="Arial"/>
          <w:i/>
          <w:sz w:val="22"/>
          <w:szCs w:val="22"/>
          <w:lang w:val="da-DK"/>
        </w:rPr>
        <w:t>Marathon LHD II +</w:t>
      </w:r>
      <w:r w:rsidRPr="00B70AEF">
        <w:rPr>
          <w:rFonts w:ascii="Arial" w:hAnsi="Arial" w:cs="Arial"/>
          <w:sz w:val="22"/>
          <w:szCs w:val="22"/>
          <w:lang w:val="da-DK"/>
        </w:rPr>
        <w:t xml:space="preserve">.  For at sikre, at resultaterne var korrekte og holdt sig i dækkenes levetid, deltog flere flåder i forsøgene i marken.  Forsøgene blev gennemført i perioder på 18-måneder under langturstransporter med Mercedes-Benz Actros, model 1844 og 1841.  </w:t>
      </w:r>
    </w:p>
    <w:p w:rsidR="00425E71" w:rsidRPr="00B70AEF" w:rsidRDefault="00425E71" w:rsidP="00464FC7">
      <w:pPr>
        <w:spacing w:after="120" w:line="360" w:lineRule="auto"/>
        <w:jc w:val="both"/>
        <w:rPr>
          <w:rFonts w:ascii="Arial" w:hAnsi="Arial" w:cs="Arial"/>
          <w:sz w:val="22"/>
          <w:szCs w:val="22"/>
          <w:lang w:val="da-DK"/>
        </w:rPr>
      </w:pPr>
      <w:r w:rsidRPr="00B70AEF">
        <w:rPr>
          <w:rFonts w:ascii="Arial" w:hAnsi="Arial" w:cs="Arial"/>
          <w:sz w:val="22"/>
          <w:szCs w:val="22"/>
          <w:lang w:val="da-DK"/>
        </w:rPr>
        <w:t>Goodyear lancerer i øjeblikket Marathon + serien til alle større OEM'er for at fremhæve dets fordele som originaludstyrsdæk.</w:t>
      </w:r>
    </w:p>
    <w:p w:rsidR="00425E71" w:rsidRPr="00A62DD9" w:rsidRDefault="00425E71" w:rsidP="00DD5892">
      <w:pPr>
        <w:spacing w:after="120" w:line="360" w:lineRule="auto"/>
        <w:jc w:val="center"/>
        <w:rPr>
          <w:rFonts w:ascii="Arial" w:hAnsi="Arial" w:cs="Arial"/>
        </w:rPr>
      </w:pPr>
      <w:r w:rsidRPr="00A12B9C">
        <w:rPr>
          <w:rFonts w:ascii="Arial" w:hAnsi="Arial" w:cs="Arial"/>
          <w:noProof/>
          <w:sz w:val="22"/>
          <w:szCs w:val="22"/>
          <w:lang w:eastAsia="en-GB"/>
        </w:rPr>
        <w:pict>
          <v:shape id="Picture 2" o:spid="_x0000_i1026" type="#_x0000_t75" style="width:249pt;height:184.5pt;visibility:visible">
            <v:imagedata r:id="rId10" o:title=""/>
          </v:shape>
        </w:pict>
      </w:r>
    </w:p>
    <w:p w:rsidR="00425E71" w:rsidRPr="008E3F76" w:rsidRDefault="00425E71" w:rsidP="004D3CC5">
      <w:pPr>
        <w:pStyle w:val="Caption"/>
        <w:jc w:val="center"/>
        <w:rPr>
          <w:rFonts w:ascii="Arial" w:hAnsi="Arial" w:cs="Arial"/>
          <w:bCs w:val="0"/>
          <w:lang w:val="da-DK"/>
        </w:rPr>
      </w:pPr>
      <w:r w:rsidRPr="00B70AEF">
        <w:rPr>
          <w:rFonts w:ascii="Arial" w:hAnsi="Arial" w:cs="Arial"/>
          <w:bCs w:val="0"/>
          <w:lang w:val="da-DK"/>
        </w:rPr>
        <w:t xml:space="preserve">"Edderkopdiagrammet" viser sammenligningen af de fem vigtigste performanceområder. </w:t>
      </w:r>
      <w:r w:rsidRPr="008E3F76">
        <w:rPr>
          <w:rFonts w:ascii="Arial" w:hAnsi="Arial" w:cs="Arial"/>
          <w:bCs w:val="0"/>
          <w:i/>
          <w:lang w:val="da-DK"/>
        </w:rPr>
        <w:t>LHS II +</w:t>
      </w:r>
      <w:r w:rsidRPr="008E3F76">
        <w:rPr>
          <w:rFonts w:ascii="Arial" w:hAnsi="Arial" w:cs="Arial"/>
          <w:bCs w:val="0"/>
          <w:lang w:val="da-DK"/>
        </w:rPr>
        <w:t xml:space="preserve"> og </w:t>
      </w:r>
      <w:r w:rsidRPr="008E3F76">
        <w:rPr>
          <w:rFonts w:ascii="Arial" w:hAnsi="Arial" w:cs="Arial"/>
          <w:bCs w:val="0"/>
          <w:i/>
          <w:lang w:val="da-DK"/>
        </w:rPr>
        <w:t>LHD II +</w:t>
      </w:r>
      <w:r w:rsidRPr="008E3F76">
        <w:rPr>
          <w:rFonts w:ascii="Arial" w:hAnsi="Arial" w:cs="Arial"/>
          <w:bCs w:val="0"/>
          <w:lang w:val="da-DK"/>
        </w:rPr>
        <w:t xml:space="preserve"> sammenlignes med deres forgængere </w:t>
      </w:r>
      <w:r w:rsidRPr="008E3F76">
        <w:rPr>
          <w:rFonts w:ascii="Arial" w:hAnsi="Arial" w:cs="Arial"/>
          <w:bCs w:val="0"/>
          <w:i/>
          <w:lang w:val="da-DK"/>
        </w:rPr>
        <w:t>LHS II</w:t>
      </w:r>
      <w:r w:rsidRPr="008E3F76">
        <w:rPr>
          <w:rFonts w:ascii="Arial" w:hAnsi="Arial" w:cs="Arial"/>
          <w:bCs w:val="0"/>
          <w:lang w:val="da-DK"/>
        </w:rPr>
        <w:t xml:space="preserve"> og </w:t>
      </w:r>
      <w:r w:rsidRPr="008E3F76">
        <w:rPr>
          <w:rFonts w:ascii="Arial" w:hAnsi="Arial" w:cs="Arial"/>
          <w:bCs w:val="0"/>
          <w:i/>
          <w:lang w:val="da-DK"/>
        </w:rPr>
        <w:t>LHD II</w:t>
      </w:r>
      <w:r w:rsidRPr="008E3F76">
        <w:rPr>
          <w:rFonts w:ascii="Arial" w:hAnsi="Arial" w:cs="Arial"/>
          <w:bCs w:val="0"/>
          <w:vertAlign w:val="superscript"/>
          <w:lang w:val="da-DK"/>
        </w:rPr>
        <w:t>1</w:t>
      </w:r>
      <w:r w:rsidRPr="008E3F76">
        <w:rPr>
          <w:rFonts w:ascii="Arial" w:hAnsi="Arial" w:cs="Arial"/>
          <w:bCs w:val="0"/>
          <w:lang w:val="da-DK"/>
        </w:rPr>
        <w:t>.</w:t>
      </w:r>
    </w:p>
    <w:p w:rsidR="00425E71" w:rsidRPr="008E3F76" w:rsidRDefault="00425E71" w:rsidP="00FF7B3A">
      <w:pPr>
        <w:pStyle w:val="NormalWeb"/>
        <w:spacing w:before="0" w:beforeAutospacing="0" w:after="0" w:afterAutospacing="0" w:line="252" w:lineRule="auto"/>
        <w:textAlignment w:val="baseline"/>
        <w:rPr>
          <w:rFonts w:ascii="Arial" w:hAnsi="Arial" w:cs="Arial"/>
          <w:lang w:val="da-DK"/>
        </w:rPr>
      </w:pPr>
    </w:p>
    <w:p w:rsidR="00425E71" w:rsidRPr="00A62DD9" w:rsidRDefault="00425E71" w:rsidP="00EF7AEA">
      <w:pPr>
        <w:pStyle w:val="NormalWeb"/>
        <w:keepNext/>
        <w:spacing w:before="0" w:beforeAutospacing="0" w:after="0" w:afterAutospacing="0" w:line="252" w:lineRule="auto"/>
        <w:textAlignment w:val="baseline"/>
        <w:rPr>
          <w:rFonts w:ascii="Arial" w:hAnsi="Arial" w:cs="Arial"/>
        </w:rPr>
      </w:pPr>
      <w:r w:rsidRPr="00A12B9C">
        <w:rPr>
          <w:rFonts w:ascii="Arial" w:hAnsi="Arial" w:cs="Arial"/>
          <w:noProof/>
        </w:rPr>
        <w:pict>
          <v:shape id="Picture 3" o:spid="_x0000_i1027" type="#_x0000_t75" style="width:439.5pt;height:170.25pt;visibility:visible">
            <v:imagedata r:id="rId11" o:title=""/>
          </v:shape>
        </w:pict>
      </w:r>
    </w:p>
    <w:p w:rsidR="00425E71" w:rsidRPr="00B70AEF" w:rsidRDefault="00425E71" w:rsidP="00956590">
      <w:pPr>
        <w:pStyle w:val="Caption"/>
        <w:jc w:val="center"/>
        <w:rPr>
          <w:rFonts w:ascii="Arial" w:hAnsi="Arial" w:cs="Arial"/>
          <w:lang w:val="da-DK"/>
        </w:rPr>
      </w:pPr>
      <w:r w:rsidRPr="00B70AEF">
        <w:rPr>
          <w:rFonts w:ascii="Arial" w:hAnsi="Arial" w:cs="Arial"/>
          <w:lang w:val="da-DK"/>
        </w:rPr>
        <w:t xml:space="preserve">Resultaterne af TÜV Süd's test nr. 76246887-1 og 76246886-1, der sammenligner kombinationen af fordækket </w:t>
      </w:r>
      <w:r w:rsidRPr="00B70AEF">
        <w:rPr>
          <w:rFonts w:ascii="Arial" w:hAnsi="Arial" w:cs="Arial"/>
          <w:i/>
          <w:lang w:val="da-DK"/>
        </w:rPr>
        <w:t>LHS II +</w:t>
      </w:r>
      <w:r w:rsidRPr="00B70AEF">
        <w:rPr>
          <w:rFonts w:ascii="Arial" w:hAnsi="Arial" w:cs="Arial"/>
          <w:lang w:val="da-DK"/>
        </w:rPr>
        <w:t xml:space="preserve">, trækdækket </w:t>
      </w:r>
      <w:r w:rsidRPr="00B70AEF">
        <w:rPr>
          <w:rFonts w:ascii="Arial" w:hAnsi="Arial" w:cs="Arial"/>
          <w:i/>
          <w:lang w:val="da-DK"/>
        </w:rPr>
        <w:t>LHD II +</w:t>
      </w:r>
      <w:r w:rsidRPr="00B70AEF">
        <w:rPr>
          <w:rFonts w:ascii="Arial" w:hAnsi="Arial" w:cs="Arial"/>
          <w:lang w:val="da-DK"/>
        </w:rPr>
        <w:t xml:space="preserve"> og trailerdækket </w:t>
      </w:r>
      <w:r w:rsidRPr="00B70AEF">
        <w:rPr>
          <w:rFonts w:ascii="Arial" w:hAnsi="Arial" w:cs="Arial"/>
          <w:i/>
          <w:lang w:val="da-DK"/>
        </w:rPr>
        <w:t>LHT II</w:t>
      </w:r>
      <w:r w:rsidRPr="00B70AEF">
        <w:rPr>
          <w:rFonts w:ascii="Arial" w:hAnsi="Arial" w:cs="Arial"/>
          <w:lang w:val="da-DK"/>
        </w:rPr>
        <w:t xml:space="preserve"> med de tre førende konkurrenters dæk</w:t>
      </w:r>
      <w:r w:rsidRPr="00B70AEF">
        <w:rPr>
          <w:rFonts w:ascii="Arial" w:hAnsi="Arial" w:cs="Arial"/>
          <w:vertAlign w:val="superscript"/>
          <w:lang w:val="da-DK"/>
        </w:rPr>
        <w:t>1</w:t>
      </w:r>
      <w:r w:rsidRPr="00B70AEF">
        <w:rPr>
          <w:rFonts w:ascii="Arial" w:hAnsi="Arial" w:cs="Arial"/>
          <w:lang w:val="da-DK"/>
        </w:rPr>
        <w:t xml:space="preserve">. </w:t>
      </w:r>
    </w:p>
    <w:p w:rsidR="00425E71" w:rsidRPr="00B70AEF" w:rsidRDefault="00425E71" w:rsidP="00DD5892">
      <w:pPr>
        <w:spacing w:after="120" w:line="360" w:lineRule="auto"/>
        <w:jc w:val="center"/>
        <w:rPr>
          <w:rFonts w:ascii="Arial" w:hAnsi="Arial" w:cs="Arial"/>
          <w:b/>
          <w:noProof/>
          <w:sz w:val="20"/>
          <w:szCs w:val="20"/>
          <w:lang w:val="da-DK" w:eastAsia="en-GB"/>
        </w:rPr>
      </w:pPr>
    </w:p>
    <w:p w:rsidR="00425E71" w:rsidRPr="00B70AEF" w:rsidRDefault="00425E71" w:rsidP="00DD5892">
      <w:pPr>
        <w:spacing w:after="120" w:line="360" w:lineRule="auto"/>
        <w:jc w:val="center"/>
        <w:rPr>
          <w:rFonts w:ascii="Arial" w:hAnsi="Arial" w:cs="Arial"/>
          <w:b/>
          <w:noProof/>
          <w:sz w:val="20"/>
          <w:szCs w:val="20"/>
          <w:lang w:val="da-DK" w:eastAsia="en-GB"/>
        </w:rPr>
      </w:pPr>
    </w:p>
    <w:p w:rsidR="00425E71" w:rsidRPr="00A62DD9" w:rsidRDefault="00425E71" w:rsidP="00FC0BD4">
      <w:pPr>
        <w:spacing w:after="120" w:line="360" w:lineRule="auto"/>
        <w:jc w:val="center"/>
      </w:pPr>
      <w:r>
        <w:pict>
          <v:shape id="_x0000_i1028" type="#_x0000_t75" style="width:430.5pt;height:173.25pt">
            <v:imagedata r:id="rId12" o:title="" croptop="23501f" cropbottom="15313f" cropleft="8733f" cropright="35365f"/>
          </v:shape>
        </w:pict>
      </w:r>
    </w:p>
    <w:p w:rsidR="00425E71" w:rsidRPr="008E3F76" w:rsidRDefault="00425E71" w:rsidP="00FC0BD4">
      <w:pPr>
        <w:spacing w:after="120" w:line="360" w:lineRule="auto"/>
        <w:jc w:val="center"/>
        <w:rPr>
          <w:rFonts w:ascii="Arial" w:hAnsi="Arial" w:cs="Arial"/>
          <w:b/>
          <w:sz w:val="20"/>
          <w:szCs w:val="20"/>
          <w:lang w:val="da-DK"/>
        </w:rPr>
      </w:pPr>
      <w:r w:rsidRPr="008E3F76">
        <w:rPr>
          <w:rFonts w:ascii="Arial" w:hAnsi="Arial" w:cs="Arial"/>
          <w:b/>
          <w:sz w:val="20"/>
          <w:szCs w:val="20"/>
          <w:lang w:val="da-DK"/>
        </w:rPr>
        <w:t xml:space="preserve">Dækstørrelserne med det forhøjede lastindeks er fremhævet med fed skrift. </w:t>
      </w:r>
    </w:p>
    <w:p w:rsidR="00425E71" w:rsidRPr="008E3F76" w:rsidRDefault="00425E71" w:rsidP="00FC0BD4">
      <w:pPr>
        <w:rPr>
          <w:rFonts w:ascii="Arial" w:hAnsi="Arial" w:cs="Arial"/>
          <w:sz w:val="20"/>
          <w:szCs w:val="20"/>
          <w:lang w:val="da-DK"/>
        </w:rPr>
      </w:pPr>
    </w:p>
    <w:p w:rsidR="00425E71" w:rsidRPr="008E3F76" w:rsidRDefault="00425E71" w:rsidP="005F332F">
      <w:pPr>
        <w:pBdr>
          <w:bottom w:val="single" w:sz="6" w:space="1" w:color="auto"/>
        </w:pBdr>
        <w:rPr>
          <w:rFonts w:ascii="Arial" w:hAnsi="Arial" w:cs="Arial"/>
          <w:color w:val="000000"/>
          <w:sz w:val="22"/>
          <w:szCs w:val="22"/>
          <w:lang w:val="da-DK"/>
        </w:rPr>
      </w:pPr>
    </w:p>
    <w:p w:rsidR="00425E71" w:rsidRPr="008E3F76" w:rsidRDefault="00425E71" w:rsidP="005208ED">
      <w:pPr>
        <w:jc w:val="both"/>
        <w:rPr>
          <w:rFonts w:ascii="Arial" w:hAnsi="Arial" w:cs="Arial"/>
          <w:b/>
          <w:sz w:val="22"/>
          <w:szCs w:val="22"/>
          <w:lang w:val="da-DK"/>
        </w:rPr>
      </w:pPr>
    </w:p>
    <w:p w:rsidR="00425E71" w:rsidRPr="00E23B6F" w:rsidRDefault="00425E71" w:rsidP="00802EFD">
      <w:pPr>
        <w:jc w:val="both"/>
        <w:rPr>
          <w:rFonts w:ascii="Arial" w:hAnsi="Arial" w:cs="Arial"/>
          <w:b/>
          <w:sz w:val="22"/>
          <w:szCs w:val="22"/>
          <w:lang w:val="da-DK"/>
        </w:rPr>
      </w:pPr>
      <w:r w:rsidRPr="00E23B6F">
        <w:rPr>
          <w:rFonts w:ascii="Arial" w:hAnsi="Arial" w:cs="Arial"/>
          <w:b/>
          <w:sz w:val="22"/>
          <w:szCs w:val="22"/>
          <w:lang w:val="da-DK"/>
        </w:rPr>
        <w:t>Om Goodyear</w:t>
      </w:r>
    </w:p>
    <w:p w:rsidR="00425E71" w:rsidRPr="00E23B6F" w:rsidRDefault="00425E71" w:rsidP="00802EFD">
      <w:pPr>
        <w:spacing w:after="120"/>
        <w:jc w:val="both"/>
        <w:rPr>
          <w:rFonts w:ascii="Arial" w:hAnsi="Arial" w:cs="Arial"/>
          <w:sz w:val="18"/>
          <w:szCs w:val="18"/>
          <w:lang w:val="da-DK"/>
        </w:rPr>
      </w:pPr>
      <w:r w:rsidRPr="00E23B6F">
        <w:rPr>
          <w:rFonts w:ascii="Arial" w:hAnsi="Arial" w:cs="Arial"/>
          <w:sz w:val="18"/>
          <w:szCs w:val="18"/>
          <w:lang w:val="da-DK"/>
        </w:rPr>
        <w:t xml:space="preserve">Goodyear er en af verdens største dækproducenter. Goodyear beskæftiger omkring 73.000 personer og har 54 produktionssteder i 22 lande verden over. Virksomhedens to innovationscentre i Akron, Ohio og Colmar-Berg i Luxembourg arbejder målrettet på at udvikle state-of-the-art produkter og tjenester, der sætter standarden for teknologi og performance i industrien. </w:t>
      </w:r>
    </w:p>
    <w:p w:rsidR="00425E71" w:rsidRPr="00E23B6F" w:rsidRDefault="00425E71" w:rsidP="00802EFD">
      <w:pPr>
        <w:spacing w:after="120"/>
        <w:jc w:val="both"/>
        <w:rPr>
          <w:rFonts w:ascii="Arial" w:hAnsi="Arial" w:cs="Arial"/>
          <w:sz w:val="18"/>
          <w:szCs w:val="18"/>
          <w:lang w:val="da-DK"/>
        </w:rPr>
      </w:pPr>
      <w:r w:rsidRPr="00E23B6F">
        <w:rPr>
          <w:rFonts w:ascii="Arial" w:hAnsi="Arial" w:cs="Arial"/>
          <w:sz w:val="18"/>
          <w:szCs w:val="18"/>
          <w:lang w:val="da-DK"/>
        </w:rPr>
        <w:t xml:space="preserve">Goodyear Dunlop Europes dæksortiment til erhvervskøretøjer, busser og rutebiler omfatter mere end 400 forskellige dæk i 55 størrelser.  Mange af verdens førende bilproducenter monterer Goodyear-dæk som standardudstyr, herunder DAF, Iveco, MAN, Mercedes-Benz, Renault Trucks, Scania og Volvo.  Goodyear leverer også dæk til alle større trailerproducenter. Med Fleet First, som omfatter TruckForce-servicenetværket, ServiceLine 24h vejhjælp, Mobility, FleetOnlineSolutions Internet managementsystem og Goodyear Retread Technologies, leverer Goodyear det bredeste sortiment af specialdesignede tjenester i industrien. </w:t>
      </w:r>
    </w:p>
    <w:p w:rsidR="00425E71" w:rsidRPr="00E23B6F" w:rsidRDefault="00425E71" w:rsidP="00802EFD">
      <w:pPr>
        <w:spacing w:after="120"/>
        <w:jc w:val="both"/>
        <w:rPr>
          <w:lang w:val="da-DK"/>
        </w:rPr>
      </w:pPr>
      <w:r w:rsidRPr="00E23B6F">
        <w:rPr>
          <w:rFonts w:ascii="Arial" w:hAnsi="Arial" w:cs="Arial"/>
          <w:color w:val="000000"/>
          <w:sz w:val="18"/>
          <w:szCs w:val="18"/>
          <w:lang w:val="da-DK"/>
        </w:rPr>
        <w:t xml:space="preserve">Hvis du vil vide mere om Goodyear og virksomhedens produkter, kan du besøge </w:t>
      </w:r>
      <w:r w:rsidRPr="007C7780">
        <w:rPr>
          <w:rFonts w:ascii="Arial" w:hAnsi="Arial" w:cs="Arial"/>
          <w:sz w:val="18"/>
          <w:szCs w:val="18"/>
          <w:lang w:val="da-DK"/>
        </w:rPr>
        <w:t>www.goodyear.</w:t>
      </w:r>
      <w:r>
        <w:rPr>
          <w:rFonts w:ascii="Arial" w:hAnsi="Arial" w:cs="Arial"/>
          <w:sz w:val="18"/>
          <w:szCs w:val="18"/>
          <w:lang w:val="da-DK"/>
        </w:rPr>
        <w:t>dk.</w:t>
      </w:r>
    </w:p>
    <w:p w:rsidR="00425E71" w:rsidRPr="00802EFD" w:rsidRDefault="00425E71" w:rsidP="00802EFD">
      <w:pPr>
        <w:jc w:val="both"/>
        <w:rPr>
          <w:lang w:val="da-DK"/>
        </w:rPr>
      </w:pPr>
    </w:p>
    <w:sectPr w:rsidR="00425E71" w:rsidRPr="00802EFD" w:rsidSect="008E3F76">
      <w:footerReference w:type="even" r:id="rId13"/>
      <w:footerReference w:type="default" r:id="rId14"/>
      <w:pgSz w:w="11906" w:h="16838"/>
      <w:pgMar w:top="719" w:right="1466" w:bottom="539" w:left="16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5E71" w:rsidRDefault="00425E71">
      <w:r>
        <w:separator/>
      </w:r>
    </w:p>
  </w:endnote>
  <w:endnote w:type="continuationSeparator" w:id="0">
    <w:p w:rsidR="00425E71" w:rsidRDefault="00425E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45 Light">
    <w:altName w:val="Times New Roman"/>
    <w:panose1 w:val="00000000000000000000"/>
    <w:charset w:val="00"/>
    <w:family w:val="roman"/>
    <w:notTrueType/>
    <w:pitch w:val="default"/>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E71" w:rsidRDefault="00425E71" w:rsidP="001D6E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5E71" w:rsidRDefault="00425E71" w:rsidP="007C102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E71" w:rsidRPr="007C1023" w:rsidRDefault="00425E71" w:rsidP="001D6E7F">
    <w:pPr>
      <w:pStyle w:val="Footer"/>
      <w:framePr w:wrap="around" w:vAnchor="text" w:hAnchor="margin" w:xAlign="right" w:y="1"/>
      <w:rPr>
        <w:rStyle w:val="PageNumber"/>
        <w:rFonts w:ascii="Arial" w:hAnsi="Arial" w:cs="Arial"/>
        <w:sz w:val="20"/>
        <w:szCs w:val="20"/>
      </w:rPr>
    </w:pPr>
    <w:r>
      <w:rPr>
        <w:rStyle w:val="PageNumber"/>
        <w:rFonts w:ascii="Arial" w:hAnsi="Arial" w:cs="Arial"/>
        <w:sz w:val="20"/>
        <w:szCs w:val="20"/>
      </w:rPr>
      <w:fldChar w:fldCharType="begin"/>
    </w:r>
    <w:r>
      <w:rPr>
        <w:rStyle w:val="PageNumber"/>
        <w:rFonts w:ascii="Arial" w:hAnsi="Arial" w:cs="Arial"/>
        <w:sz w:val="20"/>
        <w:szCs w:val="20"/>
      </w:rPr>
      <w:instrText xml:space="preserve">PAGE  </w:instrText>
    </w:r>
    <w:r>
      <w:rPr>
        <w:rStyle w:val="PageNumber"/>
        <w:rFonts w:ascii="Arial" w:hAnsi="Arial" w:cs="Arial"/>
        <w:sz w:val="20"/>
        <w:szCs w:val="20"/>
      </w:rPr>
      <w:fldChar w:fldCharType="separate"/>
    </w:r>
    <w:r>
      <w:rPr>
        <w:rStyle w:val="PageNumber"/>
        <w:rFonts w:ascii="Arial" w:hAnsi="Arial" w:cs="Arial"/>
        <w:noProof/>
        <w:sz w:val="20"/>
        <w:szCs w:val="20"/>
      </w:rPr>
      <w:t>1</w:t>
    </w:r>
    <w:r>
      <w:rPr>
        <w:rStyle w:val="PageNumber"/>
        <w:rFonts w:ascii="Arial" w:hAnsi="Arial" w:cs="Arial"/>
        <w:sz w:val="20"/>
        <w:szCs w:val="20"/>
      </w:rPr>
      <w:fldChar w:fldCharType="end"/>
    </w:r>
  </w:p>
  <w:p w:rsidR="00425E71" w:rsidRDefault="00425E71" w:rsidP="007C102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5E71" w:rsidRDefault="00425E71">
      <w:r>
        <w:separator/>
      </w:r>
    </w:p>
  </w:footnote>
  <w:footnote w:type="continuationSeparator" w:id="0">
    <w:p w:rsidR="00425E71" w:rsidRDefault="00425E71">
      <w:r>
        <w:continuationSeparator/>
      </w:r>
    </w:p>
  </w:footnote>
  <w:footnote w:id="1">
    <w:p w:rsidR="00425E71" w:rsidRPr="00B70AEF" w:rsidRDefault="00425E71">
      <w:pPr>
        <w:pStyle w:val="FootnoteText"/>
        <w:rPr>
          <w:rFonts w:ascii="Arial" w:eastAsia="MS PGothic" w:hAnsi="Arial" w:cs="Arial"/>
          <w:sz w:val="16"/>
          <w:szCs w:val="16"/>
          <w:lang w:val="da-DK" w:eastAsia="en-GB"/>
        </w:rPr>
      </w:pPr>
      <w:r w:rsidRPr="007C1023">
        <w:rPr>
          <w:rStyle w:val="FootnoteReference"/>
          <w:rFonts w:ascii="Arial" w:hAnsi="Arial" w:cs="Arial"/>
          <w:sz w:val="16"/>
          <w:szCs w:val="16"/>
        </w:rPr>
        <w:footnoteRef/>
      </w:r>
      <w:r w:rsidRPr="00B70AEF">
        <w:rPr>
          <w:rFonts w:ascii="Arial" w:hAnsi="Arial" w:cs="Arial"/>
          <w:sz w:val="16"/>
          <w:szCs w:val="16"/>
          <w:lang w:val="da-DK"/>
        </w:rPr>
        <w:t xml:space="preserve"> Tal beregnet af Goodyear Innovation Center Luxembourg 2011.</w:t>
      </w:r>
    </w:p>
    <w:p w:rsidR="00425E71" w:rsidRDefault="00425E71">
      <w:pPr>
        <w:pStyle w:val="FootnoteText"/>
      </w:pPr>
    </w:p>
  </w:footnote>
  <w:footnote w:id="2">
    <w:p w:rsidR="00425E71" w:rsidRPr="00B70AEF" w:rsidRDefault="00425E71" w:rsidP="00DC5179">
      <w:pPr>
        <w:pStyle w:val="NormalWeb"/>
        <w:spacing w:before="120" w:beforeAutospacing="0" w:after="0" w:afterAutospacing="0"/>
        <w:jc w:val="both"/>
        <w:textAlignment w:val="baseline"/>
        <w:rPr>
          <w:rFonts w:ascii="Arial" w:eastAsia="MS PGothic" w:hAnsi="Arial" w:cs="Arial"/>
          <w:sz w:val="16"/>
          <w:szCs w:val="16"/>
          <w:lang w:val="da-DK"/>
        </w:rPr>
      </w:pPr>
      <w:r w:rsidRPr="007C1023">
        <w:rPr>
          <w:rStyle w:val="FootnoteReference"/>
          <w:rFonts w:ascii="Arial" w:hAnsi="Arial" w:cs="Arial"/>
          <w:sz w:val="16"/>
          <w:szCs w:val="16"/>
        </w:rPr>
        <w:footnoteRef/>
      </w:r>
      <w:r w:rsidRPr="00B70AEF">
        <w:rPr>
          <w:rFonts w:ascii="Arial" w:hAnsi="Arial" w:cs="Arial"/>
          <w:sz w:val="16"/>
          <w:szCs w:val="16"/>
          <w:lang w:val="da-DK"/>
        </w:rPr>
        <w:t>Dataene er målt af TÜV Süd i august 2011 (testnummer 76246887-1) og september 2011 (76246886-1).  De testede dæk: Goodyear Marathon LHS II + / LHD II / LHT II blev hhv. sammenlignet med for-/træk-/trailer-dæk hos tre af de førende konkurrenter.  Dækstørrelser 315/70R22.5 (fordæk og trækdæk) og 385/65R22.5 trailerdæk.</w:t>
      </w:r>
    </w:p>
    <w:p w:rsidR="00425E71" w:rsidRPr="00B70AEF" w:rsidRDefault="00425E71" w:rsidP="00DC5179">
      <w:pPr>
        <w:pStyle w:val="NormalWeb"/>
        <w:spacing w:before="120" w:beforeAutospacing="0" w:after="0" w:afterAutospacing="0"/>
        <w:jc w:val="both"/>
        <w:textAlignment w:val="baseline"/>
        <w:rPr>
          <w:rFonts w:ascii="Arial" w:eastAsia="MS PGothic" w:hAnsi="Arial" w:cs="Arial"/>
          <w:sz w:val="16"/>
          <w:szCs w:val="16"/>
          <w:lang w:val="da-DK"/>
        </w:rPr>
      </w:pPr>
      <w:r w:rsidRPr="00B70AEF">
        <w:rPr>
          <w:rFonts w:ascii="Arial" w:hAnsi="Arial" w:cs="Arial"/>
          <w:sz w:val="16"/>
          <w:szCs w:val="16"/>
          <w:lang w:val="da-DK"/>
        </w:rPr>
        <w:t>Forholdet mellem rullemodstanden var baseret på en lastdistribution på 17 % for fordækkene, 25 % på trækdækkene og 58 % på trailerdækkene.  Vådgrebsindekset blev målt med fordæk på forakslen og trækdæk på trækakslen og en belastning på 6.000 kg på forakslen og 11.200 kg på trækakslen.</w:t>
      </w:r>
    </w:p>
    <w:p w:rsidR="00425E71" w:rsidRDefault="00425E71" w:rsidP="00DC5179">
      <w:pPr>
        <w:pStyle w:val="NormalWeb"/>
        <w:spacing w:before="120" w:beforeAutospacing="0" w:after="0" w:afterAutospacing="0"/>
        <w:jc w:val="both"/>
        <w:textAlignment w:val="baseline"/>
      </w:pPr>
    </w:p>
  </w:footnote>
  <w:footnote w:id="3">
    <w:p w:rsidR="00425E71" w:rsidRDefault="00425E71" w:rsidP="006307B5">
      <w:pPr>
        <w:pStyle w:val="FootnoteText"/>
      </w:pPr>
      <w:r w:rsidRPr="007C1023">
        <w:rPr>
          <w:rStyle w:val="FootnoteReference"/>
          <w:rFonts w:ascii="Arial" w:hAnsi="Arial" w:cs="Arial"/>
          <w:sz w:val="16"/>
          <w:szCs w:val="16"/>
        </w:rPr>
        <w:footnoteRef/>
      </w:r>
      <w:r w:rsidRPr="008E3F76">
        <w:rPr>
          <w:rFonts w:ascii="Arial" w:hAnsi="Arial" w:cs="Arial"/>
          <w:sz w:val="16"/>
          <w:szCs w:val="16"/>
          <w:lang w:val="da-DK"/>
        </w:rPr>
        <w:t xml:space="preserve"> Tal offentliggjort i magasinet Transport Engineer, januar 2011, for en 40 tons femakslet lastbil med trailer.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0B7903"/>
    <w:multiLevelType w:val="hybridMultilevel"/>
    <w:tmpl w:val="85A47920"/>
    <w:lvl w:ilvl="0" w:tplc="21E8375E">
      <w:start w:val="1"/>
      <w:numFmt w:val="bullet"/>
      <w:lvlText w:val="•"/>
      <w:lvlJc w:val="left"/>
      <w:pPr>
        <w:tabs>
          <w:tab w:val="num" w:pos="720"/>
        </w:tabs>
        <w:ind w:left="720" w:hanging="360"/>
      </w:pPr>
      <w:rPr>
        <w:rFonts w:ascii="Times New Roman" w:hAnsi="Times New Roman" w:hint="default"/>
      </w:rPr>
    </w:lvl>
    <w:lvl w:ilvl="1" w:tplc="91D66A78" w:tentative="1">
      <w:start w:val="1"/>
      <w:numFmt w:val="bullet"/>
      <w:lvlText w:val="•"/>
      <w:lvlJc w:val="left"/>
      <w:pPr>
        <w:tabs>
          <w:tab w:val="num" w:pos="1440"/>
        </w:tabs>
        <w:ind w:left="1440" w:hanging="360"/>
      </w:pPr>
      <w:rPr>
        <w:rFonts w:ascii="Times New Roman" w:hAnsi="Times New Roman" w:hint="default"/>
      </w:rPr>
    </w:lvl>
    <w:lvl w:ilvl="2" w:tplc="0186D02C" w:tentative="1">
      <w:start w:val="1"/>
      <w:numFmt w:val="bullet"/>
      <w:lvlText w:val="•"/>
      <w:lvlJc w:val="left"/>
      <w:pPr>
        <w:tabs>
          <w:tab w:val="num" w:pos="2160"/>
        </w:tabs>
        <w:ind w:left="2160" w:hanging="360"/>
      </w:pPr>
      <w:rPr>
        <w:rFonts w:ascii="Times New Roman" w:hAnsi="Times New Roman" w:hint="default"/>
      </w:rPr>
    </w:lvl>
    <w:lvl w:ilvl="3" w:tplc="BB344616" w:tentative="1">
      <w:start w:val="1"/>
      <w:numFmt w:val="bullet"/>
      <w:lvlText w:val="•"/>
      <w:lvlJc w:val="left"/>
      <w:pPr>
        <w:tabs>
          <w:tab w:val="num" w:pos="2880"/>
        </w:tabs>
        <w:ind w:left="2880" w:hanging="360"/>
      </w:pPr>
      <w:rPr>
        <w:rFonts w:ascii="Times New Roman" w:hAnsi="Times New Roman" w:hint="default"/>
      </w:rPr>
    </w:lvl>
    <w:lvl w:ilvl="4" w:tplc="4CBE7FB2" w:tentative="1">
      <w:start w:val="1"/>
      <w:numFmt w:val="bullet"/>
      <w:lvlText w:val="•"/>
      <w:lvlJc w:val="left"/>
      <w:pPr>
        <w:tabs>
          <w:tab w:val="num" w:pos="3600"/>
        </w:tabs>
        <w:ind w:left="3600" w:hanging="360"/>
      </w:pPr>
      <w:rPr>
        <w:rFonts w:ascii="Times New Roman" w:hAnsi="Times New Roman" w:hint="default"/>
      </w:rPr>
    </w:lvl>
    <w:lvl w:ilvl="5" w:tplc="33EE9F52" w:tentative="1">
      <w:start w:val="1"/>
      <w:numFmt w:val="bullet"/>
      <w:lvlText w:val="•"/>
      <w:lvlJc w:val="left"/>
      <w:pPr>
        <w:tabs>
          <w:tab w:val="num" w:pos="4320"/>
        </w:tabs>
        <w:ind w:left="4320" w:hanging="360"/>
      </w:pPr>
      <w:rPr>
        <w:rFonts w:ascii="Times New Roman" w:hAnsi="Times New Roman" w:hint="default"/>
      </w:rPr>
    </w:lvl>
    <w:lvl w:ilvl="6" w:tplc="8BF0DF60" w:tentative="1">
      <w:start w:val="1"/>
      <w:numFmt w:val="bullet"/>
      <w:lvlText w:val="•"/>
      <w:lvlJc w:val="left"/>
      <w:pPr>
        <w:tabs>
          <w:tab w:val="num" w:pos="5040"/>
        </w:tabs>
        <w:ind w:left="5040" w:hanging="360"/>
      </w:pPr>
      <w:rPr>
        <w:rFonts w:ascii="Times New Roman" w:hAnsi="Times New Roman" w:hint="default"/>
      </w:rPr>
    </w:lvl>
    <w:lvl w:ilvl="7" w:tplc="1B20EB20" w:tentative="1">
      <w:start w:val="1"/>
      <w:numFmt w:val="bullet"/>
      <w:lvlText w:val="•"/>
      <w:lvlJc w:val="left"/>
      <w:pPr>
        <w:tabs>
          <w:tab w:val="num" w:pos="5760"/>
        </w:tabs>
        <w:ind w:left="5760" w:hanging="360"/>
      </w:pPr>
      <w:rPr>
        <w:rFonts w:ascii="Times New Roman" w:hAnsi="Times New Roman" w:hint="default"/>
      </w:rPr>
    </w:lvl>
    <w:lvl w:ilvl="8" w:tplc="CF9C3B5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F000A6C"/>
    <w:multiLevelType w:val="hybridMultilevel"/>
    <w:tmpl w:val="EEE42F88"/>
    <w:lvl w:ilvl="0" w:tplc="B9EE6C18">
      <w:start w:val="1"/>
      <w:numFmt w:val="bullet"/>
      <w:lvlText w:val="•"/>
      <w:lvlJc w:val="left"/>
      <w:pPr>
        <w:tabs>
          <w:tab w:val="num" w:pos="720"/>
        </w:tabs>
        <w:ind w:left="720" w:hanging="360"/>
      </w:pPr>
      <w:rPr>
        <w:rFonts w:ascii="Times New Roman" w:hAnsi="Times New Roman" w:hint="default"/>
      </w:rPr>
    </w:lvl>
    <w:lvl w:ilvl="1" w:tplc="5B7C1774" w:tentative="1">
      <w:start w:val="1"/>
      <w:numFmt w:val="bullet"/>
      <w:lvlText w:val="•"/>
      <w:lvlJc w:val="left"/>
      <w:pPr>
        <w:tabs>
          <w:tab w:val="num" w:pos="1440"/>
        </w:tabs>
        <w:ind w:left="1440" w:hanging="360"/>
      </w:pPr>
      <w:rPr>
        <w:rFonts w:ascii="Times New Roman" w:hAnsi="Times New Roman" w:hint="default"/>
      </w:rPr>
    </w:lvl>
    <w:lvl w:ilvl="2" w:tplc="1FE61E88" w:tentative="1">
      <w:start w:val="1"/>
      <w:numFmt w:val="bullet"/>
      <w:lvlText w:val="•"/>
      <w:lvlJc w:val="left"/>
      <w:pPr>
        <w:tabs>
          <w:tab w:val="num" w:pos="2160"/>
        </w:tabs>
        <w:ind w:left="2160" w:hanging="360"/>
      </w:pPr>
      <w:rPr>
        <w:rFonts w:ascii="Times New Roman" w:hAnsi="Times New Roman" w:hint="default"/>
      </w:rPr>
    </w:lvl>
    <w:lvl w:ilvl="3" w:tplc="BA3C055C" w:tentative="1">
      <w:start w:val="1"/>
      <w:numFmt w:val="bullet"/>
      <w:lvlText w:val="•"/>
      <w:lvlJc w:val="left"/>
      <w:pPr>
        <w:tabs>
          <w:tab w:val="num" w:pos="2880"/>
        </w:tabs>
        <w:ind w:left="2880" w:hanging="360"/>
      </w:pPr>
      <w:rPr>
        <w:rFonts w:ascii="Times New Roman" w:hAnsi="Times New Roman" w:hint="default"/>
      </w:rPr>
    </w:lvl>
    <w:lvl w:ilvl="4" w:tplc="0BE0E49A" w:tentative="1">
      <w:start w:val="1"/>
      <w:numFmt w:val="bullet"/>
      <w:lvlText w:val="•"/>
      <w:lvlJc w:val="left"/>
      <w:pPr>
        <w:tabs>
          <w:tab w:val="num" w:pos="3600"/>
        </w:tabs>
        <w:ind w:left="3600" w:hanging="360"/>
      </w:pPr>
      <w:rPr>
        <w:rFonts w:ascii="Times New Roman" w:hAnsi="Times New Roman" w:hint="default"/>
      </w:rPr>
    </w:lvl>
    <w:lvl w:ilvl="5" w:tplc="6E808716" w:tentative="1">
      <w:start w:val="1"/>
      <w:numFmt w:val="bullet"/>
      <w:lvlText w:val="•"/>
      <w:lvlJc w:val="left"/>
      <w:pPr>
        <w:tabs>
          <w:tab w:val="num" w:pos="4320"/>
        </w:tabs>
        <w:ind w:left="4320" w:hanging="360"/>
      </w:pPr>
      <w:rPr>
        <w:rFonts w:ascii="Times New Roman" w:hAnsi="Times New Roman" w:hint="default"/>
      </w:rPr>
    </w:lvl>
    <w:lvl w:ilvl="6" w:tplc="CCA461A6" w:tentative="1">
      <w:start w:val="1"/>
      <w:numFmt w:val="bullet"/>
      <w:lvlText w:val="•"/>
      <w:lvlJc w:val="left"/>
      <w:pPr>
        <w:tabs>
          <w:tab w:val="num" w:pos="5040"/>
        </w:tabs>
        <w:ind w:left="5040" w:hanging="360"/>
      </w:pPr>
      <w:rPr>
        <w:rFonts w:ascii="Times New Roman" w:hAnsi="Times New Roman" w:hint="default"/>
      </w:rPr>
    </w:lvl>
    <w:lvl w:ilvl="7" w:tplc="762CE4A0" w:tentative="1">
      <w:start w:val="1"/>
      <w:numFmt w:val="bullet"/>
      <w:lvlText w:val="•"/>
      <w:lvlJc w:val="left"/>
      <w:pPr>
        <w:tabs>
          <w:tab w:val="num" w:pos="5760"/>
        </w:tabs>
        <w:ind w:left="5760" w:hanging="360"/>
      </w:pPr>
      <w:rPr>
        <w:rFonts w:ascii="Times New Roman" w:hAnsi="Times New Roman" w:hint="default"/>
      </w:rPr>
    </w:lvl>
    <w:lvl w:ilvl="8" w:tplc="66F090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29171D1E"/>
    <w:multiLevelType w:val="hybridMultilevel"/>
    <w:tmpl w:val="5E4AC21A"/>
    <w:lvl w:ilvl="0" w:tplc="DAA22DD8">
      <w:start w:val="1"/>
      <w:numFmt w:val="bullet"/>
      <w:lvlText w:val="•"/>
      <w:lvlJc w:val="left"/>
      <w:pPr>
        <w:tabs>
          <w:tab w:val="num" w:pos="720"/>
        </w:tabs>
        <w:ind w:left="720" w:hanging="360"/>
      </w:pPr>
      <w:rPr>
        <w:rFonts w:ascii="Times New Roman" w:hAnsi="Times New Roman" w:hint="default"/>
      </w:rPr>
    </w:lvl>
    <w:lvl w:ilvl="1" w:tplc="4650C796" w:tentative="1">
      <w:start w:val="1"/>
      <w:numFmt w:val="bullet"/>
      <w:lvlText w:val="•"/>
      <w:lvlJc w:val="left"/>
      <w:pPr>
        <w:tabs>
          <w:tab w:val="num" w:pos="1440"/>
        </w:tabs>
        <w:ind w:left="1440" w:hanging="360"/>
      </w:pPr>
      <w:rPr>
        <w:rFonts w:ascii="Times New Roman" w:hAnsi="Times New Roman" w:hint="default"/>
      </w:rPr>
    </w:lvl>
    <w:lvl w:ilvl="2" w:tplc="552CEABE" w:tentative="1">
      <w:start w:val="1"/>
      <w:numFmt w:val="bullet"/>
      <w:lvlText w:val="•"/>
      <w:lvlJc w:val="left"/>
      <w:pPr>
        <w:tabs>
          <w:tab w:val="num" w:pos="2160"/>
        </w:tabs>
        <w:ind w:left="2160" w:hanging="360"/>
      </w:pPr>
      <w:rPr>
        <w:rFonts w:ascii="Times New Roman" w:hAnsi="Times New Roman" w:hint="default"/>
      </w:rPr>
    </w:lvl>
    <w:lvl w:ilvl="3" w:tplc="3808D466" w:tentative="1">
      <w:start w:val="1"/>
      <w:numFmt w:val="bullet"/>
      <w:lvlText w:val="•"/>
      <w:lvlJc w:val="left"/>
      <w:pPr>
        <w:tabs>
          <w:tab w:val="num" w:pos="2880"/>
        </w:tabs>
        <w:ind w:left="2880" w:hanging="360"/>
      </w:pPr>
      <w:rPr>
        <w:rFonts w:ascii="Times New Roman" w:hAnsi="Times New Roman" w:hint="default"/>
      </w:rPr>
    </w:lvl>
    <w:lvl w:ilvl="4" w:tplc="DE6C8918" w:tentative="1">
      <w:start w:val="1"/>
      <w:numFmt w:val="bullet"/>
      <w:lvlText w:val="•"/>
      <w:lvlJc w:val="left"/>
      <w:pPr>
        <w:tabs>
          <w:tab w:val="num" w:pos="3600"/>
        </w:tabs>
        <w:ind w:left="3600" w:hanging="360"/>
      </w:pPr>
      <w:rPr>
        <w:rFonts w:ascii="Times New Roman" w:hAnsi="Times New Roman" w:hint="default"/>
      </w:rPr>
    </w:lvl>
    <w:lvl w:ilvl="5" w:tplc="F9F60C54" w:tentative="1">
      <w:start w:val="1"/>
      <w:numFmt w:val="bullet"/>
      <w:lvlText w:val="•"/>
      <w:lvlJc w:val="left"/>
      <w:pPr>
        <w:tabs>
          <w:tab w:val="num" w:pos="4320"/>
        </w:tabs>
        <w:ind w:left="4320" w:hanging="360"/>
      </w:pPr>
      <w:rPr>
        <w:rFonts w:ascii="Times New Roman" w:hAnsi="Times New Roman" w:hint="default"/>
      </w:rPr>
    </w:lvl>
    <w:lvl w:ilvl="6" w:tplc="3A8EC818" w:tentative="1">
      <w:start w:val="1"/>
      <w:numFmt w:val="bullet"/>
      <w:lvlText w:val="•"/>
      <w:lvlJc w:val="left"/>
      <w:pPr>
        <w:tabs>
          <w:tab w:val="num" w:pos="5040"/>
        </w:tabs>
        <w:ind w:left="5040" w:hanging="360"/>
      </w:pPr>
      <w:rPr>
        <w:rFonts w:ascii="Times New Roman" w:hAnsi="Times New Roman" w:hint="default"/>
      </w:rPr>
    </w:lvl>
    <w:lvl w:ilvl="7" w:tplc="E6B8A64C" w:tentative="1">
      <w:start w:val="1"/>
      <w:numFmt w:val="bullet"/>
      <w:lvlText w:val="•"/>
      <w:lvlJc w:val="left"/>
      <w:pPr>
        <w:tabs>
          <w:tab w:val="num" w:pos="5760"/>
        </w:tabs>
        <w:ind w:left="5760" w:hanging="360"/>
      </w:pPr>
      <w:rPr>
        <w:rFonts w:ascii="Times New Roman" w:hAnsi="Times New Roman" w:hint="default"/>
      </w:rPr>
    </w:lvl>
    <w:lvl w:ilvl="8" w:tplc="3FB0CB74" w:tentative="1">
      <w:start w:val="1"/>
      <w:numFmt w:val="bullet"/>
      <w:lvlText w:val="•"/>
      <w:lvlJc w:val="left"/>
      <w:pPr>
        <w:tabs>
          <w:tab w:val="num" w:pos="6480"/>
        </w:tabs>
        <w:ind w:left="6480" w:hanging="360"/>
      </w:pPr>
      <w:rPr>
        <w:rFonts w:ascii="Times New Roman" w:hAnsi="Times New Roman" w:hint="default"/>
      </w:rPr>
    </w:lvl>
  </w:abstractNum>
  <w:abstractNum w:abstractNumId="3">
    <w:nsid w:val="31787ECB"/>
    <w:multiLevelType w:val="hybridMultilevel"/>
    <w:tmpl w:val="0838A57C"/>
    <w:lvl w:ilvl="0" w:tplc="2436961A">
      <w:start w:val="1"/>
      <w:numFmt w:val="bullet"/>
      <w:lvlText w:val="•"/>
      <w:lvlJc w:val="left"/>
      <w:pPr>
        <w:tabs>
          <w:tab w:val="num" w:pos="720"/>
        </w:tabs>
        <w:ind w:left="720" w:hanging="360"/>
      </w:pPr>
      <w:rPr>
        <w:rFonts w:ascii="Times New Roman" w:hAnsi="Times New Roman" w:hint="default"/>
      </w:rPr>
    </w:lvl>
    <w:lvl w:ilvl="1" w:tplc="FD684056" w:tentative="1">
      <w:start w:val="1"/>
      <w:numFmt w:val="bullet"/>
      <w:lvlText w:val="•"/>
      <w:lvlJc w:val="left"/>
      <w:pPr>
        <w:tabs>
          <w:tab w:val="num" w:pos="1440"/>
        </w:tabs>
        <w:ind w:left="1440" w:hanging="360"/>
      </w:pPr>
      <w:rPr>
        <w:rFonts w:ascii="Times New Roman" w:hAnsi="Times New Roman" w:hint="default"/>
      </w:rPr>
    </w:lvl>
    <w:lvl w:ilvl="2" w:tplc="8D662588" w:tentative="1">
      <w:start w:val="1"/>
      <w:numFmt w:val="bullet"/>
      <w:lvlText w:val="•"/>
      <w:lvlJc w:val="left"/>
      <w:pPr>
        <w:tabs>
          <w:tab w:val="num" w:pos="2160"/>
        </w:tabs>
        <w:ind w:left="2160" w:hanging="360"/>
      </w:pPr>
      <w:rPr>
        <w:rFonts w:ascii="Times New Roman" w:hAnsi="Times New Roman" w:hint="default"/>
      </w:rPr>
    </w:lvl>
    <w:lvl w:ilvl="3" w:tplc="2306E326" w:tentative="1">
      <w:start w:val="1"/>
      <w:numFmt w:val="bullet"/>
      <w:lvlText w:val="•"/>
      <w:lvlJc w:val="left"/>
      <w:pPr>
        <w:tabs>
          <w:tab w:val="num" w:pos="2880"/>
        </w:tabs>
        <w:ind w:left="2880" w:hanging="360"/>
      </w:pPr>
      <w:rPr>
        <w:rFonts w:ascii="Times New Roman" w:hAnsi="Times New Roman" w:hint="default"/>
      </w:rPr>
    </w:lvl>
    <w:lvl w:ilvl="4" w:tplc="D044655E" w:tentative="1">
      <w:start w:val="1"/>
      <w:numFmt w:val="bullet"/>
      <w:lvlText w:val="•"/>
      <w:lvlJc w:val="left"/>
      <w:pPr>
        <w:tabs>
          <w:tab w:val="num" w:pos="3600"/>
        </w:tabs>
        <w:ind w:left="3600" w:hanging="360"/>
      </w:pPr>
      <w:rPr>
        <w:rFonts w:ascii="Times New Roman" w:hAnsi="Times New Roman" w:hint="default"/>
      </w:rPr>
    </w:lvl>
    <w:lvl w:ilvl="5" w:tplc="44E4722C" w:tentative="1">
      <w:start w:val="1"/>
      <w:numFmt w:val="bullet"/>
      <w:lvlText w:val="•"/>
      <w:lvlJc w:val="left"/>
      <w:pPr>
        <w:tabs>
          <w:tab w:val="num" w:pos="4320"/>
        </w:tabs>
        <w:ind w:left="4320" w:hanging="360"/>
      </w:pPr>
      <w:rPr>
        <w:rFonts w:ascii="Times New Roman" w:hAnsi="Times New Roman" w:hint="default"/>
      </w:rPr>
    </w:lvl>
    <w:lvl w:ilvl="6" w:tplc="98FEC59E" w:tentative="1">
      <w:start w:val="1"/>
      <w:numFmt w:val="bullet"/>
      <w:lvlText w:val="•"/>
      <w:lvlJc w:val="left"/>
      <w:pPr>
        <w:tabs>
          <w:tab w:val="num" w:pos="5040"/>
        </w:tabs>
        <w:ind w:left="5040" w:hanging="360"/>
      </w:pPr>
      <w:rPr>
        <w:rFonts w:ascii="Times New Roman" w:hAnsi="Times New Roman" w:hint="default"/>
      </w:rPr>
    </w:lvl>
    <w:lvl w:ilvl="7" w:tplc="F2402542" w:tentative="1">
      <w:start w:val="1"/>
      <w:numFmt w:val="bullet"/>
      <w:lvlText w:val="•"/>
      <w:lvlJc w:val="left"/>
      <w:pPr>
        <w:tabs>
          <w:tab w:val="num" w:pos="5760"/>
        </w:tabs>
        <w:ind w:left="5760" w:hanging="360"/>
      </w:pPr>
      <w:rPr>
        <w:rFonts w:ascii="Times New Roman" w:hAnsi="Times New Roman" w:hint="default"/>
      </w:rPr>
    </w:lvl>
    <w:lvl w:ilvl="8" w:tplc="E2E61AE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A42268A"/>
    <w:multiLevelType w:val="hybridMultilevel"/>
    <w:tmpl w:val="806E7BC0"/>
    <w:lvl w:ilvl="0" w:tplc="F5AC6486">
      <w:start w:val="1"/>
      <w:numFmt w:val="bullet"/>
      <w:lvlText w:val="•"/>
      <w:lvlJc w:val="left"/>
      <w:pPr>
        <w:tabs>
          <w:tab w:val="num" w:pos="720"/>
        </w:tabs>
        <w:ind w:left="720" w:hanging="360"/>
      </w:pPr>
      <w:rPr>
        <w:rFonts w:ascii="Times New Roman" w:hAnsi="Times New Roman" w:hint="default"/>
      </w:rPr>
    </w:lvl>
    <w:lvl w:ilvl="1" w:tplc="F07A395A" w:tentative="1">
      <w:start w:val="1"/>
      <w:numFmt w:val="bullet"/>
      <w:lvlText w:val="•"/>
      <w:lvlJc w:val="left"/>
      <w:pPr>
        <w:tabs>
          <w:tab w:val="num" w:pos="1440"/>
        </w:tabs>
        <w:ind w:left="1440" w:hanging="360"/>
      </w:pPr>
      <w:rPr>
        <w:rFonts w:ascii="Times New Roman" w:hAnsi="Times New Roman" w:hint="default"/>
      </w:rPr>
    </w:lvl>
    <w:lvl w:ilvl="2" w:tplc="B4DAAF24" w:tentative="1">
      <w:start w:val="1"/>
      <w:numFmt w:val="bullet"/>
      <w:lvlText w:val="•"/>
      <w:lvlJc w:val="left"/>
      <w:pPr>
        <w:tabs>
          <w:tab w:val="num" w:pos="2160"/>
        </w:tabs>
        <w:ind w:left="2160" w:hanging="360"/>
      </w:pPr>
      <w:rPr>
        <w:rFonts w:ascii="Times New Roman" w:hAnsi="Times New Roman" w:hint="default"/>
      </w:rPr>
    </w:lvl>
    <w:lvl w:ilvl="3" w:tplc="66F2E240" w:tentative="1">
      <w:start w:val="1"/>
      <w:numFmt w:val="bullet"/>
      <w:lvlText w:val="•"/>
      <w:lvlJc w:val="left"/>
      <w:pPr>
        <w:tabs>
          <w:tab w:val="num" w:pos="2880"/>
        </w:tabs>
        <w:ind w:left="2880" w:hanging="360"/>
      </w:pPr>
      <w:rPr>
        <w:rFonts w:ascii="Times New Roman" w:hAnsi="Times New Roman" w:hint="default"/>
      </w:rPr>
    </w:lvl>
    <w:lvl w:ilvl="4" w:tplc="4752779E" w:tentative="1">
      <w:start w:val="1"/>
      <w:numFmt w:val="bullet"/>
      <w:lvlText w:val="•"/>
      <w:lvlJc w:val="left"/>
      <w:pPr>
        <w:tabs>
          <w:tab w:val="num" w:pos="3600"/>
        </w:tabs>
        <w:ind w:left="3600" w:hanging="360"/>
      </w:pPr>
      <w:rPr>
        <w:rFonts w:ascii="Times New Roman" w:hAnsi="Times New Roman" w:hint="default"/>
      </w:rPr>
    </w:lvl>
    <w:lvl w:ilvl="5" w:tplc="69B81BCA" w:tentative="1">
      <w:start w:val="1"/>
      <w:numFmt w:val="bullet"/>
      <w:lvlText w:val="•"/>
      <w:lvlJc w:val="left"/>
      <w:pPr>
        <w:tabs>
          <w:tab w:val="num" w:pos="4320"/>
        </w:tabs>
        <w:ind w:left="4320" w:hanging="360"/>
      </w:pPr>
      <w:rPr>
        <w:rFonts w:ascii="Times New Roman" w:hAnsi="Times New Roman" w:hint="default"/>
      </w:rPr>
    </w:lvl>
    <w:lvl w:ilvl="6" w:tplc="63505D16" w:tentative="1">
      <w:start w:val="1"/>
      <w:numFmt w:val="bullet"/>
      <w:lvlText w:val="•"/>
      <w:lvlJc w:val="left"/>
      <w:pPr>
        <w:tabs>
          <w:tab w:val="num" w:pos="5040"/>
        </w:tabs>
        <w:ind w:left="5040" w:hanging="360"/>
      </w:pPr>
      <w:rPr>
        <w:rFonts w:ascii="Times New Roman" w:hAnsi="Times New Roman" w:hint="default"/>
      </w:rPr>
    </w:lvl>
    <w:lvl w:ilvl="7" w:tplc="7B5CFA6E" w:tentative="1">
      <w:start w:val="1"/>
      <w:numFmt w:val="bullet"/>
      <w:lvlText w:val="•"/>
      <w:lvlJc w:val="left"/>
      <w:pPr>
        <w:tabs>
          <w:tab w:val="num" w:pos="5760"/>
        </w:tabs>
        <w:ind w:left="5760" w:hanging="360"/>
      </w:pPr>
      <w:rPr>
        <w:rFonts w:ascii="Times New Roman" w:hAnsi="Times New Roman" w:hint="default"/>
      </w:rPr>
    </w:lvl>
    <w:lvl w:ilvl="8" w:tplc="108AFBBE" w:tentative="1">
      <w:start w:val="1"/>
      <w:numFmt w:val="bullet"/>
      <w:lvlText w:val="•"/>
      <w:lvlJc w:val="left"/>
      <w:pPr>
        <w:tabs>
          <w:tab w:val="num" w:pos="6480"/>
        </w:tabs>
        <w:ind w:left="6480" w:hanging="360"/>
      </w:pPr>
      <w:rPr>
        <w:rFonts w:ascii="Times New Roman" w:hAnsi="Times New Roman" w:hint="default"/>
      </w:rPr>
    </w:lvl>
  </w:abstractNum>
  <w:abstractNum w:abstractNumId="5">
    <w:nsid w:val="3B0C798D"/>
    <w:multiLevelType w:val="hybridMultilevel"/>
    <w:tmpl w:val="B0A41D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054062F"/>
    <w:multiLevelType w:val="hybridMultilevel"/>
    <w:tmpl w:val="D7845BE4"/>
    <w:lvl w:ilvl="0" w:tplc="C35C5A8E">
      <w:start w:val="1"/>
      <w:numFmt w:val="bullet"/>
      <w:lvlText w:val="•"/>
      <w:lvlJc w:val="left"/>
      <w:pPr>
        <w:tabs>
          <w:tab w:val="num" w:pos="360"/>
        </w:tabs>
        <w:ind w:left="360" w:hanging="360"/>
      </w:pPr>
      <w:rPr>
        <w:rFonts w:ascii="Times New Roman" w:hAnsi="Times New Roman" w:hint="default"/>
      </w:rPr>
    </w:lvl>
    <w:lvl w:ilvl="1" w:tplc="685CF8C6" w:tentative="1">
      <w:start w:val="1"/>
      <w:numFmt w:val="bullet"/>
      <w:lvlText w:val="•"/>
      <w:lvlJc w:val="left"/>
      <w:pPr>
        <w:tabs>
          <w:tab w:val="num" w:pos="1080"/>
        </w:tabs>
        <w:ind w:left="1080" w:hanging="360"/>
      </w:pPr>
      <w:rPr>
        <w:rFonts w:ascii="Times New Roman" w:hAnsi="Times New Roman" w:hint="default"/>
      </w:rPr>
    </w:lvl>
    <w:lvl w:ilvl="2" w:tplc="8AA0A396" w:tentative="1">
      <w:start w:val="1"/>
      <w:numFmt w:val="bullet"/>
      <w:lvlText w:val="•"/>
      <w:lvlJc w:val="left"/>
      <w:pPr>
        <w:tabs>
          <w:tab w:val="num" w:pos="1800"/>
        </w:tabs>
        <w:ind w:left="1800" w:hanging="360"/>
      </w:pPr>
      <w:rPr>
        <w:rFonts w:ascii="Times New Roman" w:hAnsi="Times New Roman" w:hint="default"/>
      </w:rPr>
    </w:lvl>
    <w:lvl w:ilvl="3" w:tplc="5F64D452" w:tentative="1">
      <w:start w:val="1"/>
      <w:numFmt w:val="bullet"/>
      <w:lvlText w:val="•"/>
      <w:lvlJc w:val="left"/>
      <w:pPr>
        <w:tabs>
          <w:tab w:val="num" w:pos="2520"/>
        </w:tabs>
        <w:ind w:left="2520" w:hanging="360"/>
      </w:pPr>
      <w:rPr>
        <w:rFonts w:ascii="Times New Roman" w:hAnsi="Times New Roman" w:hint="default"/>
      </w:rPr>
    </w:lvl>
    <w:lvl w:ilvl="4" w:tplc="DAA0EE50" w:tentative="1">
      <w:start w:val="1"/>
      <w:numFmt w:val="bullet"/>
      <w:lvlText w:val="•"/>
      <w:lvlJc w:val="left"/>
      <w:pPr>
        <w:tabs>
          <w:tab w:val="num" w:pos="3240"/>
        </w:tabs>
        <w:ind w:left="3240" w:hanging="360"/>
      </w:pPr>
      <w:rPr>
        <w:rFonts w:ascii="Times New Roman" w:hAnsi="Times New Roman" w:hint="default"/>
      </w:rPr>
    </w:lvl>
    <w:lvl w:ilvl="5" w:tplc="360CF684" w:tentative="1">
      <w:start w:val="1"/>
      <w:numFmt w:val="bullet"/>
      <w:lvlText w:val="•"/>
      <w:lvlJc w:val="left"/>
      <w:pPr>
        <w:tabs>
          <w:tab w:val="num" w:pos="3960"/>
        </w:tabs>
        <w:ind w:left="3960" w:hanging="360"/>
      </w:pPr>
      <w:rPr>
        <w:rFonts w:ascii="Times New Roman" w:hAnsi="Times New Roman" w:hint="default"/>
      </w:rPr>
    </w:lvl>
    <w:lvl w:ilvl="6" w:tplc="E66C4C76" w:tentative="1">
      <w:start w:val="1"/>
      <w:numFmt w:val="bullet"/>
      <w:lvlText w:val="•"/>
      <w:lvlJc w:val="left"/>
      <w:pPr>
        <w:tabs>
          <w:tab w:val="num" w:pos="4680"/>
        </w:tabs>
        <w:ind w:left="4680" w:hanging="360"/>
      </w:pPr>
      <w:rPr>
        <w:rFonts w:ascii="Times New Roman" w:hAnsi="Times New Roman" w:hint="default"/>
      </w:rPr>
    </w:lvl>
    <w:lvl w:ilvl="7" w:tplc="B15482C4" w:tentative="1">
      <w:start w:val="1"/>
      <w:numFmt w:val="bullet"/>
      <w:lvlText w:val="•"/>
      <w:lvlJc w:val="left"/>
      <w:pPr>
        <w:tabs>
          <w:tab w:val="num" w:pos="5400"/>
        </w:tabs>
        <w:ind w:left="5400" w:hanging="360"/>
      </w:pPr>
      <w:rPr>
        <w:rFonts w:ascii="Times New Roman" w:hAnsi="Times New Roman" w:hint="default"/>
      </w:rPr>
    </w:lvl>
    <w:lvl w:ilvl="8" w:tplc="0F7AFAE0" w:tentative="1">
      <w:start w:val="1"/>
      <w:numFmt w:val="bullet"/>
      <w:lvlText w:val="•"/>
      <w:lvlJc w:val="left"/>
      <w:pPr>
        <w:tabs>
          <w:tab w:val="num" w:pos="6120"/>
        </w:tabs>
        <w:ind w:left="6120" w:hanging="360"/>
      </w:pPr>
      <w:rPr>
        <w:rFonts w:ascii="Times New Roman" w:hAnsi="Times New Roman" w:hint="default"/>
      </w:rPr>
    </w:lvl>
  </w:abstractNum>
  <w:abstractNum w:abstractNumId="7">
    <w:nsid w:val="51C11E56"/>
    <w:multiLevelType w:val="hybridMultilevel"/>
    <w:tmpl w:val="E11A65C4"/>
    <w:lvl w:ilvl="0" w:tplc="0809000F">
      <w:start w:val="1"/>
      <w:numFmt w:val="decimal"/>
      <w:lvlText w:val="%1."/>
      <w:lvlJc w:val="left"/>
      <w:pPr>
        <w:tabs>
          <w:tab w:val="num" w:pos="-60"/>
        </w:tabs>
        <w:ind w:left="-60" w:hanging="360"/>
      </w:pPr>
      <w:rPr>
        <w:rFonts w:cs="Times New Roman"/>
      </w:rPr>
    </w:lvl>
    <w:lvl w:ilvl="1" w:tplc="08090019" w:tentative="1">
      <w:start w:val="1"/>
      <w:numFmt w:val="lowerLetter"/>
      <w:lvlText w:val="%2."/>
      <w:lvlJc w:val="left"/>
      <w:pPr>
        <w:tabs>
          <w:tab w:val="num" w:pos="660"/>
        </w:tabs>
        <w:ind w:left="660" w:hanging="360"/>
      </w:pPr>
      <w:rPr>
        <w:rFonts w:cs="Times New Roman"/>
      </w:rPr>
    </w:lvl>
    <w:lvl w:ilvl="2" w:tplc="0809001B" w:tentative="1">
      <w:start w:val="1"/>
      <w:numFmt w:val="lowerRoman"/>
      <w:lvlText w:val="%3."/>
      <w:lvlJc w:val="right"/>
      <w:pPr>
        <w:tabs>
          <w:tab w:val="num" w:pos="1380"/>
        </w:tabs>
        <w:ind w:left="1380" w:hanging="180"/>
      </w:pPr>
      <w:rPr>
        <w:rFonts w:cs="Times New Roman"/>
      </w:rPr>
    </w:lvl>
    <w:lvl w:ilvl="3" w:tplc="0809000F" w:tentative="1">
      <w:start w:val="1"/>
      <w:numFmt w:val="decimal"/>
      <w:lvlText w:val="%4."/>
      <w:lvlJc w:val="left"/>
      <w:pPr>
        <w:tabs>
          <w:tab w:val="num" w:pos="2100"/>
        </w:tabs>
        <w:ind w:left="2100" w:hanging="360"/>
      </w:pPr>
      <w:rPr>
        <w:rFonts w:cs="Times New Roman"/>
      </w:rPr>
    </w:lvl>
    <w:lvl w:ilvl="4" w:tplc="08090019" w:tentative="1">
      <w:start w:val="1"/>
      <w:numFmt w:val="lowerLetter"/>
      <w:lvlText w:val="%5."/>
      <w:lvlJc w:val="left"/>
      <w:pPr>
        <w:tabs>
          <w:tab w:val="num" w:pos="2820"/>
        </w:tabs>
        <w:ind w:left="2820" w:hanging="360"/>
      </w:pPr>
      <w:rPr>
        <w:rFonts w:cs="Times New Roman"/>
      </w:rPr>
    </w:lvl>
    <w:lvl w:ilvl="5" w:tplc="0809001B" w:tentative="1">
      <w:start w:val="1"/>
      <w:numFmt w:val="lowerRoman"/>
      <w:lvlText w:val="%6."/>
      <w:lvlJc w:val="right"/>
      <w:pPr>
        <w:tabs>
          <w:tab w:val="num" w:pos="3540"/>
        </w:tabs>
        <w:ind w:left="3540" w:hanging="180"/>
      </w:pPr>
      <w:rPr>
        <w:rFonts w:cs="Times New Roman"/>
      </w:rPr>
    </w:lvl>
    <w:lvl w:ilvl="6" w:tplc="0809000F" w:tentative="1">
      <w:start w:val="1"/>
      <w:numFmt w:val="decimal"/>
      <w:lvlText w:val="%7."/>
      <w:lvlJc w:val="left"/>
      <w:pPr>
        <w:tabs>
          <w:tab w:val="num" w:pos="4260"/>
        </w:tabs>
        <w:ind w:left="4260" w:hanging="360"/>
      </w:pPr>
      <w:rPr>
        <w:rFonts w:cs="Times New Roman"/>
      </w:rPr>
    </w:lvl>
    <w:lvl w:ilvl="7" w:tplc="08090019" w:tentative="1">
      <w:start w:val="1"/>
      <w:numFmt w:val="lowerLetter"/>
      <w:lvlText w:val="%8."/>
      <w:lvlJc w:val="left"/>
      <w:pPr>
        <w:tabs>
          <w:tab w:val="num" w:pos="4980"/>
        </w:tabs>
        <w:ind w:left="4980" w:hanging="360"/>
      </w:pPr>
      <w:rPr>
        <w:rFonts w:cs="Times New Roman"/>
      </w:rPr>
    </w:lvl>
    <w:lvl w:ilvl="8" w:tplc="0809001B" w:tentative="1">
      <w:start w:val="1"/>
      <w:numFmt w:val="lowerRoman"/>
      <w:lvlText w:val="%9."/>
      <w:lvlJc w:val="right"/>
      <w:pPr>
        <w:tabs>
          <w:tab w:val="num" w:pos="5700"/>
        </w:tabs>
        <w:ind w:left="5700" w:hanging="180"/>
      </w:pPr>
      <w:rPr>
        <w:rFonts w:cs="Times New Roman"/>
      </w:rPr>
    </w:lvl>
  </w:abstractNum>
  <w:abstractNum w:abstractNumId="8">
    <w:nsid w:val="749557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76184AEE"/>
    <w:multiLevelType w:val="hybridMultilevel"/>
    <w:tmpl w:val="C88C3068"/>
    <w:lvl w:ilvl="0" w:tplc="08090001">
      <w:start w:val="1"/>
      <w:numFmt w:val="bullet"/>
      <w:lvlText w:val=""/>
      <w:lvlJc w:val="left"/>
      <w:pPr>
        <w:tabs>
          <w:tab w:val="num" w:pos="779"/>
        </w:tabs>
        <w:ind w:left="779"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5"/>
  </w:num>
  <w:num w:numId="2">
    <w:abstractNumId w:val="8"/>
  </w:num>
  <w:num w:numId="3">
    <w:abstractNumId w:val="1"/>
  </w:num>
  <w:num w:numId="4">
    <w:abstractNumId w:val="6"/>
  </w:num>
  <w:num w:numId="5">
    <w:abstractNumId w:val="2"/>
  </w:num>
  <w:num w:numId="6">
    <w:abstractNumId w:val="3"/>
  </w:num>
  <w:num w:numId="7">
    <w:abstractNumId w:val="0"/>
  </w:num>
  <w:num w:numId="8">
    <w:abstractNumId w:val="4"/>
  </w:num>
  <w:num w:numId="9">
    <w:abstractNumId w:val="7"/>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5420"/>
    <w:rsid w:val="00001B42"/>
    <w:rsid w:val="00002775"/>
    <w:rsid w:val="00004840"/>
    <w:rsid w:val="000061D9"/>
    <w:rsid w:val="00011857"/>
    <w:rsid w:val="00014C98"/>
    <w:rsid w:val="00021E1C"/>
    <w:rsid w:val="000228E5"/>
    <w:rsid w:val="00022C30"/>
    <w:rsid w:val="000267D7"/>
    <w:rsid w:val="00026DD6"/>
    <w:rsid w:val="000329B4"/>
    <w:rsid w:val="00034523"/>
    <w:rsid w:val="000348C5"/>
    <w:rsid w:val="00035CA9"/>
    <w:rsid w:val="0004474F"/>
    <w:rsid w:val="00051FF4"/>
    <w:rsid w:val="0005382F"/>
    <w:rsid w:val="00054152"/>
    <w:rsid w:val="00060D40"/>
    <w:rsid w:val="00063F75"/>
    <w:rsid w:val="000666AE"/>
    <w:rsid w:val="000670CB"/>
    <w:rsid w:val="00071E79"/>
    <w:rsid w:val="00075B86"/>
    <w:rsid w:val="000906E4"/>
    <w:rsid w:val="00092282"/>
    <w:rsid w:val="0009297A"/>
    <w:rsid w:val="000A5598"/>
    <w:rsid w:val="000B1F08"/>
    <w:rsid w:val="000B5FCD"/>
    <w:rsid w:val="000C3351"/>
    <w:rsid w:val="000D62A6"/>
    <w:rsid w:val="000E1EFF"/>
    <w:rsid w:val="000F716E"/>
    <w:rsid w:val="001119C2"/>
    <w:rsid w:val="00112637"/>
    <w:rsid w:val="00117D96"/>
    <w:rsid w:val="0012391E"/>
    <w:rsid w:val="00132031"/>
    <w:rsid w:val="00135CE7"/>
    <w:rsid w:val="00144396"/>
    <w:rsid w:val="00166FA1"/>
    <w:rsid w:val="0016794D"/>
    <w:rsid w:val="00181A19"/>
    <w:rsid w:val="0019255A"/>
    <w:rsid w:val="001A3CF3"/>
    <w:rsid w:val="001A5CF5"/>
    <w:rsid w:val="001A7E73"/>
    <w:rsid w:val="001B0309"/>
    <w:rsid w:val="001B0336"/>
    <w:rsid w:val="001B365B"/>
    <w:rsid w:val="001C5161"/>
    <w:rsid w:val="001D42A8"/>
    <w:rsid w:val="001D6E7F"/>
    <w:rsid w:val="001E02C9"/>
    <w:rsid w:val="001E2B76"/>
    <w:rsid w:val="001E619A"/>
    <w:rsid w:val="001F13E9"/>
    <w:rsid w:val="001F2203"/>
    <w:rsid w:val="001F2A0E"/>
    <w:rsid w:val="001F6F88"/>
    <w:rsid w:val="002040A3"/>
    <w:rsid w:val="0020772F"/>
    <w:rsid w:val="002077F3"/>
    <w:rsid w:val="002134C4"/>
    <w:rsid w:val="00220D7B"/>
    <w:rsid w:val="00242A02"/>
    <w:rsid w:val="00246208"/>
    <w:rsid w:val="00251580"/>
    <w:rsid w:val="00252114"/>
    <w:rsid w:val="00255F6A"/>
    <w:rsid w:val="00257B94"/>
    <w:rsid w:val="00263229"/>
    <w:rsid w:val="00265570"/>
    <w:rsid w:val="002705D4"/>
    <w:rsid w:val="00270C70"/>
    <w:rsid w:val="0027360E"/>
    <w:rsid w:val="0027475E"/>
    <w:rsid w:val="0028260C"/>
    <w:rsid w:val="00290A52"/>
    <w:rsid w:val="00295F3A"/>
    <w:rsid w:val="002A7669"/>
    <w:rsid w:val="002B135F"/>
    <w:rsid w:val="002B6ED4"/>
    <w:rsid w:val="002C3ABB"/>
    <w:rsid w:val="002C57B4"/>
    <w:rsid w:val="002D130D"/>
    <w:rsid w:val="002D18A5"/>
    <w:rsid w:val="002D240B"/>
    <w:rsid w:val="002D2B9D"/>
    <w:rsid w:val="002D5CEA"/>
    <w:rsid w:val="002D7A0F"/>
    <w:rsid w:val="002F03B6"/>
    <w:rsid w:val="002F0CFC"/>
    <w:rsid w:val="002F145F"/>
    <w:rsid w:val="002F2229"/>
    <w:rsid w:val="002F3B46"/>
    <w:rsid w:val="002F5063"/>
    <w:rsid w:val="003004A3"/>
    <w:rsid w:val="00312498"/>
    <w:rsid w:val="0031511C"/>
    <w:rsid w:val="00320E79"/>
    <w:rsid w:val="003215BA"/>
    <w:rsid w:val="00331C29"/>
    <w:rsid w:val="003321BC"/>
    <w:rsid w:val="00333D9B"/>
    <w:rsid w:val="003348C9"/>
    <w:rsid w:val="00351538"/>
    <w:rsid w:val="00351E69"/>
    <w:rsid w:val="003804E1"/>
    <w:rsid w:val="00380B89"/>
    <w:rsid w:val="0038180B"/>
    <w:rsid w:val="003823B2"/>
    <w:rsid w:val="00387E2C"/>
    <w:rsid w:val="003B02BF"/>
    <w:rsid w:val="003B59FC"/>
    <w:rsid w:val="003B76C9"/>
    <w:rsid w:val="003C11FC"/>
    <w:rsid w:val="003D0F87"/>
    <w:rsid w:val="003E3FF6"/>
    <w:rsid w:val="003E7312"/>
    <w:rsid w:val="003F058E"/>
    <w:rsid w:val="003F1801"/>
    <w:rsid w:val="003F2B93"/>
    <w:rsid w:val="00400FA2"/>
    <w:rsid w:val="00425E71"/>
    <w:rsid w:val="004265A9"/>
    <w:rsid w:val="00427835"/>
    <w:rsid w:val="00427D6C"/>
    <w:rsid w:val="004349DC"/>
    <w:rsid w:val="00440E27"/>
    <w:rsid w:val="00445D9E"/>
    <w:rsid w:val="00446E88"/>
    <w:rsid w:val="004475B7"/>
    <w:rsid w:val="00447FFA"/>
    <w:rsid w:val="004639DB"/>
    <w:rsid w:val="00464FC7"/>
    <w:rsid w:val="00467059"/>
    <w:rsid w:val="00473538"/>
    <w:rsid w:val="00474002"/>
    <w:rsid w:val="00475F06"/>
    <w:rsid w:val="00485924"/>
    <w:rsid w:val="00487738"/>
    <w:rsid w:val="00491A8C"/>
    <w:rsid w:val="004A2B2B"/>
    <w:rsid w:val="004B7FB9"/>
    <w:rsid w:val="004C18DD"/>
    <w:rsid w:val="004C220D"/>
    <w:rsid w:val="004C3FF5"/>
    <w:rsid w:val="004D3CC5"/>
    <w:rsid w:val="004D51E6"/>
    <w:rsid w:val="004E03A3"/>
    <w:rsid w:val="004E2A58"/>
    <w:rsid w:val="004E571D"/>
    <w:rsid w:val="004E59B0"/>
    <w:rsid w:val="004F0B57"/>
    <w:rsid w:val="004F2AA7"/>
    <w:rsid w:val="004F63FC"/>
    <w:rsid w:val="004F6822"/>
    <w:rsid w:val="005019ED"/>
    <w:rsid w:val="00501E99"/>
    <w:rsid w:val="00502493"/>
    <w:rsid w:val="005054DD"/>
    <w:rsid w:val="00506E1D"/>
    <w:rsid w:val="00511BFA"/>
    <w:rsid w:val="00512924"/>
    <w:rsid w:val="00513274"/>
    <w:rsid w:val="005173A6"/>
    <w:rsid w:val="005208ED"/>
    <w:rsid w:val="00523A2A"/>
    <w:rsid w:val="00530F12"/>
    <w:rsid w:val="00544B72"/>
    <w:rsid w:val="005461AB"/>
    <w:rsid w:val="00546855"/>
    <w:rsid w:val="00556BB6"/>
    <w:rsid w:val="00562FFC"/>
    <w:rsid w:val="00577DCB"/>
    <w:rsid w:val="00580422"/>
    <w:rsid w:val="00580803"/>
    <w:rsid w:val="00584F94"/>
    <w:rsid w:val="00591137"/>
    <w:rsid w:val="005962F8"/>
    <w:rsid w:val="005A4929"/>
    <w:rsid w:val="005A4EBC"/>
    <w:rsid w:val="005A71E3"/>
    <w:rsid w:val="005B0285"/>
    <w:rsid w:val="005B0E61"/>
    <w:rsid w:val="005B1B9B"/>
    <w:rsid w:val="005B3124"/>
    <w:rsid w:val="005C7FE3"/>
    <w:rsid w:val="005D31B4"/>
    <w:rsid w:val="005D5512"/>
    <w:rsid w:val="005D6023"/>
    <w:rsid w:val="005F2BAD"/>
    <w:rsid w:val="005F332F"/>
    <w:rsid w:val="005F4F61"/>
    <w:rsid w:val="006004A7"/>
    <w:rsid w:val="00611A73"/>
    <w:rsid w:val="00621F63"/>
    <w:rsid w:val="00623409"/>
    <w:rsid w:val="00625928"/>
    <w:rsid w:val="006307B5"/>
    <w:rsid w:val="00633714"/>
    <w:rsid w:val="00635730"/>
    <w:rsid w:val="006445AF"/>
    <w:rsid w:val="00655BF9"/>
    <w:rsid w:val="006565DD"/>
    <w:rsid w:val="0066469D"/>
    <w:rsid w:val="00682D61"/>
    <w:rsid w:val="00683377"/>
    <w:rsid w:val="00685162"/>
    <w:rsid w:val="0069178E"/>
    <w:rsid w:val="006955E8"/>
    <w:rsid w:val="006A2624"/>
    <w:rsid w:val="006A57A3"/>
    <w:rsid w:val="006A6FBC"/>
    <w:rsid w:val="006B13A4"/>
    <w:rsid w:val="006B2394"/>
    <w:rsid w:val="006B28D4"/>
    <w:rsid w:val="006B46D0"/>
    <w:rsid w:val="006D0AE9"/>
    <w:rsid w:val="006D5922"/>
    <w:rsid w:val="006D5B1A"/>
    <w:rsid w:val="006E717A"/>
    <w:rsid w:val="006F3677"/>
    <w:rsid w:val="006F447E"/>
    <w:rsid w:val="0070771B"/>
    <w:rsid w:val="007100B7"/>
    <w:rsid w:val="00715EA2"/>
    <w:rsid w:val="00721BD0"/>
    <w:rsid w:val="007303EC"/>
    <w:rsid w:val="00730C51"/>
    <w:rsid w:val="00744629"/>
    <w:rsid w:val="00746B97"/>
    <w:rsid w:val="00753359"/>
    <w:rsid w:val="00774C7E"/>
    <w:rsid w:val="007776AA"/>
    <w:rsid w:val="00777E35"/>
    <w:rsid w:val="007866D6"/>
    <w:rsid w:val="007877AE"/>
    <w:rsid w:val="00794A91"/>
    <w:rsid w:val="00796D46"/>
    <w:rsid w:val="007A058B"/>
    <w:rsid w:val="007A131C"/>
    <w:rsid w:val="007B6D74"/>
    <w:rsid w:val="007B7125"/>
    <w:rsid w:val="007C1023"/>
    <w:rsid w:val="007C4009"/>
    <w:rsid w:val="007C407D"/>
    <w:rsid w:val="007C7780"/>
    <w:rsid w:val="007C7F0E"/>
    <w:rsid w:val="007E1749"/>
    <w:rsid w:val="007E548D"/>
    <w:rsid w:val="007F1B76"/>
    <w:rsid w:val="007F4BFE"/>
    <w:rsid w:val="007F5B6D"/>
    <w:rsid w:val="008026B3"/>
    <w:rsid w:val="00802EE8"/>
    <w:rsid w:val="00802EFD"/>
    <w:rsid w:val="0080543E"/>
    <w:rsid w:val="00806F15"/>
    <w:rsid w:val="008073C1"/>
    <w:rsid w:val="008202D9"/>
    <w:rsid w:val="008408F5"/>
    <w:rsid w:val="00840B3F"/>
    <w:rsid w:val="008420B1"/>
    <w:rsid w:val="00842428"/>
    <w:rsid w:val="008432A5"/>
    <w:rsid w:val="00856215"/>
    <w:rsid w:val="00865C83"/>
    <w:rsid w:val="00870D8A"/>
    <w:rsid w:val="008758E3"/>
    <w:rsid w:val="00877E78"/>
    <w:rsid w:val="0088034F"/>
    <w:rsid w:val="0088057F"/>
    <w:rsid w:val="00883756"/>
    <w:rsid w:val="008A0802"/>
    <w:rsid w:val="008A1203"/>
    <w:rsid w:val="008A1E07"/>
    <w:rsid w:val="008A2559"/>
    <w:rsid w:val="008A74AD"/>
    <w:rsid w:val="008B2AFA"/>
    <w:rsid w:val="008B3AA5"/>
    <w:rsid w:val="008B5A6B"/>
    <w:rsid w:val="008C21FB"/>
    <w:rsid w:val="008D5EB5"/>
    <w:rsid w:val="008E3F76"/>
    <w:rsid w:val="008E5A93"/>
    <w:rsid w:val="008F2C73"/>
    <w:rsid w:val="008F5DFE"/>
    <w:rsid w:val="009013AA"/>
    <w:rsid w:val="00904D1A"/>
    <w:rsid w:val="00907B1C"/>
    <w:rsid w:val="009245FB"/>
    <w:rsid w:val="0092701A"/>
    <w:rsid w:val="00931BF9"/>
    <w:rsid w:val="00940D42"/>
    <w:rsid w:val="00944D9D"/>
    <w:rsid w:val="00955E19"/>
    <w:rsid w:val="00956590"/>
    <w:rsid w:val="009636FE"/>
    <w:rsid w:val="00964EB3"/>
    <w:rsid w:val="00964FA9"/>
    <w:rsid w:val="0097173A"/>
    <w:rsid w:val="00973A44"/>
    <w:rsid w:val="0098692B"/>
    <w:rsid w:val="009901D4"/>
    <w:rsid w:val="00990EEF"/>
    <w:rsid w:val="00992DED"/>
    <w:rsid w:val="00993FD1"/>
    <w:rsid w:val="009A4719"/>
    <w:rsid w:val="009A6432"/>
    <w:rsid w:val="009C0EF5"/>
    <w:rsid w:val="009C2BB2"/>
    <w:rsid w:val="009C3AC9"/>
    <w:rsid w:val="009D59DA"/>
    <w:rsid w:val="009E066C"/>
    <w:rsid w:val="009E0687"/>
    <w:rsid w:val="009F1C55"/>
    <w:rsid w:val="009F201D"/>
    <w:rsid w:val="00A01059"/>
    <w:rsid w:val="00A06255"/>
    <w:rsid w:val="00A12B9C"/>
    <w:rsid w:val="00A17A2F"/>
    <w:rsid w:val="00A33300"/>
    <w:rsid w:val="00A361E7"/>
    <w:rsid w:val="00A4322B"/>
    <w:rsid w:val="00A468DD"/>
    <w:rsid w:val="00A475AE"/>
    <w:rsid w:val="00A50012"/>
    <w:rsid w:val="00A62DD9"/>
    <w:rsid w:val="00A66374"/>
    <w:rsid w:val="00A7015D"/>
    <w:rsid w:val="00A7048D"/>
    <w:rsid w:val="00A70AEF"/>
    <w:rsid w:val="00A7533D"/>
    <w:rsid w:val="00A80FDA"/>
    <w:rsid w:val="00A8132F"/>
    <w:rsid w:val="00A81A70"/>
    <w:rsid w:val="00A83F62"/>
    <w:rsid w:val="00A90468"/>
    <w:rsid w:val="00A92B48"/>
    <w:rsid w:val="00AA17A8"/>
    <w:rsid w:val="00AA3677"/>
    <w:rsid w:val="00AA66EA"/>
    <w:rsid w:val="00AB17CF"/>
    <w:rsid w:val="00AB25A1"/>
    <w:rsid w:val="00AB2B9D"/>
    <w:rsid w:val="00AB4C88"/>
    <w:rsid w:val="00AB7E90"/>
    <w:rsid w:val="00AD0B08"/>
    <w:rsid w:val="00AD0DD7"/>
    <w:rsid w:val="00AD3821"/>
    <w:rsid w:val="00AD38C1"/>
    <w:rsid w:val="00AD6251"/>
    <w:rsid w:val="00AF2CB4"/>
    <w:rsid w:val="00B04CD1"/>
    <w:rsid w:val="00B25C98"/>
    <w:rsid w:val="00B33E76"/>
    <w:rsid w:val="00B46180"/>
    <w:rsid w:val="00B50CD2"/>
    <w:rsid w:val="00B560B6"/>
    <w:rsid w:val="00B645A2"/>
    <w:rsid w:val="00B70AEF"/>
    <w:rsid w:val="00B729F6"/>
    <w:rsid w:val="00B72DEA"/>
    <w:rsid w:val="00B82F1A"/>
    <w:rsid w:val="00B838D9"/>
    <w:rsid w:val="00B85E0E"/>
    <w:rsid w:val="00B902F3"/>
    <w:rsid w:val="00B90970"/>
    <w:rsid w:val="00B93F4F"/>
    <w:rsid w:val="00B961A6"/>
    <w:rsid w:val="00B966DF"/>
    <w:rsid w:val="00BA05C5"/>
    <w:rsid w:val="00BA1A68"/>
    <w:rsid w:val="00BA3526"/>
    <w:rsid w:val="00BB1360"/>
    <w:rsid w:val="00BB234C"/>
    <w:rsid w:val="00BB34D7"/>
    <w:rsid w:val="00BC139C"/>
    <w:rsid w:val="00BC43A5"/>
    <w:rsid w:val="00BD159F"/>
    <w:rsid w:val="00BE3D4D"/>
    <w:rsid w:val="00BF3EAD"/>
    <w:rsid w:val="00BF40D1"/>
    <w:rsid w:val="00C005E0"/>
    <w:rsid w:val="00C06795"/>
    <w:rsid w:val="00C15B42"/>
    <w:rsid w:val="00C409CD"/>
    <w:rsid w:val="00C428AB"/>
    <w:rsid w:val="00C46845"/>
    <w:rsid w:val="00C6290A"/>
    <w:rsid w:val="00C77159"/>
    <w:rsid w:val="00C84BDF"/>
    <w:rsid w:val="00C84DEE"/>
    <w:rsid w:val="00CC54C3"/>
    <w:rsid w:val="00CD45B7"/>
    <w:rsid w:val="00CE1E55"/>
    <w:rsid w:val="00CF43FF"/>
    <w:rsid w:val="00CF6A3B"/>
    <w:rsid w:val="00CF7479"/>
    <w:rsid w:val="00D05A78"/>
    <w:rsid w:val="00D073C9"/>
    <w:rsid w:val="00D12CB0"/>
    <w:rsid w:val="00D1548D"/>
    <w:rsid w:val="00D2648C"/>
    <w:rsid w:val="00D31764"/>
    <w:rsid w:val="00D37EB9"/>
    <w:rsid w:val="00D41475"/>
    <w:rsid w:val="00D44A1D"/>
    <w:rsid w:val="00D61B52"/>
    <w:rsid w:val="00D62CD2"/>
    <w:rsid w:val="00D65007"/>
    <w:rsid w:val="00D73F6F"/>
    <w:rsid w:val="00D800DC"/>
    <w:rsid w:val="00D8014E"/>
    <w:rsid w:val="00D856E6"/>
    <w:rsid w:val="00DA1CEC"/>
    <w:rsid w:val="00DA7895"/>
    <w:rsid w:val="00DB0A8A"/>
    <w:rsid w:val="00DB1643"/>
    <w:rsid w:val="00DB1BE6"/>
    <w:rsid w:val="00DB45C2"/>
    <w:rsid w:val="00DB5861"/>
    <w:rsid w:val="00DB6356"/>
    <w:rsid w:val="00DC08FD"/>
    <w:rsid w:val="00DC4A68"/>
    <w:rsid w:val="00DC5179"/>
    <w:rsid w:val="00DD0F1B"/>
    <w:rsid w:val="00DD5892"/>
    <w:rsid w:val="00DE3166"/>
    <w:rsid w:val="00DF33D7"/>
    <w:rsid w:val="00DF4E54"/>
    <w:rsid w:val="00DF593A"/>
    <w:rsid w:val="00E01129"/>
    <w:rsid w:val="00E06FD3"/>
    <w:rsid w:val="00E107C9"/>
    <w:rsid w:val="00E15C42"/>
    <w:rsid w:val="00E23B6F"/>
    <w:rsid w:val="00E25B8D"/>
    <w:rsid w:val="00E2723C"/>
    <w:rsid w:val="00E31200"/>
    <w:rsid w:val="00E31286"/>
    <w:rsid w:val="00E31FEB"/>
    <w:rsid w:val="00E320A6"/>
    <w:rsid w:val="00E32159"/>
    <w:rsid w:val="00E362B9"/>
    <w:rsid w:val="00E37B22"/>
    <w:rsid w:val="00E411F1"/>
    <w:rsid w:val="00E51009"/>
    <w:rsid w:val="00E536D8"/>
    <w:rsid w:val="00E64396"/>
    <w:rsid w:val="00E7182A"/>
    <w:rsid w:val="00E731C6"/>
    <w:rsid w:val="00E86A7B"/>
    <w:rsid w:val="00E872C8"/>
    <w:rsid w:val="00E92E90"/>
    <w:rsid w:val="00E954D4"/>
    <w:rsid w:val="00EA032E"/>
    <w:rsid w:val="00EA0352"/>
    <w:rsid w:val="00EA2D75"/>
    <w:rsid w:val="00EA3F3D"/>
    <w:rsid w:val="00EB2E39"/>
    <w:rsid w:val="00EB2EBE"/>
    <w:rsid w:val="00EC2D18"/>
    <w:rsid w:val="00EF0C67"/>
    <w:rsid w:val="00EF7539"/>
    <w:rsid w:val="00EF7AEA"/>
    <w:rsid w:val="00F01686"/>
    <w:rsid w:val="00F15176"/>
    <w:rsid w:val="00F15420"/>
    <w:rsid w:val="00F1690A"/>
    <w:rsid w:val="00F2387F"/>
    <w:rsid w:val="00F24D71"/>
    <w:rsid w:val="00F2527A"/>
    <w:rsid w:val="00F31E6D"/>
    <w:rsid w:val="00F47F53"/>
    <w:rsid w:val="00F51CDC"/>
    <w:rsid w:val="00F552A7"/>
    <w:rsid w:val="00F569CC"/>
    <w:rsid w:val="00F618B2"/>
    <w:rsid w:val="00F65224"/>
    <w:rsid w:val="00F653BC"/>
    <w:rsid w:val="00F65816"/>
    <w:rsid w:val="00F67B08"/>
    <w:rsid w:val="00F729EC"/>
    <w:rsid w:val="00F831E6"/>
    <w:rsid w:val="00F94F0F"/>
    <w:rsid w:val="00F9521D"/>
    <w:rsid w:val="00FA1E23"/>
    <w:rsid w:val="00FA664C"/>
    <w:rsid w:val="00FA7251"/>
    <w:rsid w:val="00FB0736"/>
    <w:rsid w:val="00FC0BD4"/>
    <w:rsid w:val="00FC3DA7"/>
    <w:rsid w:val="00FC4889"/>
    <w:rsid w:val="00FC6018"/>
    <w:rsid w:val="00FE2DB4"/>
    <w:rsid w:val="00FF3B54"/>
    <w:rsid w:val="00FF3E9D"/>
    <w:rsid w:val="00FF63BE"/>
    <w:rsid w:val="00FF7B3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0DC"/>
    <w:rPr>
      <w:sz w:val="24"/>
      <w:szCs w:val="24"/>
      <w:lang w:val="en-GB"/>
    </w:rPr>
  </w:style>
  <w:style w:type="paragraph" w:styleId="Heading1">
    <w:name w:val="heading 1"/>
    <w:basedOn w:val="Normal"/>
    <w:next w:val="Normal"/>
    <w:link w:val="Heading1Char"/>
    <w:uiPriority w:val="99"/>
    <w:qFormat/>
    <w:rsid w:val="004F0B57"/>
    <w:pPr>
      <w:keepNext/>
      <w:jc w:val="both"/>
      <w:outlineLvl w:val="0"/>
    </w:pPr>
    <w:rPr>
      <w:rFonts w:ascii="Arial" w:hAnsi="Arial" w:cs="Arial"/>
      <w:b/>
      <w:bCs/>
    </w:rPr>
  </w:style>
  <w:style w:type="paragraph" w:styleId="Heading2">
    <w:name w:val="heading 2"/>
    <w:basedOn w:val="Normal"/>
    <w:next w:val="Normal"/>
    <w:link w:val="Heading2Char"/>
    <w:uiPriority w:val="99"/>
    <w:qFormat/>
    <w:rsid w:val="004F0B57"/>
    <w:pPr>
      <w:keepNext/>
      <w:ind w:left="-720"/>
      <w:jc w:val="both"/>
      <w:outlineLvl w:val="1"/>
    </w:pPr>
    <w:rPr>
      <w:rFonts w:ascii="Arial" w:hAnsi="Arial" w:cs="Arial"/>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1BE6"/>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DB1BE6"/>
    <w:rPr>
      <w:rFonts w:ascii="Cambria" w:hAnsi="Cambria" w:cs="Times New Roman"/>
      <w:b/>
      <w:bCs/>
      <w:i/>
      <w:iCs/>
      <w:sz w:val="28"/>
      <w:szCs w:val="28"/>
      <w:lang w:eastAsia="en-US"/>
    </w:rPr>
  </w:style>
  <w:style w:type="paragraph" w:styleId="Title">
    <w:name w:val="Title"/>
    <w:basedOn w:val="Normal"/>
    <w:link w:val="TitleChar"/>
    <w:uiPriority w:val="99"/>
    <w:qFormat/>
    <w:rsid w:val="004F0B57"/>
    <w:pPr>
      <w:jc w:val="center"/>
    </w:pPr>
    <w:rPr>
      <w:rFonts w:ascii="Arial" w:hAnsi="Arial" w:cs="Arial"/>
      <w:b/>
      <w:bCs/>
    </w:rPr>
  </w:style>
  <w:style w:type="character" w:customStyle="1" w:styleId="TitleChar">
    <w:name w:val="Title Char"/>
    <w:basedOn w:val="DefaultParagraphFont"/>
    <w:link w:val="Title"/>
    <w:uiPriority w:val="99"/>
    <w:locked/>
    <w:rsid w:val="00DB1BE6"/>
    <w:rPr>
      <w:rFonts w:ascii="Cambria" w:hAnsi="Cambria" w:cs="Times New Roman"/>
      <w:b/>
      <w:bCs/>
      <w:kern w:val="28"/>
      <w:sz w:val="32"/>
      <w:szCs w:val="32"/>
      <w:lang w:eastAsia="en-US"/>
    </w:rPr>
  </w:style>
  <w:style w:type="paragraph" w:styleId="BodyTextIndent">
    <w:name w:val="Body Text Indent"/>
    <w:basedOn w:val="Normal"/>
    <w:link w:val="BodyTextIndentChar"/>
    <w:uiPriority w:val="99"/>
    <w:rsid w:val="004F0B57"/>
    <w:pPr>
      <w:ind w:left="-720"/>
      <w:jc w:val="both"/>
    </w:pPr>
    <w:rPr>
      <w:rFonts w:ascii="Arial" w:hAnsi="Arial"/>
    </w:rPr>
  </w:style>
  <w:style w:type="character" w:customStyle="1" w:styleId="BodyTextIndentChar">
    <w:name w:val="Body Text Indent Char"/>
    <w:basedOn w:val="DefaultParagraphFont"/>
    <w:link w:val="BodyTextIndent"/>
    <w:uiPriority w:val="99"/>
    <w:semiHidden/>
    <w:locked/>
    <w:rsid w:val="00DB1BE6"/>
    <w:rPr>
      <w:rFonts w:cs="Times New Roman"/>
      <w:sz w:val="24"/>
      <w:szCs w:val="24"/>
      <w:lang w:eastAsia="en-US"/>
    </w:rPr>
  </w:style>
  <w:style w:type="paragraph" w:styleId="BalloonText">
    <w:name w:val="Balloon Text"/>
    <w:basedOn w:val="Normal"/>
    <w:link w:val="BalloonTextChar"/>
    <w:uiPriority w:val="99"/>
    <w:semiHidden/>
    <w:rsid w:val="004F0B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1BE6"/>
    <w:rPr>
      <w:rFonts w:cs="Times New Roman"/>
      <w:sz w:val="2"/>
      <w:lang w:eastAsia="en-US"/>
    </w:rPr>
  </w:style>
  <w:style w:type="paragraph" w:styleId="NormalWeb">
    <w:name w:val="Normal (Web)"/>
    <w:basedOn w:val="Normal"/>
    <w:uiPriority w:val="99"/>
    <w:rsid w:val="006004A7"/>
    <w:pPr>
      <w:spacing w:before="100" w:beforeAutospacing="1" w:after="100" w:afterAutospacing="1"/>
    </w:pPr>
    <w:rPr>
      <w:lang w:eastAsia="en-GB"/>
    </w:rPr>
  </w:style>
  <w:style w:type="paragraph" w:styleId="BodyText">
    <w:name w:val="Body Text"/>
    <w:basedOn w:val="Normal"/>
    <w:link w:val="BodyTextChar"/>
    <w:uiPriority w:val="99"/>
    <w:rsid w:val="004B7FB9"/>
    <w:pPr>
      <w:spacing w:after="120"/>
    </w:pPr>
  </w:style>
  <w:style w:type="character" w:customStyle="1" w:styleId="BodyTextChar">
    <w:name w:val="Body Text Char"/>
    <w:basedOn w:val="DefaultParagraphFont"/>
    <w:link w:val="BodyText"/>
    <w:uiPriority w:val="99"/>
    <w:semiHidden/>
    <w:locked/>
    <w:rsid w:val="00DB1BE6"/>
    <w:rPr>
      <w:rFonts w:cs="Times New Roman"/>
      <w:sz w:val="24"/>
      <w:szCs w:val="24"/>
      <w:lang w:eastAsia="en-US"/>
    </w:rPr>
  </w:style>
  <w:style w:type="character" w:styleId="Hyperlink">
    <w:name w:val="Hyperlink"/>
    <w:basedOn w:val="DefaultParagraphFont"/>
    <w:uiPriority w:val="99"/>
    <w:rsid w:val="000061D9"/>
    <w:rPr>
      <w:rFonts w:cs="Times New Roman"/>
      <w:color w:val="0000FF"/>
      <w:u w:val="single"/>
    </w:rPr>
  </w:style>
  <w:style w:type="paragraph" w:customStyle="1" w:styleId="Contact">
    <w:name w:val="Contact"/>
    <w:basedOn w:val="Footer"/>
    <w:uiPriority w:val="99"/>
    <w:rsid w:val="000061D9"/>
    <w:pPr>
      <w:widowControl w:val="0"/>
      <w:tabs>
        <w:tab w:val="clear" w:pos="4153"/>
        <w:tab w:val="clear" w:pos="8306"/>
      </w:tabs>
      <w:ind w:firstLine="4230"/>
      <w:jc w:val="both"/>
    </w:pPr>
    <w:rPr>
      <w:rFonts w:ascii="Helvetica 45 Light" w:hAnsi="Helvetica 45 Light" w:cs="Arial"/>
      <w:sz w:val="20"/>
      <w:szCs w:val="20"/>
      <w:lang w:eastAsia="en-GB"/>
    </w:rPr>
  </w:style>
  <w:style w:type="paragraph" w:customStyle="1" w:styleId="PressInformation">
    <w:name w:val="PressInformation"/>
    <w:basedOn w:val="Normal"/>
    <w:uiPriority w:val="99"/>
    <w:rsid w:val="000061D9"/>
    <w:pPr>
      <w:widowControl w:val="0"/>
    </w:pPr>
    <w:rPr>
      <w:rFonts w:ascii="Arial" w:hAnsi="Arial" w:cs="Arial"/>
      <w:b/>
      <w:bCs/>
      <w:sz w:val="28"/>
      <w:szCs w:val="28"/>
      <w:lang w:eastAsia="en-GB"/>
    </w:rPr>
  </w:style>
  <w:style w:type="paragraph" w:styleId="Footer">
    <w:name w:val="footer"/>
    <w:basedOn w:val="Normal"/>
    <w:link w:val="FooterChar"/>
    <w:uiPriority w:val="99"/>
    <w:rsid w:val="000061D9"/>
    <w:pPr>
      <w:tabs>
        <w:tab w:val="center" w:pos="4153"/>
        <w:tab w:val="right" w:pos="8306"/>
      </w:tabs>
    </w:pPr>
  </w:style>
  <w:style w:type="character" w:customStyle="1" w:styleId="FooterChar">
    <w:name w:val="Footer Char"/>
    <w:basedOn w:val="DefaultParagraphFont"/>
    <w:link w:val="Footer"/>
    <w:uiPriority w:val="99"/>
    <w:semiHidden/>
    <w:locked/>
    <w:rsid w:val="00DB1BE6"/>
    <w:rPr>
      <w:rFonts w:cs="Times New Roman"/>
      <w:sz w:val="24"/>
      <w:szCs w:val="24"/>
      <w:lang w:eastAsia="en-US"/>
    </w:rPr>
  </w:style>
  <w:style w:type="table" w:styleId="TableGrid">
    <w:name w:val="Table Grid"/>
    <w:basedOn w:val="TableNormal"/>
    <w:uiPriority w:val="99"/>
    <w:rsid w:val="00334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C54C3"/>
    <w:pPr>
      <w:ind w:left="720"/>
      <w:contextualSpacing/>
    </w:pPr>
    <w:rPr>
      <w:lang w:val="en-US"/>
    </w:rPr>
  </w:style>
  <w:style w:type="paragraph" w:styleId="FootnoteText">
    <w:name w:val="footnote text"/>
    <w:basedOn w:val="Normal"/>
    <w:link w:val="FootnoteTextChar"/>
    <w:uiPriority w:val="99"/>
    <w:rsid w:val="00CC54C3"/>
  </w:style>
  <w:style w:type="character" w:customStyle="1" w:styleId="FootnoteTextChar">
    <w:name w:val="Footnote Text Char"/>
    <w:basedOn w:val="DefaultParagraphFont"/>
    <w:link w:val="FootnoteText"/>
    <w:uiPriority w:val="99"/>
    <w:locked/>
    <w:rsid w:val="00CC54C3"/>
    <w:rPr>
      <w:rFonts w:cs="Times New Roman"/>
      <w:sz w:val="24"/>
      <w:lang w:val="en-GB" w:eastAsia="en-US"/>
    </w:rPr>
  </w:style>
  <w:style w:type="character" w:styleId="FootnoteReference">
    <w:name w:val="footnote reference"/>
    <w:basedOn w:val="DefaultParagraphFont"/>
    <w:uiPriority w:val="99"/>
    <w:rsid w:val="00CC54C3"/>
    <w:rPr>
      <w:rFonts w:cs="Times New Roman"/>
      <w:vertAlign w:val="superscript"/>
    </w:rPr>
  </w:style>
  <w:style w:type="paragraph" w:styleId="Caption">
    <w:name w:val="caption"/>
    <w:basedOn w:val="Normal"/>
    <w:next w:val="Normal"/>
    <w:uiPriority w:val="99"/>
    <w:qFormat/>
    <w:rsid w:val="00FF7B3A"/>
    <w:rPr>
      <w:b/>
      <w:bCs/>
      <w:sz w:val="20"/>
      <w:szCs w:val="20"/>
    </w:rPr>
  </w:style>
  <w:style w:type="character" w:styleId="CommentReference">
    <w:name w:val="annotation reference"/>
    <w:basedOn w:val="DefaultParagraphFont"/>
    <w:uiPriority w:val="99"/>
    <w:semiHidden/>
    <w:rsid w:val="006445AF"/>
    <w:rPr>
      <w:rFonts w:cs="Times New Roman"/>
      <w:sz w:val="16"/>
    </w:rPr>
  </w:style>
  <w:style w:type="paragraph" w:styleId="CommentText">
    <w:name w:val="annotation text"/>
    <w:basedOn w:val="Normal"/>
    <w:link w:val="CommentTextChar"/>
    <w:uiPriority w:val="99"/>
    <w:semiHidden/>
    <w:rsid w:val="006445AF"/>
    <w:rPr>
      <w:sz w:val="20"/>
      <w:szCs w:val="20"/>
    </w:rPr>
  </w:style>
  <w:style w:type="character" w:customStyle="1" w:styleId="CommentTextChar">
    <w:name w:val="Comment Text Char"/>
    <w:basedOn w:val="DefaultParagraphFont"/>
    <w:link w:val="CommentText"/>
    <w:uiPriority w:val="99"/>
    <w:semiHidden/>
    <w:locked/>
    <w:rsid w:val="00DB1BE6"/>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6445AF"/>
    <w:rPr>
      <w:b/>
      <w:bCs/>
    </w:rPr>
  </w:style>
  <w:style w:type="character" w:customStyle="1" w:styleId="CommentSubjectChar">
    <w:name w:val="Comment Subject Char"/>
    <w:basedOn w:val="CommentTextChar"/>
    <w:link w:val="CommentSubject"/>
    <w:uiPriority w:val="99"/>
    <w:semiHidden/>
    <w:locked/>
    <w:rsid w:val="00DB1BE6"/>
    <w:rPr>
      <w:b/>
      <w:bCs/>
    </w:rPr>
  </w:style>
  <w:style w:type="paragraph" w:styleId="Revision">
    <w:name w:val="Revision"/>
    <w:hidden/>
    <w:uiPriority w:val="99"/>
    <w:semiHidden/>
    <w:rsid w:val="00427D6C"/>
    <w:rPr>
      <w:sz w:val="24"/>
      <w:szCs w:val="24"/>
      <w:lang w:val="en-GB"/>
    </w:rPr>
  </w:style>
  <w:style w:type="paragraph" w:styleId="EndnoteText">
    <w:name w:val="endnote text"/>
    <w:basedOn w:val="Normal"/>
    <w:link w:val="EndnoteTextChar"/>
    <w:uiPriority w:val="99"/>
    <w:rsid w:val="00DC5179"/>
    <w:rPr>
      <w:sz w:val="20"/>
      <w:szCs w:val="20"/>
    </w:rPr>
  </w:style>
  <w:style w:type="character" w:customStyle="1" w:styleId="EndnoteTextChar">
    <w:name w:val="Endnote Text Char"/>
    <w:basedOn w:val="DefaultParagraphFont"/>
    <w:link w:val="EndnoteText"/>
    <w:uiPriority w:val="99"/>
    <w:locked/>
    <w:rsid w:val="00DC5179"/>
    <w:rPr>
      <w:rFonts w:cs="Times New Roman"/>
      <w:lang w:eastAsia="en-US"/>
    </w:rPr>
  </w:style>
  <w:style w:type="character" w:styleId="EndnoteReference">
    <w:name w:val="endnote reference"/>
    <w:basedOn w:val="DefaultParagraphFont"/>
    <w:uiPriority w:val="99"/>
    <w:rsid w:val="00DC5179"/>
    <w:rPr>
      <w:rFonts w:cs="Times New Roman"/>
      <w:vertAlign w:val="superscript"/>
    </w:rPr>
  </w:style>
  <w:style w:type="paragraph" w:customStyle="1" w:styleId="PressRelease">
    <w:name w:val="Press Release"/>
    <w:basedOn w:val="Heading1"/>
    <w:uiPriority w:val="99"/>
    <w:rsid w:val="007C1023"/>
    <w:pPr>
      <w:spacing w:before="240" w:after="60"/>
      <w:jc w:val="left"/>
    </w:pPr>
    <w:rPr>
      <w:kern w:val="32"/>
      <w:sz w:val="36"/>
      <w:szCs w:val="32"/>
    </w:rPr>
  </w:style>
  <w:style w:type="character" w:styleId="PageNumber">
    <w:name w:val="page number"/>
    <w:basedOn w:val="DefaultParagraphFont"/>
    <w:uiPriority w:val="99"/>
    <w:rsid w:val="007C1023"/>
    <w:rPr>
      <w:rFonts w:cs="Times New Roman"/>
    </w:rPr>
  </w:style>
  <w:style w:type="paragraph" w:styleId="Header">
    <w:name w:val="header"/>
    <w:basedOn w:val="Normal"/>
    <w:link w:val="HeaderChar"/>
    <w:uiPriority w:val="99"/>
    <w:rsid w:val="007C1023"/>
    <w:pPr>
      <w:tabs>
        <w:tab w:val="center" w:pos="4320"/>
        <w:tab w:val="right" w:pos="8640"/>
      </w:tabs>
    </w:pPr>
  </w:style>
  <w:style w:type="character" w:customStyle="1" w:styleId="HeaderChar">
    <w:name w:val="Header Char"/>
    <w:basedOn w:val="DefaultParagraphFont"/>
    <w:link w:val="Header"/>
    <w:uiPriority w:val="99"/>
    <w:semiHidden/>
    <w:locked/>
    <w:rsid w:val="00DB1BE6"/>
    <w:rPr>
      <w:rFonts w:cs="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723405640">
      <w:marLeft w:val="0"/>
      <w:marRight w:val="0"/>
      <w:marTop w:val="0"/>
      <w:marBottom w:val="0"/>
      <w:divBdr>
        <w:top w:val="none" w:sz="0" w:space="0" w:color="auto"/>
        <w:left w:val="none" w:sz="0" w:space="0" w:color="auto"/>
        <w:bottom w:val="none" w:sz="0" w:space="0" w:color="auto"/>
        <w:right w:val="none" w:sz="0" w:space="0" w:color="auto"/>
      </w:divBdr>
      <w:divsChild>
        <w:div w:id="723405663">
          <w:marLeft w:val="0"/>
          <w:marRight w:val="0"/>
          <w:marTop w:val="0"/>
          <w:marBottom w:val="0"/>
          <w:divBdr>
            <w:top w:val="none" w:sz="0" w:space="0" w:color="auto"/>
            <w:left w:val="none" w:sz="0" w:space="0" w:color="auto"/>
            <w:bottom w:val="none" w:sz="0" w:space="0" w:color="auto"/>
            <w:right w:val="none" w:sz="0" w:space="0" w:color="auto"/>
          </w:divBdr>
        </w:div>
      </w:divsChild>
    </w:div>
    <w:div w:id="723405642">
      <w:marLeft w:val="0"/>
      <w:marRight w:val="0"/>
      <w:marTop w:val="0"/>
      <w:marBottom w:val="0"/>
      <w:divBdr>
        <w:top w:val="none" w:sz="0" w:space="0" w:color="auto"/>
        <w:left w:val="none" w:sz="0" w:space="0" w:color="auto"/>
        <w:bottom w:val="none" w:sz="0" w:space="0" w:color="auto"/>
        <w:right w:val="none" w:sz="0" w:space="0" w:color="auto"/>
      </w:divBdr>
    </w:div>
    <w:div w:id="723405644">
      <w:marLeft w:val="0"/>
      <w:marRight w:val="0"/>
      <w:marTop w:val="0"/>
      <w:marBottom w:val="0"/>
      <w:divBdr>
        <w:top w:val="none" w:sz="0" w:space="0" w:color="auto"/>
        <w:left w:val="none" w:sz="0" w:space="0" w:color="auto"/>
        <w:bottom w:val="none" w:sz="0" w:space="0" w:color="auto"/>
        <w:right w:val="none" w:sz="0" w:space="0" w:color="auto"/>
      </w:divBdr>
    </w:div>
    <w:div w:id="723405646">
      <w:marLeft w:val="0"/>
      <w:marRight w:val="0"/>
      <w:marTop w:val="0"/>
      <w:marBottom w:val="0"/>
      <w:divBdr>
        <w:top w:val="none" w:sz="0" w:space="0" w:color="auto"/>
        <w:left w:val="none" w:sz="0" w:space="0" w:color="auto"/>
        <w:bottom w:val="none" w:sz="0" w:space="0" w:color="auto"/>
        <w:right w:val="none" w:sz="0" w:space="0" w:color="auto"/>
      </w:divBdr>
    </w:div>
    <w:div w:id="723405650">
      <w:marLeft w:val="0"/>
      <w:marRight w:val="0"/>
      <w:marTop w:val="0"/>
      <w:marBottom w:val="0"/>
      <w:divBdr>
        <w:top w:val="none" w:sz="0" w:space="0" w:color="auto"/>
        <w:left w:val="none" w:sz="0" w:space="0" w:color="auto"/>
        <w:bottom w:val="none" w:sz="0" w:space="0" w:color="auto"/>
        <w:right w:val="none" w:sz="0" w:space="0" w:color="auto"/>
      </w:divBdr>
      <w:divsChild>
        <w:div w:id="723405664">
          <w:marLeft w:val="0"/>
          <w:marRight w:val="0"/>
          <w:marTop w:val="0"/>
          <w:marBottom w:val="0"/>
          <w:divBdr>
            <w:top w:val="none" w:sz="0" w:space="0" w:color="auto"/>
            <w:left w:val="none" w:sz="0" w:space="0" w:color="auto"/>
            <w:bottom w:val="none" w:sz="0" w:space="0" w:color="auto"/>
            <w:right w:val="none" w:sz="0" w:space="0" w:color="auto"/>
          </w:divBdr>
          <w:divsChild>
            <w:div w:id="723405641">
              <w:marLeft w:val="0"/>
              <w:marRight w:val="0"/>
              <w:marTop w:val="0"/>
              <w:marBottom w:val="0"/>
              <w:divBdr>
                <w:top w:val="none" w:sz="0" w:space="0" w:color="auto"/>
                <w:left w:val="none" w:sz="0" w:space="0" w:color="auto"/>
                <w:bottom w:val="none" w:sz="0" w:space="0" w:color="auto"/>
                <w:right w:val="none" w:sz="0" w:space="0" w:color="auto"/>
              </w:divBdr>
            </w:div>
            <w:div w:id="7234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5651">
      <w:marLeft w:val="0"/>
      <w:marRight w:val="0"/>
      <w:marTop w:val="0"/>
      <w:marBottom w:val="0"/>
      <w:divBdr>
        <w:top w:val="none" w:sz="0" w:space="0" w:color="auto"/>
        <w:left w:val="none" w:sz="0" w:space="0" w:color="auto"/>
        <w:bottom w:val="none" w:sz="0" w:space="0" w:color="auto"/>
        <w:right w:val="none" w:sz="0" w:space="0" w:color="auto"/>
      </w:divBdr>
      <w:divsChild>
        <w:div w:id="723405649">
          <w:marLeft w:val="0"/>
          <w:marRight w:val="0"/>
          <w:marTop w:val="0"/>
          <w:marBottom w:val="0"/>
          <w:divBdr>
            <w:top w:val="none" w:sz="0" w:space="0" w:color="auto"/>
            <w:left w:val="none" w:sz="0" w:space="0" w:color="auto"/>
            <w:bottom w:val="none" w:sz="0" w:space="0" w:color="auto"/>
            <w:right w:val="none" w:sz="0" w:space="0" w:color="auto"/>
          </w:divBdr>
          <w:divsChild>
            <w:div w:id="723405655">
              <w:marLeft w:val="0"/>
              <w:marRight w:val="0"/>
              <w:marTop w:val="0"/>
              <w:marBottom w:val="0"/>
              <w:divBdr>
                <w:top w:val="none" w:sz="0" w:space="0" w:color="auto"/>
                <w:left w:val="none" w:sz="0" w:space="0" w:color="auto"/>
                <w:bottom w:val="none" w:sz="0" w:space="0" w:color="auto"/>
                <w:right w:val="none" w:sz="0" w:space="0" w:color="auto"/>
              </w:divBdr>
            </w:div>
            <w:div w:id="723405656">
              <w:marLeft w:val="0"/>
              <w:marRight w:val="0"/>
              <w:marTop w:val="0"/>
              <w:marBottom w:val="0"/>
              <w:divBdr>
                <w:top w:val="none" w:sz="0" w:space="0" w:color="auto"/>
                <w:left w:val="none" w:sz="0" w:space="0" w:color="auto"/>
                <w:bottom w:val="none" w:sz="0" w:space="0" w:color="auto"/>
                <w:right w:val="none" w:sz="0" w:space="0" w:color="auto"/>
              </w:divBdr>
            </w:div>
            <w:div w:id="723405658">
              <w:marLeft w:val="0"/>
              <w:marRight w:val="0"/>
              <w:marTop w:val="0"/>
              <w:marBottom w:val="0"/>
              <w:divBdr>
                <w:top w:val="none" w:sz="0" w:space="0" w:color="auto"/>
                <w:left w:val="none" w:sz="0" w:space="0" w:color="auto"/>
                <w:bottom w:val="none" w:sz="0" w:space="0" w:color="auto"/>
                <w:right w:val="none" w:sz="0" w:space="0" w:color="auto"/>
              </w:divBdr>
            </w:div>
            <w:div w:id="723405666">
              <w:marLeft w:val="0"/>
              <w:marRight w:val="0"/>
              <w:marTop w:val="0"/>
              <w:marBottom w:val="0"/>
              <w:divBdr>
                <w:top w:val="none" w:sz="0" w:space="0" w:color="auto"/>
                <w:left w:val="none" w:sz="0" w:space="0" w:color="auto"/>
                <w:bottom w:val="none" w:sz="0" w:space="0" w:color="auto"/>
                <w:right w:val="none" w:sz="0" w:space="0" w:color="auto"/>
              </w:divBdr>
            </w:div>
            <w:div w:id="723405667">
              <w:marLeft w:val="0"/>
              <w:marRight w:val="0"/>
              <w:marTop w:val="0"/>
              <w:marBottom w:val="0"/>
              <w:divBdr>
                <w:top w:val="none" w:sz="0" w:space="0" w:color="auto"/>
                <w:left w:val="none" w:sz="0" w:space="0" w:color="auto"/>
                <w:bottom w:val="none" w:sz="0" w:space="0" w:color="auto"/>
                <w:right w:val="none" w:sz="0" w:space="0" w:color="auto"/>
              </w:divBdr>
            </w:div>
            <w:div w:id="7234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5652">
      <w:marLeft w:val="0"/>
      <w:marRight w:val="0"/>
      <w:marTop w:val="0"/>
      <w:marBottom w:val="0"/>
      <w:divBdr>
        <w:top w:val="none" w:sz="0" w:space="0" w:color="auto"/>
        <w:left w:val="none" w:sz="0" w:space="0" w:color="auto"/>
        <w:bottom w:val="none" w:sz="0" w:space="0" w:color="auto"/>
        <w:right w:val="none" w:sz="0" w:space="0" w:color="auto"/>
      </w:divBdr>
    </w:div>
    <w:div w:id="723405653">
      <w:marLeft w:val="0"/>
      <w:marRight w:val="0"/>
      <w:marTop w:val="0"/>
      <w:marBottom w:val="0"/>
      <w:divBdr>
        <w:top w:val="none" w:sz="0" w:space="0" w:color="auto"/>
        <w:left w:val="none" w:sz="0" w:space="0" w:color="auto"/>
        <w:bottom w:val="none" w:sz="0" w:space="0" w:color="auto"/>
        <w:right w:val="none" w:sz="0" w:space="0" w:color="auto"/>
      </w:divBdr>
      <w:divsChild>
        <w:div w:id="723405671">
          <w:marLeft w:val="0"/>
          <w:marRight w:val="0"/>
          <w:marTop w:val="0"/>
          <w:marBottom w:val="0"/>
          <w:divBdr>
            <w:top w:val="none" w:sz="0" w:space="0" w:color="auto"/>
            <w:left w:val="none" w:sz="0" w:space="0" w:color="auto"/>
            <w:bottom w:val="none" w:sz="0" w:space="0" w:color="auto"/>
            <w:right w:val="none" w:sz="0" w:space="0" w:color="auto"/>
          </w:divBdr>
          <w:divsChild>
            <w:div w:id="723405643">
              <w:marLeft w:val="0"/>
              <w:marRight w:val="0"/>
              <w:marTop w:val="0"/>
              <w:marBottom w:val="0"/>
              <w:divBdr>
                <w:top w:val="none" w:sz="0" w:space="0" w:color="auto"/>
                <w:left w:val="none" w:sz="0" w:space="0" w:color="auto"/>
                <w:bottom w:val="none" w:sz="0" w:space="0" w:color="auto"/>
                <w:right w:val="none" w:sz="0" w:space="0" w:color="auto"/>
              </w:divBdr>
            </w:div>
            <w:div w:id="723405648">
              <w:marLeft w:val="0"/>
              <w:marRight w:val="0"/>
              <w:marTop w:val="0"/>
              <w:marBottom w:val="0"/>
              <w:divBdr>
                <w:top w:val="none" w:sz="0" w:space="0" w:color="auto"/>
                <w:left w:val="none" w:sz="0" w:space="0" w:color="auto"/>
                <w:bottom w:val="none" w:sz="0" w:space="0" w:color="auto"/>
                <w:right w:val="none" w:sz="0" w:space="0" w:color="auto"/>
              </w:divBdr>
            </w:div>
            <w:div w:id="723405657">
              <w:marLeft w:val="0"/>
              <w:marRight w:val="0"/>
              <w:marTop w:val="0"/>
              <w:marBottom w:val="0"/>
              <w:divBdr>
                <w:top w:val="none" w:sz="0" w:space="0" w:color="auto"/>
                <w:left w:val="none" w:sz="0" w:space="0" w:color="auto"/>
                <w:bottom w:val="none" w:sz="0" w:space="0" w:color="auto"/>
                <w:right w:val="none" w:sz="0" w:space="0" w:color="auto"/>
              </w:divBdr>
            </w:div>
            <w:div w:id="723405661">
              <w:marLeft w:val="0"/>
              <w:marRight w:val="0"/>
              <w:marTop w:val="0"/>
              <w:marBottom w:val="0"/>
              <w:divBdr>
                <w:top w:val="none" w:sz="0" w:space="0" w:color="auto"/>
                <w:left w:val="none" w:sz="0" w:space="0" w:color="auto"/>
                <w:bottom w:val="none" w:sz="0" w:space="0" w:color="auto"/>
                <w:right w:val="none" w:sz="0" w:space="0" w:color="auto"/>
              </w:divBdr>
            </w:div>
            <w:div w:id="723405665">
              <w:marLeft w:val="0"/>
              <w:marRight w:val="0"/>
              <w:marTop w:val="0"/>
              <w:marBottom w:val="0"/>
              <w:divBdr>
                <w:top w:val="none" w:sz="0" w:space="0" w:color="auto"/>
                <w:left w:val="none" w:sz="0" w:space="0" w:color="auto"/>
                <w:bottom w:val="none" w:sz="0" w:space="0" w:color="auto"/>
                <w:right w:val="none" w:sz="0" w:space="0" w:color="auto"/>
              </w:divBdr>
            </w:div>
            <w:div w:id="7234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5654">
      <w:marLeft w:val="0"/>
      <w:marRight w:val="0"/>
      <w:marTop w:val="0"/>
      <w:marBottom w:val="0"/>
      <w:divBdr>
        <w:top w:val="none" w:sz="0" w:space="0" w:color="auto"/>
        <w:left w:val="none" w:sz="0" w:space="0" w:color="auto"/>
        <w:bottom w:val="none" w:sz="0" w:space="0" w:color="auto"/>
        <w:right w:val="none" w:sz="0" w:space="0" w:color="auto"/>
      </w:divBdr>
      <w:divsChild>
        <w:div w:id="723405681">
          <w:marLeft w:val="0"/>
          <w:marRight w:val="0"/>
          <w:marTop w:val="0"/>
          <w:marBottom w:val="0"/>
          <w:divBdr>
            <w:top w:val="none" w:sz="0" w:space="0" w:color="auto"/>
            <w:left w:val="none" w:sz="0" w:space="0" w:color="auto"/>
            <w:bottom w:val="none" w:sz="0" w:space="0" w:color="auto"/>
            <w:right w:val="none" w:sz="0" w:space="0" w:color="auto"/>
          </w:divBdr>
        </w:div>
      </w:divsChild>
    </w:div>
    <w:div w:id="723405659">
      <w:marLeft w:val="0"/>
      <w:marRight w:val="0"/>
      <w:marTop w:val="0"/>
      <w:marBottom w:val="0"/>
      <w:divBdr>
        <w:top w:val="none" w:sz="0" w:space="0" w:color="auto"/>
        <w:left w:val="none" w:sz="0" w:space="0" w:color="auto"/>
        <w:bottom w:val="none" w:sz="0" w:space="0" w:color="auto"/>
        <w:right w:val="none" w:sz="0" w:space="0" w:color="auto"/>
      </w:divBdr>
    </w:div>
    <w:div w:id="723405662">
      <w:marLeft w:val="0"/>
      <w:marRight w:val="0"/>
      <w:marTop w:val="0"/>
      <w:marBottom w:val="0"/>
      <w:divBdr>
        <w:top w:val="none" w:sz="0" w:space="0" w:color="auto"/>
        <w:left w:val="none" w:sz="0" w:space="0" w:color="auto"/>
        <w:bottom w:val="none" w:sz="0" w:space="0" w:color="auto"/>
        <w:right w:val="none" w:sz="0" w:space="0" w:color="auto"/>
      </w:divBdr>
      <w:divsChild>
        <w:div w:id="723405660">
          <w:marLeft w:val="0"/>
          <w:marRight w:val="0"/>
          <w:marTop w:val="0"/>
          <w:marBottom w:val="0"/>
          <w:divBdr>
            <w:top w:val="none" w:sz="0" w:space="0" w:color="auto"/>
            <w:left w:val="none" w:sz="0" w:space="0" w:color="auto"/>
            <w:bottom w:val="none" w:sz="0" w:space="0" w:color="auto"/>
            <w:right w:val="none" w:sz="0" w:space="0" w:color="auto"/>
          </w:divBdr>
        </w:div>
      </w:divsChild>
    </w:div>
    <w:div w:id="723405668">
      <w:marLeft w:val="0"/>
      <w:marRight w:val="0"/>
      <w:marTop w:val="0"/>
      <w:marBottom w:val="0"/>
      <w:divBdr>
        <w:top w:val="none" w:sz="0" w:space="0" w:color="auto"/>
        <w:left w:val="none" w:sz="0" w:space="0" w:color="auto"/>
        <w:bottom w:val="none" w:sz="0" w:space="0" w:color="auto"/>
        <w:right w:val="none" w:sz="0" w:space="0" w:color="auto"/>
      </w:divBdr>
    </w:div>
    <w:div w:id="723405670">
      <w:marLeft w:val="0"/>
      <w:marRight w:val="0"/>
      <w:marTop w:val="0"/>
      <w:marBottom w:val="0"/>
      <w:divBdr>
        <w:top w:val="none" w:sz="0" w:space="0" w:color="auto"/>
        <w:left w:val="none" w:sz="0" w:space="0" w:color="auto"/>
        <w:bottom w:val="none" w:sz="0" w:space="0" w:color="auto"/>
        <w:right w:val="none" w:sz="0" w:space="0" w:color="auto"/>
      </w:divBdr>
    </w:div>
    <w:div w:id="723405672">
      <w:marLeft w:val="0"/>
      <w:marRight w:val="0"/>
      <w:marTop w:val="0"/>
      <w:marBottom w:val="0"/>
      <w:divBdr>
        <w:top w:val="none" w:sz="0" w:space="0" w:color="auto"/>
        <w:left w:val="none" w:sz="0" w:space="0" w:color="auto"/>
        <w:bottom w:val="none" w:sz="0" w:space="0" w:color="auto"/>
        <w:right w:val="none" w:sz="0" w:space="0" w:color="auto"/>
      </w:divBdr>
    </w:div>
    <w:div w:id="723405673">
      <w:marLeft w:val="0"/>
      <w:marRight w:val="0"/>
      <w:marTop w:val="0"/>
      <w:marBottom w:val="0"/>
      <w:divBdr>
        <w:top w:val="none" w:sz="0" w:space="0" w:color="auto"/>
        <w:left w:val="none" w:sz="0" w:space="0" w:color="auto"/>
        <w:bottom w:val="none" w:sz="0" w:space="0" w:color="auto"/>
        <w:right w:val="none" w:sz="0" w:space="0" w:color="auto"/>
      </w:divBdr>
    </w:div>
    <w:div w:id="723405674">
      <w:marLeft w:val="0"/>
      <w:marRight w:val="0"/>
      <w:marTop w:val="0"/>
      <w:marBottom w:val="0"/>
      <w:divBdr>
        <w:top w:val="none" w:sz="0" w:space="0" w:color="auto"/>
        <w:left w:val="none" w:sz="0" w:space="0" w:color="auto"/>
        <w:bottom w:val="none" w:sz="0" w:space="0" w:color="auto"/>
        <w:right w:val="none" w:sz="0" w:space="0" w:color="auto"/>
      </w:divBdr>
    </w:div>
    <w:div w:id="723405675">
      <w:marLeft w:val="0"/>
      <w:marRight w:val="0"/>
      <w:marTop w:val="0"/>
      <w:marBottom w:val="0"/>
      <w:divBdr>
        <w:top w:val="none" w:sz="0" w:space="0" w:color="auto"/>
        <w:left w:val="none" w:sz="0" w:space="0" w:color="auto"/>
        <w:bottom w:val="none" w:sz="0" w:space="0" w:color="auto"/>
        <w:right w:val="none" w:sz="0" w:space="0" w:color="auto"/>
      </w:divBdr>
    </w:div>
    <w:div w:id="723405677">
      <w:marLeft w:val="0"/>
      <w:marRight w:val="0"/>
      <w:marTop w:val="0"/>
      <w:marBottom w:val="0"/>
      <w:divBdr>
        <w:top w:val="none" w:sz="0" w:space="0" w:color="auto"/>
        <w:left w:val="none" w:sz="0" w:space="0" w:color="auto"/>
        <w:bottom w:val="none" w:sz="0" w:space="0" w:color="auto"/>
        <w:right w:val="none" w:sz="0" w:space="0" w:color="auto"/>
      </w:divBdr>
      <w:divsChild>
        <w:div w:id="723405684">
          <w:marLeft w:val="0"/>
          <w:marRight w:val="0"/>
          <w:marTop w:val="0"/>
          <w:marBottom w:val="0"/>
          <w:divBdr>
            <w:top w:val="none" w:sz="0" w:space="0" w:color="auto"/>
            <w:left w:val="none" w:sz="0" w:space="0" w:color="auto"/>
            <w:bottom w:val="none" w:sz="0" w:space="0" w:color="auto"/>
            <w:right w:val="none" w:sz="0" w:space="0" w:color="auto"/>
          </w:divBdr>
        </w:div>
      </w:divsChild>
    </w:div>
    <w:div w:id="723405678">
      <w:marLeft w:val="0"/>
      <w:marRight w:val="0"/>
      <w:marTop w:val="0"/>
      <w:marBottom w:val="0"/>
      <w:divBdr>
        <w:top w:val="none" w:sz="0" w:space="0" w:color="auto"/>
        <w:left w:val="none" w:sz="0" w:space="0" w:color="auto"/>
        <w:bottom w:val="none" w:sz="0" w:space="0" w:color="auto"/>
        <w:right w:val="none" w:sz="0" w:space="0" w:color="auto"/>
      </w:divBdr>
    </w:div>
    <w:div w:id="723405679">
      <w:marLeft w:val="0"/>
      <w:marRight w:val="0"/>
      <w:marTop w:val="0"/>
      <w:marBottom w:val="0"/>
      <w:divBdr>
        <w:top w:val="none" w:sz="0" w:space="0" w:color="auto"/>
        <w:left w:val="none" w:sz="0" w:space="0" w:color="auto"/>
        <w:bottom w:val="none" w:sz="0" w:space="0" w:color="auto"/>
        <w:right w:val="none" w:sz="0" w:space="0" w:color="auto"/>
      </w:divBdr>
      <w:divsChild>
        <w:div w:id="723405647">
          <w:marLeft w:val="0"/>
          <w:marRight w:val="0"/>
          <w:marTop w:val="0"/>
          <w:marBottom w:val="0"/>
          <w:divBdr>
            <w:top w:val="none" w:sz="0" w:space="0" w:color="auto"/>
            <w:left w:val="none" w:sz="0" w:space="0" w:color="auto"/>
            <w:bottom w:val="none" w:sz="0" w:space="0" w:color="auto"/>
            <w:right w:val="none" w:sz="0" w:space="0" w:color="auto"/>
          </w:divBdr>
        </w:div>
      </w:divsChild>
    </w:div>
    <w:div w:id="723405680">
      <w:marLeft w:val="0"/>
      <w:marRight w:val="0"/>
      <w:marTop w:val="0"/>
      <w:marBottom w:val="0"/>
      <w:divBdr>
        <w:top w:val="none" w:sz="0" w:space="0" w:color="auto"/>
        <w:left w:val="none" w:sz="0" w:space="0" w:color="auto"/>
        <w:bottom w:val="none" w:sz="0" w:space="0" w:color="auto"/>
        <w:right w:val="none" w:sz="0" w:space="0" w:color="auto"/>
      </w:divBdr>
    </w:div>
    <w:div w:id="723405682">
      <w:marLeft w:val="0"/>
      <w:marRight w:val="0"/>
      <w:marTop w:val="0"/>
      <w:marBottom w:val="0"/>
      <w:divBdr>
        <w:top w:val="none" w:sz="0" w:space="0" w:color="auto"/>
        <w:left w:val="none" w:sz="0" w:space="0" w:color="auto"/>
        <w:bottom w:val="none" w:sz="0" w:space="0" w:color="auto"/>
        <w:right w:val="none" w:sz="0" w:space="0" w:color="auto"/>
      </w:divBdr>
    </w:div>
    <w:div w:id="723405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4</Pages>
  <Words>907</Words>
  <Characters>5174</Characters>
  <Application>Microsoft Office Outlook</Application>
  <DocSecurity>0</DocSecurity>
  <Lines>0</Lines>
  <Paragraphs>0</Paragraphs>
  <ScaleCrop>false</ScaleCrop>
  <Company>Goodyear Dunlop Europe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Premiere at IAA for Duraseal Mixed Service Tires</dc:title>
  <dc:subject/>
  <dc:creator>Jens Voelmicke</dc:creator>
  <cp:keywords/>
  <dc:description/>
  <cp:lastModifiedBy> </cp:lastModifiedBy>
  <cp:revision>3</cp:revision>
  <cp:lastPrinted>2011-11-21T16:20:00Z</cp:lastPrinted>
  <dcterms:created xsi:type="dcterms:W3CDTF">2011-11-29T08:39:00Z</dcterms:created>
  <dcterms:modified xsi:type="dcterms:W3CDTF">2011-11-29T08:41:00Z</dcterms:modified>
</cp:coreProperties>
</file>