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5" w:rsidRDefault="008E7AC5" w:rsidP="004E044F"/>
    <w:p w:rsidR="008E7AC5" w:rsidRDefault="008E7AC5" w:rsidP="008E7AC5">
      <w:pPr>
        <w:jc w:val="right"/>
      </w:pPr>
      <w:r w:rsidRPr="00DA35BF">
        <w:rPr>
          <w:rFonts w:ascii="Calibri" w:hAnsi="Calibri"/>
          <w:noProof/>
          <w:lang w:eastAsia="nb-NO"/>
        </w:rPr>
        <w:drawing>
          <wp:inline distT="0" distB="0" distL="0" distR="0" wp14:anchorId="2B4129DE" wp14:editId="7DEFF1BA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85" w:rsidRDefault="00C50485" w:rsidP="004E044F"/>
    <w:p w:rsidR="00C50485" w:rsidRDefault="00C50485" w:rsidP="004E044F"/>
    <w:p w:rsidR="00262C61" w:rsidRPr="009E747D" w:rsidRDefault="00262C61" w:rsidP="004E044F">
      <w:pPr>
        <w:rPr>
          <w:b/>
          <w:sz w:val="28"/>
          <w:szCs w:val="28"/>
        </w:rPr>
      </w:pPr>
      <w:r w:rsidRPr="009E747D">
        <w:rPr>
          <w:b/>
          <w:sz w:val="28"/>
          <w:szCs w:val="28"/>
        </w:rPr>
        <w:t xml:space="preserve">Telenor signerer </w:t>
      </w:r>
      <w:r w:rsidR="00047265" w:rsidRPr="009E747D">
        <w:rPr>
          <w:b/>
          <w:sz w:val="28"/>
          <w:szCs w:val="28"/>
        </w:rPr>
        <w:t xml:space="preserve">utvidet avtale </w:t>
      </w:r>
      <w:r w:rsidRPr="009E747D">
        <w:rPr>
          <w:b/>
          <w:sz w:val="28"/>
          <w:szCs w:val="28"/>
        </w:rPr>
        <w:t xml:space="preserve">med </w:t>
      </w:r>
      <w:proofErr w:type="spellStart"/>
      <w:r w:rsidRPr="009E747D">
        <w:rPr>
          <w:b/>
          <w:sz w:val="28"/>
          <w:szCs w:val="28"/>
        </w:rPr>
        <w:t>Lindorff</w:t>
      </w:r>
      <w:proofErr w:type="spellEnd"/>
      <w:r w:rsidRPr="009E747D">
        <w:rPr>
          <w:b/>
          <w:sz w:val="28"/>
          <w:szCs w:val="28"/>
        </w:rPr>
        <w:t xml:space="preserve"> </w:t>
      </w:r>
    </w:p>
    <w:p w:rsidR="00866C87" w:rsidRPr="009E747D" w:rsidRDefault="00640266" w:rsidP="004E044F">
      <w:pPr>
        <w:rPr>
          <w:b/>
        </w:rPr>
      </w:pPr>
      <w:r w:rsidRPr="009E747D">
        <w:rPr>
          <w:b/>
        </w:rPr>
        <w:t xml:space="preserve">Telenor har valgt </w:t>
      </w:r>
      <w:proofErr w:type="spellStart"/>
      <w:r w:rsidRPr="009E747D">
        <w:rPr>
          <w:b/>
        </w:rPr>
        <w:t>Lindorff</w:t>
      </w:r>
      <w:proofErr w:type="spellEnd"/>
      <w:r w:rsidRPr="009E747D">
        <w:rPr>
          <w:b/>
        </w:rPr>
        <w:t xml:space="preserve"> som </w:t>
      </w:r>
      <w:r w:rsidR="00866C87" w:rsidRPr="009E747D">
        <w:rPr>
          <w:b/>
        </w:rPr>
        <w:t>leverandør av inkasso- og fakturatjenester.</w:t>
      </w:r>
    </w:p>
    <w:p w:rsidR="00047265" w:rsidRDefault="00866C87" w:rsidP="004E044F">
      <w:r>
        <w:t>Selskapene har hatt et samarbeid i en årrekke, og avtalen er nå fornyet</w:t>
      </w:r>
      <w:r w:rsidR="001F7371">
        <w:t xml:space="preserve"> </w:t>
      </w:r>
      <w:r w:rsidR="00586555">
        <w:t xml:space="preserve">– og utvidet – </w:t>
      </w:r>
      <w:r w:rsidR="001F7371">
        <w:t>etter en omfattende anbudsprosess</w:t>
      </w:r>
      <w:r w:rsidR="00AE511D">
        <w:t xml:space="preserve">. </w:t>
      </w:r>
      <w:r w:rsidR="002565BF">
        <w:t xml:space="preserve">Telegiganten kommer også </w:t>
      </w:r>
      <w:r w:rsidR="00E75C34">
        <w:t xml:space="preserve">som før </w:t>
      </w:r>
      <w:r w:rsidR="002565BF">
        <w:t>til å samarbeide med ett annet inkassobyrå.</w:t>
      </w:r>
    </w:p>
    <w:p w:rsidR="00866C87" w:rsidRDefault="00047265" w:rsidP="004E044F">
      <w:r>
        <w:t xml:space="preserve">Denne gangen skal </w:t>
      </w:r>
      <w:proofErr w:type="spellStart"/>
      <w:r w:rsidR="00866C87">
        <w:t>Lindor</w:t>
      </w:r>
      <w:r w:rsidR="001F7371">
        <w:t>ff</w:t>
      </w:r>
      <w:proofErr w:type="spellEnd"/>
      <w:r w:rsidR="001F7371">
        <w:t xml:space="preserve"> også levere </w:t>
      </w:r>
      <w:r w:rsidR="004E4BA1">
        <w:t xml:space="preserve">kundeservicetjenester; </w:t>
      </w:r>
      <w:r w:rsidR="00C177BF">
        <w:t xml:space="preserve">et satsingsområde for </w:t>
      </w:r>
      <w:proofErr w:type="spellStart"/>
      <w:r w:rsidR="00604FA1">
        <w:t>Lindorff</w:t>
      </w:r>
      <w:proofErr w:type="spellEnd"/>
      <w:r w:rsidR="00C177BF">
        <w:t>, som primært assosieres med inkasso</w:t>
      </w:r>
      <w:r w:rsidR="001F7371">
        <w:t xml:space="preserve">. </w:t>
      </w:r>
      <w:r w:rsidR="00283895">
        <w:t>Avtalen innebærer i tillegg løpende kjøp av private inkassokrav, samt bedriftskrav.</w:t>
      </w:r>
    </w:p>
    <w:p w:rsidR="009165F9" w:rsidRDefault="009165F9" w:rsidP="004E044F">
      <w:r>
        <w:t xml:space="preserve">Telenor er en av </w:t>
      </w:r>
      <w:proofErr w:type="spellStart"/>
      <w:r>
        <w:t>Lindorffs</w:t>
      </w:r>
      <w:proofErr w:type="spellEnd"/>
      <w:r>
        <w:t xml:space="preserve"> største kunder. </w:t>
      </w:r>
    </w:p>
    <w:p w:rsidR="00D509C8" w:rsidRDefault="009E747D" w:rsidP="004E044F">
      <w:r w:rsidRPr="009E747D">
        <w:rPr>
          <w:b/>
        </w:rPr>
        <w:t>God kundebehandling står sentralt</w:t>
      </w:r>
      <w:r>
        <w:br/>
      </w:r>
      <w:r w:rsidR="00A31FCE">
        <w:t xml:space="preserve">– </w:t>
      </w:r>
      <w:bookmarkStart w:id="0" w:name="_GoBack"/>
      <w:bookmarkEnd w:id="0"/>
      <w:r w:rsidR="002565BF">
        <w:t xml:space="preserve">Vi er selvsagt utrolig glad for at Telenor valgte oss. </w:t>
      </w:r>
      <w:r w:rsidR="001949E7">
        <w:t xml:space="preserve">De kan </w:t>
      </w:r>
      <w:r w:rsidR="00733525">
        <w:t xml:space="preserve">fortsatt </w:t>
      </w:r>
      <w:r w:rsidR="001949E7">
        <w:t xml:space="preserve">forvente seg en </w:t>
      </w:r>
      <w:proofErr w:type="spellStart"/>
      <w:r w:rsidR="001949E7">
        <w:t>fremoverlent</w:t>
      </w:r>
      <w:proofErr w:type="spellEnd"/>
      <w:r w:rsidR="001949E7">
        <w:t xml:space="preserve"> partner som har fokus både på oppgjør og god kundebehandling. Vi er </w:t>
      </w:r>
      <w:r w:rsidR="00D8582F">
        <w:t>opptatt</w:t>
      </w:r>
      <w:r w:rsidR="00704167">
        <w:t xml:space="preserve"> av å bidra </w:t>
      </w:r>
      <w:r w:rsidR="00D8582F">
        <w:t xml:space="preserve">til </w:t>
      </w:r>
      <w:r w:rsidR="00BD7158">
        <w:t xml:space="preserve">Telenors verdiskapning, ved å legge vekt på kundetilfredshet og digital utvikling, sier Anette Willumsen, administrerende direktør i </w:t>
      </w:r>
      <w:proofErr w:type="spellStart"/>
      <w:r w:rsidR="00BD7158">
        <w:t>Lindorff</w:t>
      </w:r>
      <w:proofErr w:type="spellEnd"/>
      <w:r w:rsidR="00BD7158">
        <w:t>.</w:t>
      </w:r>
    </w:p>
    <w:p w:rsidR="00C177BF" w:rsidRDefault="009E747D" w:rsidP="004E044F">
      <w:r w:rsidRPr="009E747D">
        <w:rPr>
          <w:b/>
        </w:rPr>
        <w:t>Mange betaler ikke mobilregningen</w:t>
      </w:r>
      <w:r>
        <w:br/>
      </w:r>
      <w:proofErr w:type="spellStart"/>
      <w:r w:rsidR="00FC76F0">
        <w:t>Lindorff</w:t>
      </w:r>
      <w:proofErr w:type="spellEnd"/>
      <w:r w:rsidR="00FC76F0">
        <w:t xml:space="preserve"> leverer inkassorelaterte tjenester for en rekke kunder, og mislighold av mobilregninger er utbredt. </w:t>
      </w:r>
      <w:r w:rsidR="0001769D">
        <w:t>Over 20</w:t>
      </w:r>
      <w:r w:rsidR="00C177BF">
        <w:t xml:space="preserve"> prosent av </w:t>
      </w:r>
      <w:proofErr w:type="spellStart"/>
      <w:r w:rsidR="00C177BF">
        <w:t>Lindorff´s</w:t>
      </w:r>
      <w:proofErr w:type="spellEnd"/>
      <w:r w:rsidR="00C177BF">
        <w:t xml:space="preserve"> inkassosaker stammer fra </w:t>
      </w:r>
      <w:proofErr w:type="spellStart"/>
      <w:r w:rsidR="00C177BF">
        <w:t>telekom</w:t>
      </w:r>
      <w:proofErr w:type="spellEnd"/>
      <w:r w:rsidR="00C177BF">
        <w:t>.</w:t>
      </w:r>
    </w:p>
    <w:p w:rsidR="00D509C8" w:rsidRDefault="00D509C8" w:rsidP="004E044F">
      <w:pPr>
        <w:rPr>
          <w:b/>
        </w:rPr>
      </w:pPr>
    </w:p>
    <w:p w:rsidR="00561A94" w:rsidRPr="00BE70D2" w:rsidRDefault="00586555" w:rsidP="00561A94">
      <w:pPr>
        <w:rPr>
          <w:rFonts w:cs="Arial"/>
        </w:rPr>
      </w:pPr>
      <w:r>
        <w:rPr>
          <w:b/>
        </w:rPr>
        <w:t xml:space="preserve"> </w:t>
      </w:r>
    </w:p>
    <w:p w:rsidR="00262C61" w:rsidRDefault="00262C61" w:rsidP="004E044F">
      <w:pPr>
        <w:rPr>
          <w:b/>
        </w:rPr>
      </w:pPr>
    </w:p>
    <w:sectPr w:rsidR="0026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48" w:rsidRDefault="00D23248" w:rsidP="00D23248">
      <w:pPr>
        <w:spacing w:after="0" w:line="240" w:lineRule="auto"/>
      </w:pPr>
      <w:r>
        <w:separator/>
      </w:r>
    </w:p>
  </w:endnote>
  <w:endnote w:type="continuationSeparator" w:id="0">
    <w:p w:rsidR="00D23248" w:rsidRDefault="00D23248" w:rsidP="00D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48" w:rsidRDefault="00D23248" w:rsidP="00D23248">
      <w:pPr>
        <w:spacing w:after="0" w:line="240" w:lineRule="auto"/>
      </w:pPr>
      <w:r>
        <w:separator/>
      </w:r>
    </w:p>
  </w:footnote>
  <w:footnote w:type="continuationSeparator" w:id="0">
    <w:p w:rsidR="00D23248" w:rsidRDefault="00D23248" w:rsidP="00D2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676"/>
    <w:multiLevelType w:val="hybridMultilevel"/>
    <w:tmpl w:val="D6B8D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A2083"/>
    <w:multiLevelType w:val="hybridMultilevel"/>
    <w:tmpl w:val="45729976"/>
    <w:lvl w:ilvl="0" w:tplc="033C66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D6F7F"/>
    <w:multiLevelType w:val="hybridMultilevel"/>
    <w:tmpl w:val="1B98F11A"/>
    <w:lvl w:ilvl="0" w:tplc="AB36C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1"/>
    <w:rsid w:val="0000275F"/>
    <w:rsid w:val="000069C8"/>
    <w:rsid w:val="0001769D"/>
    <w:rsid w:val="00024C24"/>
    <w:rsid w:val="00047265"/>
    <w:rsid w:val="000D0B76"/>
    <w:rsid w:val="00140A4F"/>
    <w:rsid w:val="001949E7"/>
    <w:rsid w:val="001B33FB"/>
    <w:rsid w:val="001E0465"/>
    <w:rsid w:val="001F41F9"/>
    <w:rsid w:val="001F7371"/>
    <w:rsid w:val="002421F0"/>
    <w:rsid w:val="002565BF"/>
    <w:rsid w:val="00262C61"/>
    <w:rsid w:val="00276185"/>
    <w:rsid w:val="00283895"/>
    <w:rsid w:val="002A384E"/>
    <w:rsid w:val="003273F2"/>
    <w:rsid w:val="00327BB1"/>
    <w:rsid w:val="00372DBE"/>
    <w:rsid w:val="00403BDF"/>
    <w:rsid w:val="00467AD5"/>
    <w:rsid w:val="004C2274"/>
    <w:rsid w:val="004E044F"/>
    <w:rsid w:val="004E287B"/>
    <w:rsid w:val="004E4BA1"/>
    <w:rsid w:val="00561A94"/>
    <w:rsid w:val="00586555"/>
    <w:rsid w:val="0059549A"/>
    <w:rsid w:val="005B5AE5"/>
    <w:rsid w:val="005C2819"/>
    <w:rsid w:val="00604FA1"/>
    <w:rsid w:val="00633864"/>
    <w:rsid w:val="00640266"/>
    <w:rsid w:val="0068321C"/>
    <w:rsid w:val="006855D3"/>
    <w:rsid w:val="00693758"/>
    <w:rsid w:val="006E654C"/>
    <w:rsid w:val="00704167"/>
    <w:rsid w:val="00733525"/>
    <w:rsid w:val="00755D6E"/>
    <w:rsid w:val="007A27C2"/>
    <w:rsid w:val="00866C87"/>
    <w:rsid w:val="00886CB4"/>
    <w:rsid w:val="00895E61"/>
    <w:rsid w:val="008E7AC5"/>
    <w:rsid w:val="009165F9"/>
    <w:rsid w:val="0092293C"/>
    <w:rsid w:val="009E747D"/>
    <w:rsid w:val="009F5F5C"/>
    <w:rsid w:val="00A1542B"/>
    <w:rsid w:val="00A31FCE"/>
    <w:rsid w:val="00AC74E9"/>
    <w:rsid w:val="00AE315E"/>
    <w:rsid w:val="00AE511D"/>
    <w:rsid w:val="00B50D18"/>
    <w:rsid w:val="00B824A4"/>
    <w:rsid w:val="00BD271D"/>
    <w:rsid w:val="00BD7158"/>
    <w:rsid w:val="00C177BF"/>
    <w:rsid w:val="00C33418"/>
    <w:rsid w:val="00C50485"/>
    <w:rsid w:val="00CB0881"/>
    <w:rsid w:val="00CB6900"/>
    <w:rsid w:val="00D077D3"/>
    <w:rsid w:val="00D23248"/>
    <w:rsid w:val="00D45758"/>
    <w:rsid w:val="00D509C8"/>
    <w:rsid w:val="00D61D15"/>
    <w:rsid w:val="00D70540"/>
    <w:rsid w:val="00D73AF0"/>
    <w:rsid w:val="00D85630"/>
    <w:rsid w:val="00D8582F"/>
    <w:rsid w:val="00DB6961"/>
    <w:rsid w:val="00E44170"/>
    <w:rsid w:val="00E446D5"/>
    <w:rsid w:val="00E75C34"/>
    <w:rsid w:val="00E7638F"/>
    <w:rsid w:val="00E97E09"/>
    <w:rsid w:val="00EC7CF9"/>
    <w:rsid w:val="00F04B46"/>
    <w:rsid w:val="00FB6175"/>
    <w:rsid w:val="00FC76F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4F"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4E044F"/>
    <w:rPr>
      <w:rFonts w:ascii="Times New Roman" w:hAnsi="Times New Roman" w:cs="Times New Roman" w:hint="default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AC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3864"/>
    <w:pPr>
      <w:spacing w:after="0" w:line="240" w:lineRule="auto"/>
      <w:ind w:left="720"/>
    </w:pPr>
    <w:rPr>
      <w:rFonts w:ascii="Arial" w:hAnsi="Arial" w:cs="Arial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2324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2324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D232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4F"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4E044F"/>
    <w:rPr>
      <w:rFonts w:ascii="Times New Roman" w:hAnsi="Times New Roman" w:cs="Times New Roman" w:hint="default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AC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3864"/>
    <w:pPr>
      <w:spacing w:after="0" w:line="240" w:lineRule="auto"/>
      <w:ind w:left="720"/>
    </w:pPr>
    <w:rPr>
      <w:rFonts w:ascii="Arial" w:hAnsi="Arial" w:cs="Arial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2324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2324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D23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84</cp:revision>
  <cp:lastPrinted>2017-04-19T11:20:00Z</cp:lastPrinted>
  <dcterms:created xsi:type="dcterms:W3CDTF">2017-03-28T12:30:00Z</dcterms:created>
  <dcterms:modified xsi:type="dcterms:W3CDTF">2017-04-20T13:44:00Z</dcterms:modified>
</cp:coreProperties>
</file>