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086C89EA" wp14:editId="46F39552">
            <wp:simplePos x="0" y="0"/>
            <wp:positionH relativeFrom="page">
              <wp:posOffset>5045710</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7">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297FBE" w:rsidRDefault="003865AA" w:rsidP="00297FBE">
      <w:pPr>
        <w:pStyle w:val="berschrift1"/>
        <w:framePr w:wrap="notBeside"/>
      </w:pPr>
      <w:r>
        <w:t>Deutsche Alzheimer Gesellschaft</w:t>
      </w:r>
      <w:r w:rsidR="00F54394">
        <w:t>:</w:t>
      </w:r>
      <w:r>
        <w:t xml:space="preserve"> </w:t>
      </w:r>
      <w:r w:rsidR="00F54394">
        <w:t xml:space="preserve">Neuer Ratgeber </w:t>
      </w:r>
      <w:r w:rsidR="00A2291F">
        <w:t xml:space="preserve">hilft beim Antrag </w:t>
      </w:r>
      <w:r w:rsidR="007852ED">
        <w:t>auf Leistungen der</w:t>
      </w:r>
      <w:r w:rsidR="00F54394">
        <w:t xml:space="preserve"> Pflegeversicherung</w:t>
      </w:r>
      <w:r w:rsidR="00503607">
        <w:t xml:space="preserve"> </w:t>
      </w:r>
    </w:p>
    <w:p w:rsidR="00A2291F" w:rsidRDefault="00297FBE" w:rsidP="00A2291F">
      <w:pPr>
        <w:autoSpaceDE w:val="0"/>
        <w:autoSpaceDN w:val="0"/>
        <w:adjustRightInd w:val="0"/>
        <w:spacing w:line="360" w:lineRule="auto"/>
      </w:pPr>
      <w:r>
        <w:t xml:space="preserve">Berlin, </w:t>
      </w:r>
      <w:r w:rsidR="00F54394">
        <w:t>2</w:t>
      </w:r>
      <w:r w:rsidR="00F656D1">
        <w:t>1</w:t>
      </w:r>
      <w:r>
        <w:t xml:space="preserve">. </w:t>
      </w:r>
      <w:r w:rsidR="005000FB">
        <w:t>August</w:t>
      </w:r>
      <w:r>
        <w:t xml:space="preserve"> 2018. </w:t>
      </w:r>
      <w:r w:rsidR="00A2291F">
        <w:t>Menschen mit einer Demenz können vielfältige Leistungen der Pflegeversicherung in Anspruch nehmen, wenn sie Hilfe im Alltag benötigen. Viele scheuen sich jedoch, einen Antrag zu stellen</w:t>
      </w:r>
      <w:r w:rsidR="005A168B">
        <w:t xml:space="preserve">. Sie sind unsicher, </w:t>
      </w:r>
      <w:r w:rsidR="00A2291F">
        <w:t xml:space="preserve">ob bereits ein Anspruch besteht, und </w:t>
      </w:r>
      <w:r w:rsidR="005A168B">
        <w:t xml:space="preserve">haben </w:t>
      </w:r>
      <w:r w:rsidR="00A2291F">
        <w:t>k</w:t>
      </w:r>
      <w:bookmarkStart w:id="0" w:name="_GoBack"/>
      <w:bookmarkEnd w:id="0"/>
      <w:r w:rsidR="00A2291F">
        <w:t xml:space="preserve">einen Überblick über die verschiedenen Angebote. Der „Leitfaden zur Pflegeversicherung“ der Deutschen Alzheimer Gesellschaft </w:t>
      </w:r>
      <w:r w:rsidR="00236EA5">
        <w:t xml:space="preserve">(DAlzG) </w:t>
      </w:r>
      <w:r w:rsidR="00A2291F">
        <w:t>gibt hier Informationen und Hilfestellungen.</w:t>
      </w:r>
    </w:p>
    <w:p w:rsidR="00A2291F" w:rsidRDefault="00A2291F" w:rsidP="00A2291F">
      <w:pPr>
        <w:autoSpaceDE w:val="0"/>
        <w:autoSpaceDN w:val="0"/>
        <w:adjustRightInd w:val="0"/>
        <w:spacing w:line="360" w:lineRule="auto"/>
      </w:pPr>
      <w:r>
        <w:t xml:space="preserve">Die Leistungen der Pflegeversicherung sind mittlerweile sehr breit gefächert. Sie reichen von Unterstützung im Haushalt über Betreuungsangebote, Hilfe bei der Körperpflege, Vertretung bei Urlaub der Pflegeperson </w:t>
      </w:r>
      <w:r w:rsidR="00501EA1">
        <w:t>bis hin zu Leistungen für die Versorgung in einer Demenz-WG oder im Pflegeheim. Dabei können verschiedene Leistungen flexibel je nach Bedarf verwendet werden. Diese</w:t>
      </w:r>
      <w:r w:rsidR="00501EA1" w:rsidRPr="00501EA1">
        <w:t xml:space="preserve"> Regelungen </w:t>
      </w:r>
      <w:r w:rsidR="00501EA1">
        <w:t xml:space="preserve">sind allerdings </w:t>
      </w:r>
      <w:r w:rsidR="00501EA1" w:rsidRPr="00501EA1">
        <w:t>mittlerweile so kompliziert, dass es selbst Fachleuten oft schwer fällt sie zu durchschauen.</w:t>
      </w:r>
      <w:r w:rsidR="00236EA5">
        <w:t xml:space="preserve"> Der soeben in 17. Auflage erschienene Leitfaden zur Pflegeversicherung informiert in gut verständlicher Form über die Antragstellung, die Abläufe bei der Begutachtung zum Pflegegrad, die Möglichkeiten eines Widerspruchs sowie die verschiedenen Leistungen, die die Pflegeversicherung zur Verfügung stellt.</w:t>
      </w:r>
      <w:r w:rsidR="004310FA">
        <w:t xml:space="preserve"> Dabei liegt das Augenmerk auf den Besonderheiten, die bei Menschen mit einer Demenz in diesem Zusammenhang zu beachten sind.</w:t>
      </w:r>
    </w:p>
    <w:p w:rsidR="00236EA5" w:rsidRDefault="007E26A5" w:rsidP="00A2291F">
      <w:pPr>
        <w:autoSpaceDE w:val="0"/>
        <w:autoSpaceDN w:val="0"/>
        <w:adjustRightInd w:val="0"/>
        <w:spacing w:line="360" w:lineRule="auto"/>
      </w:pPr>
      <w:r>
        <w:lastRenderedPageBreak/>
        <w:t>Der</w:t>
      </w:r>
      <w:r w:rsidR="00236EA5">
        <w:t xml:space="preserve"> Ratgeber wurde </w:t>
      </w:r>
      <w:r>
        <w:t xml:space="preserve">für die neue Auflage </w:t>
      </w:r>
      <w:r w:rsidR="00236EA5">
        <w:rPr>
          <w:rFonts w:cs="Arial"/>
          <w:sz w:val="24"/>
          <w:szCs w:val="24"/>
        </w:rPr>
        <w:t xml:space="preserve">von Günther Schwarz, Leiter der Beratungsstelle der Evangelischen Gesellschaft in Stuttgart, und Susanna Saxl, Mitarbeiterin der DAlzG, </w:t>
      </w:r>
      <w:r>
        <w:rPr>
          <w:rFonts w:cs="Arial"/>
          <w:sz w:val="24"/>
          <w:szCs w:val="24"/>
        </w:rPr>
        <w:t>komplett</w:t>
      </w:r>
      <w:r w:rsidR="00236EA5">
        <w:rPr>
          <w:rFonts w:cs="Arial"/>
          <w:sz w:val="24"/>
          <w:szCs w:val="24"/>
        </w:rPr>
        <w:t xml:space="preserve"> überarbeitet. </w:t>
      </w:r>
      <w:r w:rsidR="004B75CA">
        <w:rPr>
          <w:rFonts w:cs="Arial"/>
          <w:sz w:val="24"/>
          <w:szCs w:val="24"/>
        </w:rPr>
        <w:t xml:space="preserve">Er </w:t>
      </w:r>
      <w:r w:rsidR="00236EA5">
        <w:rPr>
          <w:rFonts w:cs="Arial"/>
          <w:sz w:val="24"/>
          <w:szCs w:val="24"/>
        </w:rPr>
        <w:t xml:space="preserve">enthält im Anhang neben den wichtigsten Auszügen aus den Gesetzestexten auch Vorlagen für ein ärztliches Attest, ein Widerspruchsschreiben, eine Vorlage für einen Selbsteinschätzungsbogen sowie eine </w:t>
      </w:r>
      <w:r w:rsidR="00236EA5" w:rsidRPr="00236EA5">
        <w:rPr>
          <w:rFonts w:cs="Arial"/>
          <w:sz w:val="24"/>
          <w:szCs w:val="24"/>
        </w:rPr>
        <w:t>Berechnungstabelle zur Bestimmung des Pflegegrads</w:t>
      </w:r>
      <w:r w:rsidR="00236EA5">
        <w:rPr>
          <w:rFonts w:cs="Arial"/>
          <w:sz w:val="24"/>
          <w:szCs w:val="24"/>
        </w:rPr>
        <w:t>.</w:t>
      </w:r>
    </w:p>
    <w:p w:rsidR="00072770" w:rsidRDefault="00072770" w:rsidP="00072770">
      <w:pPr>
        <w:pStyle w:val="berschrift2"/>
      </w:pPr>
      <w:r>
        <w:t xml:space="preserve">Die Broschüre </w:t>
      </w:r>
    </w:p>
    <w:p w:rsidR="00072770" w:rsidRDefault="00072770" w:rsidP="00072770">
      <w:pPr>
        <w:autoSpaceDE w:val="0"/>
        <w:autoSpaceDN w:val="0"/>
        <w:adjustRightInd w:val="0"/>
        <w:spacing w:line="360" w:lineRule="auto"/>
      </w:pPr>
      <w:r>
        <w:t xml:space="preserve">Deutsche Alzheimer Gesellschaft (Hrsg.): Leitfaden zur Pflegeversicherung. Antragstellung, Begutachtung, Widerspruchsverfahren, Leistungen. 17. Auflage 2018, 192 Seiten, 6 €. </w:t>
      </w:r>
      <w:r>
        <w:br/>
      </w:r>
      <w:hyperlink r:id="rId8" w:history="1">
        <w:r w:rsidRPr="00072770">
          <w:rPr>
            <w:rStyle w:val="Hyperlink"/>
          </w:rPr>
          <w:t>Zum Online-Shop</w:t>
        </w:r>
      </w:hyperlink>
    </w:p>
    <w:p w:rsidR="008463B1" w:rsidRDefault="008463B1" w:rsidP="00444BA3">
      <w:pPr>
        <w:autoSpaceDE w:val="0"/>
        <w:autoSpaceDN w:val="0"/>
        <w:adjustRightInd w:val="0"/>
        <w:spacing w:after="0" w:line="360" w:lineRule="auto"/>
        <w:rPr>
          <w:rStyle w:val="berschrift2Zchn"/>
        </w:rPr>
      </w:pPr>
      <w:r>
        <w:rPr>
          <w:rStyle w:val="berschrift2Zchn"/>
        </w:rPr>
        <w:t>Hintergrund</w:t>
      </w:r>
    </w:p>
    <w:p w:rsidR="008463B1" w:rsidRPr="008463B1" w:rsidRDefault="008463B1" w:rsidP="008463B1">
      <w:pPr>
        <w:spacing w:line="360" w:lineRule="auto"/>
        <w:rPr>
          <w:rStyle w:val="berschrift2Zchn"/>
          <w:rFonts w:ascii="Source Sans Pro" w:hAnsi="Source Sans Pro"/>
          <w:color w:val="000000" w:themeColor="text1"/>
          <w:sz w:val="22"/>
          <w:szCs w:val="22"/>
        </w:rPr>
      </w:pPr>
      <w:r w:rsidRPr="008463B1">
        <w:rPr>
          <w:rStyle w:val="berschrift2Zchn"/>
          <w:rFonts w:ascii="Source Sans Pro" w:hAnsi="Source Sans Pro"/>
          <w:color w:val="000000" w:themeColor="text1"/>
          <w:sz w:val="22"/>
          <w:szCs w:val="22"/>
        </w:rPr>
        <w:t>In Deutschland leben heute etwa 1,7 Millionen Menschen mit Demenzerkrankungen. Ungefähr 60 Prozent davon leiden an einer Demenz vom Typ Alzheimer. Die Zahl der Demenzkranken wird bis 2050 auf 3 Millionen steigen, sofern kein Durchbruch in der Therapie gelingt.</w:t>
      </w:r>
    </w:p>
    <w:p w:rsidR="00D00C68" w:rsidRDefault="001A154D" w:rsidP="00444BA3">
      <w:pPr>
        <w:autoSpaceDE w:val="0"/>
        <w:autoSpaceDN w:val="0"/>
        <w:adjustRightInd w:val="0"/>
        <w:spacing w:after="0" w:line="360" w:lineRule="auto"/>
        <w:rPr>
          <w:rStyle w:val="berschrift2Zchn"/>
        </w:rPr>
      </w:pPr>
      <w:r w:rsidRPr="00D00C68">
        <w:rPr>
          <w:rStyle w:val="berschrift2Zchn"/>
        </w:rPr>
        <w:t xml:space="preserve">Die Deutsche Alzheimer Gesellschaft e.V. Selbsthilfe Demenz </w:t>
      </w:r>
    </w:p>
    <w:p w:rsidR="000860DC" w:rsidRDefault="004F3CAE" w:rsidP="004F3CAE">
      <w:pPr>
        <w:autoSpaceDE w:val="0"/>
        <w:autoSpaceDN w:val="0"/>
        <w:adjustRightInd w:val="0"/>
        <w:spacing w:line="360" w:lineRule="auto"/>
        <w:rPr>
          <w:rFonts w:cs="Arial"/>
          <w:iCs/>
        </w:rPr>
      </w:pPr>
      <w:r w:rsidRPr="004F3CAE">
        <w:rPr>
          <w:rFonts w:cs="Arial"/>
          <w:iCs/>
        </w:rPr>
        <w:t xml:space="preserve">Die Deutsche Alzheimer Gesellschaft engagiert sich für ein besseres Leben mit Demenz. </w:t>
      </w:r>
      <w:r>
        <w:rPr>
          <w:rFonts w:cs="Arial"/>
          <w:iCs/>
        </w:rPr>
        <w:br/>
      </w:r>
      <w:r w:rsidRPr="004F3CAE">
        <w:rPr>
          <w:rFonts w:cs="Arial"/>
          <w:iCs/>
        </w:rPr>
        <w:t xml:space="preserve">Sie unterstützt und berät Menschen mit Demenz und ihre Familien. Sie informiert die Öffentlichkeit über die Erkrankung und ist ein unabhängiger Ansprechpartner für Medien, Fachverbände und Forschung. In ihren Veröffentlichungen und in der Beratung bündelt sie das Erfahrungswissen der Angehörigen und das Expertenwissen aus Forschung und Praxis. Als Bundesverband von </w:t>
      </w:r>
      <w:r w:rsidR="00020E06">
        <w:rPr>
          <w:rFonts w:cs="Arial"/>
          <w:iCs/>
        </w:rPr>
        <w:t xml:space="preserve">mehr als 130 </w:t>
      </w:r>
      <w:r w:rsidRPr="004F3CAE">
        <w:rPr>
          <w:rFonts w:cs="Arial"/>
          <w:iCs/>
        </w:rPr>
        <w:t>Alzheimer-Gesellschaften unterstützt sie die Selbsthilfe vor Ort. Gegenüber der Politik vertritt sie die Interessen der Betroffenen und ihrer Angehörigen.</w:t>
      </w:r>
      <w:r w:rsidR="00AC6C36">
        <w:rPr>
          <w:rFonts w:cs="Arial"/>
          <w:iCs/>
        </w:rPr>
        <w:t xml:space="preserve"> </w:t>
      </w:r>
      <w:r w:rsidRPr="004F3CAE">
        <w:rPr>
          <w:rFonts w:cs="Arial"/>
          <w:iCs/>
        </w:rPr>
        <w:t xml:space="preserve">Die DAlzG setzt sich ein für bessere Diagnose und Behandlung, mehr </w:t>
      </w:r>
      <w:r w:rsidRPr="004F3CAE">
        <w:rPr>
          <w:rFonts w:cs="Arial"/>
          <w:iCs/>
        </w:rPr>
        <w:lastRenderedPageBreak/>
        <w:t>kompetente Beratung vor Ort, eine gute Betreuung und Pflege sowie eine demenzfreundliche Gesellschaft.</w:t>
      </w:r>
      <w:r w:rsidR="001A154D" w:rsidRPr="000860DC">
        <w:rPr>
          <w:rFonts w:cs="Arial"/>
          <w:iCs/>
        </w:rPr>
        <w:t xml:space="preserve"> </w:t>
      </w:r>
    </w:p>
    <w:p w:rsidR="002922D4" w:rsidRPr="00C7065B" w:rsidRDefault="001A154D" w:rsidP="002922D4">
      <w:pPr>
        <w:autoSpaceDE w:val="0"/>
        <w:autoSpaceDN w:val="0"/>
        <w:adjustRightInd w:val="0"/>
        <w:spacing w:after="0" w:line="360" w:lineRule="auto"/>
        <w:rPr>
          <w:rFonts w:cs="Arial"/>
          <w:iCs/>
          <w:color w:val="0000FF"/>
          <w:u w:val="single"/>
        </w:rPr>
      </w:pPr>
      <w:r w:rsidRPr="00D00C68">
        <w:rPr>
          <w:rStyle w:val="berschrift2Zchn"/>
        </w:rPr>
        <w:t>Kontakt:</w:t>
      </w:r>
      <w:r w:rsidR="00951217" w:rsidRPr="00D00C68">
        <w:rPr>
          <w:rStyle w:val="berschrift2Zchn"/>
        </w:rPr>
        <w:br/>
      </w:r>
      <w:r w:rsidR="002922D4" w:rsidRPr="000860DC">
        <w:rPr>
          <w:rFonts w:cs="Arial"/>
          <w:iCs/>
        </w:rPr>
        <w:t>Deutsche Alzheimer Gesellschaft e.V. Selbsthilfe Demenz</w:t>
      </w:r>
      <w:r w:rsidR="00AC6C36">
        <w:rPr>
          <w:rFonts w:cs="Arial"/>
          <w:iCs/>
        </w:rPr>
        <w:br/>
        <w:t>Astrid Lärm; Susanna Saxl</w:t>
      </w:r>
      <w:r w:rsidR="002922D4" w:rsidRPr="000860DC">
        <w:rPr>
          <w:rFonts w:cs="Arial"/>
          <w:iCs/>
        </w:rPr>
        <w:br/>
        <w:t>Friedrichstraße 236, 10969 Berlin</w:t>
      </w:r>
      <w:r w:rsidR="002922D4" w:rsidRPr="000860DC">
        <w:rPr>
          <w:rFonts w:cs="Arial"/>
          <w:iCs/>
        </w:rPr>
        <w:br/>
        <w:t>Tel: 030 - 259 37 95 0</w:t>
      </w:r>
      <w:r w:rsidR="002922D4" w:rsidRPr="000860DC">
        <w:rPr>
          <w:rFonts w:cs="Arial"/>
          <w:iCs/>
        </w:rPr>
        <w:br/>
        <w:t>Fax: 030 - 259 37 95 29</w:t>
      </w:r>
      <w:r w:rsidR="002922D4" w:rsidRPr="00D6309B">
        <w:rPr>
          <w:rFonts w:cs="Arial"/>
          <w:iCs/>
          <w:color w:val="333333"/>
        </w:rPr>
        <w:br/>
        <w:t xml:space="preserve">E-Mail: </w:t>
      </w:r>
      <w:hyperlink r:id="rId9" w:history="1">
        <w:r w:rsidR="002922D4" w:rsidRPr="00D6309B">
          <w:rPr>
            <w:rFonts w:cs="Arial"/>
            <w:iCs/>
            <w:color w:val="0000FF"/>
            <w:u w:val="single"/>
          </w:rPr>
          <w:t>info@deutsche-alzheimer.de</w:t>
        </w:r>
      </w:hyperlink>
      <w:r w:rsidR="002922D4" w:rsidRPr="00D6309B">
        <w:rPr>
          <w:rFonts w:cs="Arial"/>
          <w:iCs/>
          <w:color w:val="333333"/>
        </w:rPr>
        <w:t xml:space="preserve"> </w:t>
      </w:r>
      <w:r w:rsidR="002922D4" w:rsidRPr="00D6309B">
        <w:rPr>
          <w:rFonts w:cs="Arial"/>
          <w:iCs/>
          <w:color w:val="333333"/>
        </w:rPr>
        <w:br/>
        <w:t>Internet</w:t>
      </w:r>
      <w:r w:rsidR="002922D4">
        <w:rPr>
          <w:rFonts w:cs="Arial"/>
          <w:iCs/>
          <w:color w:val="333333"/>
        </w:rPr>
        <w:t xml:space="preserve">: </w:t>
      </w:r>
      <w:hyperlink r:id="rId10" w:history="1">
        <w:r w:rsidR="002922D4" w:rsidRPr="003D0AE4">
          <w:rPr>
            <w:rStyle w:val="Hyperlink"/>
            <w:rFonts w:cs="Arial"/>
            <w:iCs/>
          </w:rPr>
          <w:t>www.deutsche-alzheimer.de</w:t>
        </w:r>
      </w:hyperlink>
      <w:r w:rsidR="002922D4">
        <w:rPr>
          <w:rFonts w:cs="Arial"/>
          <w:iCs/>
          <w:color w:val="333333"/>
        </w:rPr>
        <w:t xml:space="preserve"> </w:t>
      </w:r>
    </w:p>
    <w:p w:rsidR="000860DC" w:rsidRPr="00C7065B" w:rsidRDefault="000860DC" w:rsidP="00355D43">
      <w:pPr>
        <w:autoSpaceDE w:val="0"/>
        <w:autoSpaceDN w:val="0"/>
        <w:adjustRightInd w:val="0"/>
        <w:spacing w:after="0" w:line="240" w:lineRule="auto"/>
        <w:rPr>
          <w:rFonts w:cs="Arial"/>
          <w:iCs/>
          <w:color w:val="0000FF"/>
          <w:u w:val="single"/>
        </w:rPr>
      </w:pPr>
    </w:p>
    <w:sectPr w:rsidR="000860DC" w:rsidRPr="00C7065B" w:rsidSect="000777AB">
      <w:headerReference w:type="default" r:id="rId11"/>
      <w:headerReference w:type="first" r:id="rId12"/>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DB1" w:rsidRDefault="00A41DB1" w:rsidP="007F0D72">
      <w:r>
        <w:separator/>
      </w:r>
    </w:p>
  </w:endnote>
  <w:endnote w:type="continuationSeparator" w:id="0">
    <w:p w:rsidR="00A41DB1" w:rsidRDefault="00A41DB1"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DB1" w:rsidRDefault="00A41DB1" w:rsidP="007F0D72">
      <w:r>
        <w:separator/>
      </w:r>
    </w:p>
  </w:footnote>
  <w:footnote w:type="continuationSeparator" w:id="0">
    <w:p w:rsidR="00A41DB1" w:rsidRDefault="00A41DB1"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14:anchorId="30F38CD4" wp14:editId="0A6E62F5">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47D6FE7C" wp14:editId="1DEDBEB4">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44B9C932" wp14:editId="266859C8">
          <wp:simplePos x="0" y="0"/>
          <wp:positionH relativeFrom="page">
            <wp:posOffset>5040630</wp:posOffset>
          </wp:positionH>
          <wp:positionV relativeFrom="page">
            <wp:posOffset>3780790</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14:anchorId="0C49269A" wp14:editId="6D5A865C">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44E15BE7" wp14:editId="148F76BA">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4D"/>
    <w:rsid w:val="00005563"/>
    <w:rsid w:val="00017BB5"/>
    <w:rsid w:val="00020E06"/>
    <w:rsid w:val="00027525"/>
    <w:rsid w:val="00034F90"/>
    <w:rsid w:val="00055D6E"/>
    <w:rsid w:val="00065E71"/>
    <w:rsid w:val="00072770"/>
    <w:rsid w:val="000777AB"/>
    <w:rsid w:val="00084AD0"/>
    <w:rsid w:val="000860DC"/>
    <w:rsid w:val="00091AD0"/>
    <w:rsid w:val="000B322D"/>
    <w:rsid w:val="000C4CBE"/>
    <w:rsid w:val="000E2BC7"/>
    <w:rsid w:val="000F2D17"/>
    <w:rsid w:val="00106426"/>
    <w:rsid w:val="00150D00"/>
    <w:rsid w:val="00157424"/>
    <w:rsid w:val="00161F46"/>
    <w:rsid w:val="00166BC5"/>
    <w:rsid w:val="001A154D"/>
    <w:rsid w:val="001A7B7E"/>
    <w:rsid w:val="001C1B21"/>
    <w:rsid w:val="001C3C7C"/>
    <w:rsid w:val="001D51AD"/>
    <w:rsid w:val="001F5940"/>
    <w:rsid w:val="00201D2D"/>
    <w:rsid w:val="0020442A"/>
    <w:rsid w:val="00206ADC"/>
    <w:rsid w:val="00214927"/>
    <w:rsid w:val="002256B7"/>
    <w:rsid w:val="00230F05"/>
    <w:rsid w:val="00236EA5"/>
    <w:rsid w:val="002517D3"/>
    <w:rsid w:val="00260E98"/>
    <w:rsid w:val="00264B57"/>
    <w:rsid w:val="0027110F"/>
    <w:rsid w:val="00271D8C"/>
    <w:rsid w:val="002922D4"/>
    <w:rsid w:val="00296766"/>
    <w:rsid w:val="00297FBE"/>
    <w:rsid w:val="002A2B9E"/>
    <w:rsid w:val="002A5750"/>
    <w:rsid w:val="002A6428"/>
    <w:rsid w:val="002A7F23"/>
    <w:rsid w:val="002B2989"/>
    <w:rsid w:val="002C2027"/>
    <w:rsid w:val="002D0A87"/>
    <w:rsid w:val="002D33E3"/>
    <w:rsid w:val="002D394E"/>
    <w:rsid w:val="002E4225"/>
    <w:rsid w:val="002F1554"/>
    <w:rsid w:val="002F1997"/>
    <w:rsid w:val="003238C9"/>
    <w:rsid w:val="00337257"/>
    <w:rsid w:val="00353934"/>
    <w:rsid w:val="00355D43"/>
    <w:rsid w:val="00367A29"/>
    <w:rsid w:val="003802C4"/>
    <w:rsid w:val="003865AA"/>
    <w:rsid w:val="00391A4E"/>
    <w:rsid w:val="003A53A3"/>
    <w:rsid w:val="003B0CFC"/>
    <w:rsid w:val="003C5E70"/>
    <w:rsid w:val="003C702B"/>
    <w:rsid w:val="003D032E"/>
    <w:rsid w:val="00415002"/>
    <w:rsid w:val="00420DAF"/>
    <w:rsid w:val="00423410"/>
    <w:rsid w:val="00430593"/>
    <w:rsid w:val="004310FA"/>
    <w:rsid w:val="004365F1"/>
    <w:rsid w:val="0044174E"/>
    <w:rsid w:val="00444BA3"/>
    <w:rsid w:val="00444CD7"/>
    <w:rsid w:val="00474C76"/>
    <w:rsid w:val="00492AF1"/>
    <w:rsid w:val="00496717"/>
    <w:rsid w:val="00496D46"/>
    <w:rsid w:val="004A1D9E"/>
    <w:rsid w:val="004B3513"/>
    <w:rsid w:val="004B75CA"/>
    <w:rsid w:val="004E37A8"/>
    <w:rsid w:val="004E732F"/>
    <w:rsid w:val="004F3CAE"/>
    <w:rsid w:val="005000FB"/>
    <w:rsid w:val="00501EA1"/>
    <w:rsid w:val="00503607"/>
    <w:rsid w:val="00511640"/>
    <w:rsid w:val="00521127"/>
    <w:rsid w:val="0052145A"/>
    <w:rsid w:val="00527945"/>
    <w:rsid w:val="0053007B"/>
    <w:rsid w:val="005506F7"/>
    <w:rsid w:val="0055227F"/>
    <w:rsid w:val="0056198B"/>
    <w:rsid w:val="00566A81"/>
    <w:rsid w:val="0058153D"/>
    <w:rsid w:val="005843FC"/>
    <w:rsid w:val="00584FDA"/>
    <w:rsid w:val="005A168B"/>
    <w:rsid w:val="005C7713"/>
    <w:rsid w:val="005D76BD"/>
    <w:rsid w:val="005E40EE"/>
    <w:rsid w:val="0060008A"/>
    <w:rsid w:val="00603A31"/>
    <w:rsid w:val="00605680"/>
    <w:rsid w:val="00612FD4"/>
    <w:rsid w:val="00637020"/>
    <w:rsid w:val="006565AC"/>
    <w:rsid w:val="006749D2"/>
    <w:rsid w:val="006774F4"/>
    <w:rsid w:val="006928E1"/>
    <w:rsid w:val="00693089"/>
    <w:rsid w:val="006A74E2"/>
    <w:rsid w:val="006C750C"/>
    <w:rsid w:val="006D389E"/>
    <w:rsid w:val="006E78AC"/>
    <w:rsid w:val="006F1205"/>
    <w:rsid w:val="0075182A"/>
    <w:rsid w:val="00770189"/>
    <w:rsid w:val="00772433"/>
    <w:rsid w:val="007732DF"/>
    <w:rsid w:val="00784063"/>
    <w:rsid w:val="007847C3"/>
    <w:rsid w:val="007852ED"/>
    <w:rsid w:val="007B4CE0"/>
    <w:rsid w:val="007C4A93"/>
    <w:rsid w:val="007C734C"/>
    <w:rsid w:val="007E26A5"/>
    <w:rsid w:val="007F043C"/>
    <w:rsid w:val="007F0D72"/>
    <w:rsid w:val="007F53BB"/>
    <w:rsid w:val="008007EF"/>
    <w:rsid w:val="0081742C"/>
    <w:rsid w:val="00822D38"/>
    <w:rsid w:val="008463B1"/>
    <w:rsid w:val="00855B95"/>
    <w:rsid w:val="008610EC"/>
    <w:rsid w:val="00865EA3"/>
    <w:rsid w:val="00871A25"/>
    <w:rsid w:val="00874AB7"/>
    <w:rsid w:val="00882CBF"/>
    <w:rsid w:val="00884F9D"/>
    <w:rsid w:val="00893401"/>
    <w:rsid w:val="008A01BB"/>
    <w:rsid w:val="008A6E37"/>
    <w:rsid w:val="008B5D58"/>
    <w:rsid w:val="008D0ABC"/>
    <w:rsid w:val="008D2C58"/>
    <w:rsid w:val="008E2DC8"/>
    <w:rsid w:val="00905D91"/>
    <w:rsid w:val="00915A3E"/>
    <w:rsid w:val="00927D41"/>
    <w:rsid w:val="00931571"/>
    <w:rsid w:val="00951217"/>
    <w:rsid w:val="00951993"/>
    <w:rsid w:val="00963EB6"/>
    <w:rsid w:val="00981D2D"/>
    <w:rsid w:val="00981D76"/>
    <w:rsid w:val="0099186A"/>
    <w:rsid w:val="00997D80"/>
    <w:rsid w:val="009A11FD"/>
    <w:rsid w:val="009B41FB"/>
    <w:rsid w:val="00A02D1C"/>
    <w:rsid w:val="00A10DE8"/>
    <w:rsid w:val="00A227CD"/>
    <w:rsid w:val="00A2291F"/>
    <w:rsid w:val="00A35269"/>
    <w:rsid w:val="00A41DB1"/>
    <w:rsid w:val="00A4369D"/>
    <w:rsid w:val="00A55166"/>
    <w:rsid w:val="00A60FFB"/>
    <w:rsid w:val="00A6479F"/>
    <w:rsid w:val="00AA4553"/>
    <w:rsid w:val="00AB0A68"/>
    <w:rsid w:val="00AC6C36"/>
    <w:rsid w:val="00AC76CB"/>
    <w:rsid w:val="00AF104E"/>
    <w:rsid w:val="00AF2290"/>
    <w:rsid w:val="00AF3223"/>
    <w:rsid w:val="00AF7D40"/>
    <w:rsid w:val="00B029E7"/>
    <w:rsid w:val="00B04AE9"/>
    <w:rsid w:val="00B2165A"/>
    <w:rsid w:val="00B439F1"/>
    <w:rsid w:val="00B7132B"/>
    <w:rsid w:val="00B74DD3"/>
    <w:rsid w:val="00B77CE0"/>
    <w:rsid w:val="00BB4D98"/>
    <w:rsid w:val="00BB6882"/>
    <w:rsid w:val="00BD45AF"/>
    <w:rsid w:val="00BE0F4E"/>
    <w:rsid w:val="00BF72BC"/>
    <w:rsid w:val="00C00592"/>
    <w:rsid w:val="00C10FE0"/>
    <w:rsid w:val="00C23205"/>
    <w:rsid w:val="00C315C2"/>
    <w:rsid w:val="00C33343"/>
    <w:rsid w:val="00C345F2"/>
    <w:rsid w:val="00C47196"/>
    <w:rsid w:val="00C7065B"/>
    <w:rsid w:val="00C8283B"/>
    <w:rsid w:val="00C85B09"/>
    <w:rsid w:val="00CA7F93"/>
    <w:rsid w:val="00CB4B5F"/>
    <w:rsid w:val="00CC5060"/>
    <w:rsid w:val="00CE6A54"/>
    <w:rsid w:val="00D00C68"/>
    <w:rsid w:val="00D05381"/>
    <w:rsid w:val="00D07FB9"/>
    <w:rsid w:val="00D22029"/>
    <w:rsid w:val="00D271DF"/>
    <w:rsid w:val="00D307C6"/>
    <w:rsid w:val="00D41FD2"/>
    <w:rsid w:val="00D5034D"/>
    <w:rsid w:val="00DB3B41"/>
    <w:rsid w:val="00DB56C2"/>
    <w:rsid w:val="00DF00DF"/>
    <w:rsid w:val="00DF7031"/>
    <w:rsid w:val="00E03487"/>
    <w:rsid w:val="00E1539A"/>
    <w:rsid w:val="00E20114"/>
    <w:rsid w:val="00E3712C"/>
    <w:rsid w:val="00E45D8B"/>
    <w:rsid w:val="00E50750"/>
    <w:rsid w:val="00E60B6E"/>
    <w:rsid w:val="00E65709"/>
    <w:rsid w:val="00E93522"/>
    <w:rsid w:val="00EB2BF0"/>
    <w:rsid w:val="00EB4ABC"/>
    <w:rsid w:val="00EB7451"/>
    <w:rsid w:val="00EB7678"/>
    <w:rsid w:val="00EC564B"/>
    <w:rsid w:val="00EF02BA"/>
    <w:rsid w:val="00EF209E"/>
    <w:rsid w:val="00F102D5"/>
    <w:rsid w:val="00F14BCE"/>
    <w:rsid w:val="00F21692"/>
    <w:rsid w:val="00F54394"/>
    <w:rsid w:val="00F656D1"/>
    <w:rsid w:val="00F73F08"/>
    <w:rsid w:val="00FB509B"/>
    <w:rsid w:val="00FC5395"/>
    <w:rsid w:val="00FD75A2"/>
    <w:rsid w:val="00FE60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7830">
      <w:bodyDiv w:val="1"/>
      <w:marLeft w:val="0"/>
      <w:marRight w:val="0"/>
      <w:marTop w:val="0"/>
      <w:marBottom w:val="0"/>
      <w:divBdr>
        <w:top w:val="none" w:sz="0" w:space="0" w:color="auto"/>
        <w:left w:val="none" w:sz="0" w:space="0" w:color="auto"/>
        <w:bottom w:val="none" w:sz="0" w:space="0" w:color="auto"/>
        <w:right w:val="none" w:sz="0" w:space="0" w:color="auto"/>
      </w:divBdr>
    </w:div>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 w:id="1241329404">
      <w:bodyDiv w:val="1"/>
      <w:marLeft w:val="0"/>
      <w:marRight w:val="0"/>
      <w:marTop w:val="0"/>
      <w:marBottom w:val="0"/>
      <w:divBdr>
        <w:top w:val="none" w:sz="0" w:space="0" w:color="auto"/>
        <w:left w:val="none" w:sz="0" w:space="0" w:color="auto"/>
        <w:bottom w:val="none" w:sz="0" w:space="0" w:color="auto"/>
        <w:right w:val="none" w:sz="0" w:space="0" w:color="auto"/>
      </w:divBdr>
    </w:div>
    <w:div w:id="1856650880">
      <w:bodyDiv w:val="1"/>
      <w:marLeft w:val="0"/>
      <w:marRight w:val="0"/>
      <w:marTop w:val="0"/>
      <w:marBottom w:val="0"/>
      <w:divBdr>
        <w:top w:val="none" w:sz="0" w:space="0" w:color="auto"/>
        <w:left w:val="none" w:sz="0" w:space="0" w:color="auto"/>
        <w:bottom w:val="none" w:sz="0" w:space="0" w:color="auto"/>
        <w:right w:val="none" w:sz="0" w:space="0" w:color="auto"/>
      </w:divBdr>
    </w:div>
    <w:div w:id="1984768086">
      <w:bodyDiv w:val="1"/>
      <w:marLeft w:val="0"/>
      <w:marRight w:val="0"/>
      <w:marTop w:val="0"/>
      <w:marBottom w:val="0"/>
      <w:divBdr>
        <w:top w:val="none" w:sz="0" w:space="0" w:color="auto"/>
        <w:left w:val="none" w:sz="0" w:space="0" w:color="auto"/>
        <w:bottom w:val="none" w:sz="0" w:space="0" w:color="auto"/>
        <w:right w:val="none" w:sz="0" w:space="0" w:color="auto"/>
      </w:divBdr>
    </w:div>
    <w:div w:id="2086174112">
      <w:bodyDiv w:val="1"/>
      <w:marLeft w:val="0"/>
      <w:marRight w:val="0"/>
      <w:marTop w:val="0"/>
      <w:marBottom w:val="0"/>
      <w:divBdr>
        <w:top w:val="none" w:sz="0" w:space="0" w:color="auto"/>
        <w:left w:val="none" w:sz="0" w:space="0" w:color="auto"/>
        <w:bottom w:val="none" w:sz="0" w:space="0" w:color="auto"/>
        <w:right w:val="none" w:sz="0" w:space="0" w:color="auto"/>
      </w:divBdr>
    </w:div>
    <w:div w:id="21040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deutsche-alzheimer.de/broschueren/33/leitfaden-zur-pflegeversicheru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eutsche-alzheimer.de" TargetMode="External"/><Relationship Id="rId4" Type="http://schemas.openxmlformats.org/officeDocument/2006/relationships/webSettings" Target="webSettings.xml"/><Relationship Id="rId9" Type="http://schemas.openxmlformats.org/officeDocument/2006/relationships/hyperlink" Target="mailto:info@deutsche-alzheimer.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3209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dc:creator>
  <cp:lastModifiedBy>Susanna Saxl, Deutsche Alzheimer Gesellschaft</cp:lastModifiedBy>
  <cp:revision>4</cp:revision>
  <cp:lastPrinted>2018-08-07T13:22:00Z</cp:lastPrinted>
  <dcterms:created xsi:type="dcterms:W3CDTF">2018-08-14T08:24:00Z</dcterms:created>
  <dcterms:modified xsi:type="dcterms:W3CDTF">2018-08-20T15:12:00Z</dcterms:modified>
</cp:coreProperties>
</file>