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D2B89" w:rsidR="00350820" w:rsidP="007B3F3B" w:rsidRDefault="002D5AC2" w14:paraId="6BDCB63D" w14:textId="41766DDA">
      <w:pPr>
        <w:jc w:val="right"/>
      </w:pPr>
      <w:r w:rsidRPr="006D2B89">
        <w:t>Pressemeldung</w:t>
      </w:r>
      <w:r w:rsidRPr="006D2B89">
        <w:br/>
      </w:r>
      <w:r w:rsidRPr="006D2B89">
        <w:t xml:space="preserve">Düsseldorf, </w:t>
      </w:r>
      <w:r w:rsidRPr="006D2B89" w:rsidR="000846FD">
        <w:t>1</w:t>
      </w:r>
      <w:r w:rsidRPr="006D2B89" w:rsidR="006D2B89">
        <w:t>6</w:t>
      </w:r>
      <w:r w:rsidRPr="006D2B89" w:rsidR="000846FD">
        <w:t>.0</w:t>
      </w:r>
      <w:r w:rsidRPr="006D2B89" w:rsidR="006D2B89">
        <w:t>6</w:t>
      </w:r>
      <w:r w:rsidRPr="006D2B89" w:rsidR="000846FD">
        <w:t>.</w:t>
      </w:r>
      <w:r w:rsidRPr="006D2B89">
        <w:t>202</w:t>
      </w:r>
      <w:r w:rsidRPr="006D2B89" w:rsidR="006D2B89">
        <w:t>6</w:t>
      </w:r>
    </w:p>
    <w:p w:rsidRPr="006D2B89" w:rsidR="006D2B89" w:rsidP="006D2B89" w:rsidRDefault="006D2B89" w14:paraId="45EFEF93" w14:textId="77777777">
      <w:pPr>
        <w:pStyle w:val="isselectedend"/>
        <w:rPr>
          <w:rFonts w:ascii="Open Sans" w:hAnsi="Open Sans" w:cs="Open Sans"/>
          <w:color w:val="000000"/>
        </w:rPr>
      </w:pPr>
      <w:r w:rsidRPr="006D2B89">
        <w:rPr>
          <w:rStyle w:val="Fett"/>
          <w:rFonts w:ascii="Open Sans" w:hAnsi="Open Sans" w:cs="Open Sans"/>
          <w:color w:val="000000"/>
        </w:rPr>
        <w:t>Surplex begleitet Produktionsauslauf bei Wahl GmbH mit Industrieauktion</w:t>
      </w:r>
    </w:p>
    <w:p w:rsidRPr="006D2B89" w:rsidR="006D2B89" w:rsidP="006D2B89" w:rsidRDefault="006D2B89" w14:paraId="781AB209" w14:textId="017D86A9">
      <w:pPr>
        <w:pStyle w:val="isselectedend"/>
        <w:rPr>
          <w:rFonts w:ascii="Open Sans" w:hAnsi="Open Sans" w:cs="Open Sans"/>
          <w:color w:val="000000"/>
          <w:sz w:val="20"/>
          <w:szCs w:val="20"/>
        </w:rPr>
      </w:pPr>
      <w:r w:rsidRPr="006D2B89">
        <w:rPr>
          <w:rStyle w:val="Fett"/>
          <w:rFonts w:ascii="Open Sans" w:hAnsi="Open Sans" w:cs="Open Sans"/>
          <w:color w:val="000000"/>
          <w:sz w:val="20"/>
          <w:szCs w:val="20"/>
        </w:rPr>
        <w:t>Online-Auktion schafft internationale Reichweite für Maschinen und Betriebsmittel</w:t>
      </w:r>
    </w:p>
    <w:p w:rsidRPr="006D2B89" w:rsidR="006D2B89" w:rsidP="006D2B89" w:rsidRDefault="006D2B89" w14:paraId="22CACA59" w14:textId="473D79DC">
      <w:pPr>
        <w:pStyle w:val="isselectedend"/>
        <w:rPr>
          <w:rFonts w:ascii="Open Sans" w:hAnsi="Open Sans" w:cs="Open Sans"/>
          <w:color w:val="000000"/>
          <w:sz w:val="20"/>
          <w:szCs w:val="20"/>
        </w:rPr>
      </w:pPr>
      <w:r w:rsidRPr="006D2B89">
        <w:rPr>
          <w:rStyle w:val="Fett"/>
          <w:rFonts w:ascii="Open Sans" w:hAnsi="Open Sans" w:cs="Open Sans"/>
          <w:color w:val="000000"/>
          <w:sz w:val="20"/>
          <w:szCs w:val="20"/>
        </w:rPr>
        <w:t>Düsseldorf, 16. Juni 2026</w:t>
      </w:r>
      <w:r w:rsidRPr="006D2B89">
        <w:rPr>
          <w:rStyle w:val="apple-converted-space"/>
          <w:rFonts w:ascii="Open Sans" w:hAnsi="Open Sans" w:cs="Open Sans"/>
          <w:color w:val="000000"/>
          <w:sz w:val="20"/>
          <w:szCs w:val="20"/>
        </w:rPr>
        <w:t> </w:t>
      </w:r>
      <w:r w:rsidRPr="006D2B89">
        <w:rPr>
          <w:rFonts w:ascii="Open Sans" w:hAnsi="Open Sans" w:cs="Open Sans"/>
          <w:color w:val="000000"/>
          <w:sz w:val="20"/>
          <w:szCs w:val="20"/>
        </w:rPr>
        <w:t>– Die Wahl GmbH stellt ihre Fertigung in St. Georgen-Peterzell zum 30. Juni schrittweise ein. Surplex begleitet den Standort bei der Verwertung der Produktionsanlagen. Die Online-Auktion mit rund 360 Lots läuft noch bis zum 15. Juli 2026.</w:t>
      </w:r>
    </w:p>
    <w:p w:rsidRPr="006D2B89" w:rsidR="006D2B89" w:rsidP="006D2B89" w:rsidRDefault="006D2B89" w14:paraId="037D0435" w14:textId="77777777">
      <w:pPr>
        <w:pStyle w:val="berschrift3"/>
        <w:rPr>
          <w:rFonts w:ascii="Open Sans" w:hAnsi="Open Sans" w:cs="Open Sans"/>
          <w:b/>
          <w:bCs/>
          <w:color w:val="000000"/>
          <w:sz w:val="20"/>
          <w:szCs w:val="20"/>
        </w:rPr>
      </w:pPr>
      <w:r w:rsidRPr="006D2B89">
        <w:rPr>
          <w:rFonts w:ascii="Open Sans" w:hAnsi="Open Sans" w:cs="Open Sans"/>
          <w:b/>
          <w:bCs/>
          <w:color w:val="000000"/>
          <w:sz w:val="20"/>
          <w:szCs w:val="20"/>
        </w:rPr>
        <w:t>Bedeutender Einschnitt für den Standort</w:t>
      </w:r>
    </w:p>
    <w:p w:rsidRPr="006D2B89" w:rsidR="006D2B89" w:rsidP="006D2B89" w:rsidRDefault="006D2B89" w14:paraId="1C2AB4AC" w14:textId="77777777">
      <w:pPr>
        <w:pStyle w:val="isselectedend"/>
        <w:rPr>
          <w:rFonts w:ascii="Open Sans" w:hAnsi="Open Sans" w:cs="Open Sans"/>
          <w:color w:val="000000"/>
          <w:sz w:val="20"/>
          <w:szCs w:val="20"/>
        </w:rPr>
      </w:pPr>
      <w:r w:rsidRPr="006D2B89">
        <w:rPr>
          <w:rFonts w:ascii="Open Sans" w:hAnsi="Open Sans" w:cs="Open Sans"/>
          <w:color w:val="000000"/>
          <w:sz w:val="20"/>
          <w:szCs w:val="20"/>
        </w:rPr>
        <w:t>Die Wahl GmbH gehört zur US-amerikanischen Wahl Clipper Corporation und ist bekannt für Marken wie WAHL, MOSER und ermila. Im Zuge einer globalen Neuausrichtung beendet der Konzern die Fertigung am Standort St. Georgen-Peterzell bis Ende 2026. Künftig konzentriert sich der Standort auf Vertrieb, Marketing, Entwicklung und Service für den europäischen Markt.</w:t>
      </w:r>
    </w:p>
    <w:p w:rsidRPr="006D2B89" w:rsidR="006D2B89" w:rsidP="006D2B89" w:rsidRDefault="006D2B89" w14:paraId="2D61E96D" w14:textId="77777777">
      <w:pPr>
        <w:pStyle w:val="isselectedend"/>
        <w:rPr>
          <w:rFonts w:ascii="Open Sans" w:hAnsi="Open Sans" w:cs="Open Sans"/>
          <w:color w:val="000000"/>
          <w:sz w:val="20"/>
          <w:szCs w:val="20"/>
        </w:rPr>
      </w:pPr>
      <w:r w:rsidRPr="006D2B89">
        <w:rPr>
          <w:rFonts w:ascii="Open Sans" w:hAnsi="Open Sans" w:cs="Open Sans"/>
          <w:color w:val="000000"/>
          <w:sz w:val="20"/>
          <w:szCs w:val="20"/>
        </w:rPr>
        <w:t>Die Entscheidung markiert einen tiefgreifenden Wandel für den traditionsreichen Produktionsstandort im Schwarzwald. Das erst 2022 bezogene Firmenareal mit Produktions- und Logistikflächen wird künftig nicht mehr für die Fertigung genutzt.</w:t>
      </w:r>
    </w:p>
    <w:p w:rsidRPr="006D2B89" w:rsidR="006D2B89" w:rsidP="006D2B89" w:rsidRDefault="006D2B89" w14:paraId="53A3E832" w14:textId="77777777">
      <w:pPr>
        <w:pStyle w:val="berschrift3"/>
        <w:rPr>
          <w:rFonts w:ascii="Open Sans" w:hAnsi="Open Sans" w:cs="Open Sans"/>
          <w:b/>
          <w:bCs/>
          <w:color w:val="000000"/>
          <w:sz w:val="20"/>
          <w:szCs w:val="20"/>
        </w:rPr>
      </w:pPr>
      <w:r w:rsidRPr="006D2B89">
        <w:rPr>
          <w:rFonts w:ascii="Open Sans" w:hAnsi="Open Sans" w:cs="Open Sans"/>
          <w:b/>
          <w:bCs/>
          <w:color w:val="000000"/>
          <w:sz w:val="20"/>
          <w:szCs w:val="20"/>
        </w:rPr>
        <w:t>Surplex übernimmt die industrielle Vermarktung</w:t>
      </w:r>
    </w:p>
    <w:p w:rsidRPr="006D2B89" w:rsidR="006D2B89" w:rsidP="006D2B89" w:rsidRDefault="1433C7C3" w14:paraId="30051133" w14:textId="7BFA8F1A">
      <w:pPr>
        <w:pStyle w:val="isselectedend"/>
        <w:rPr>
          <w:rFonts w:ascii="Open Sans" w:hAnsi="Open Sans" w:cs="Open Sans"/>
          <w:color w:val="000000"/>
          <w:sz w:val="20"/>
          <w:szCs w:val="20"/>
        </w:rPr>
      </w:pPr>
      <w:r w:rsidRPr="5370CE95">
        <w:rPr>
          <w:rFonts w:ascii="Open Sans" w:hAnsi="Open Sans" w:cs="Open Sans"/>
          <w:color w:val="000000" w:themeColor="text1"/>
          <w:sz w:val="20"/>
          <w:szCs w:val="20"/>
        </w:rPr>
        <w:t xml:space="preserve">Im Zuge des Produktionsauslaufs unterstützt Surplex die Verwertung der freiwerdenden Maschinen und Betriebsmittel. Die Online-Auktion umfasst rund 360 Lots aus den Bereichen Feinmechanik, Elektrotechnik und Produktionstechnik. Interessenten können </w:t>
      </w:r>
      <w:r w:rsidRPr="5370CE95" w:rsidR="257D0005">
        <w:rPr>
          <w:rFonts w:ascii="Open Sans" w:hAnsi="Open Sans" w:cs="Open Sans"/>
          <w:color w:val="000000" w:themeColor="text1"/>
          <w:sz w:val="20"/>
          <w:szCs w:val="20"/>
        </w:rPr>
        <w:t xml:space="preserve">europaweit </w:t>
      </w:r>
      <w:r w:rsidRPr="5370CE95">
        <w:rPr>
          <w:rFonts w:ascii="Open Sans" w:hAnsi="Open Sans" w:cs="Open Sans"/>
          <w:color w:val="000000" w:themeColor="text1"/>
          <w:sz w:val="20"/>
          <w:szCs w:val="20"/>
        </w:rPr>
        <w:t>die Objekte online besichtigen und Gebote abgeben.</w:t>
      </w:r>
    </w:p>
    <w:p w:rsidR="1433C7C3" w:rsidP="5370CE95" w:rsidRDefault="1433C7C3" w14:paraId="5BB28F20" w14:textId="09EB1134">
      <w:pPr>
        <w:pStyle w:val="isselectedend"/>
        <w:rPr>
          <w:rFonts w:ascii="Open Sans" w:hAnsi="Open Sans" w:cs="Open Sans"/>
          <w:color w:val="000000" w:themeColor="text1"/>
          <w:sz w:val="20"/>
          <w:szCs w:val="20"/>
        </w:rPr>
      </w:pPr>
      <w:r w:rsidRPr="5370CE95">
        <w:rPr>
          <w:rFonts w:ascii="Open Sans" w:hAnsi="Open Sans" w:cs="Open Sans"/>
          <w:color w:val="000000" w:themeColor="text1"/>
          <w:sz w:val="20"/>
          <w:szCs w:val="20"/>
        </w:rPr>
        <w:t xml:space="preserve">„Die strukturierte Vermarktung von Betriebsmitteln ermöglicht Unternehmen, freiwerdende Assets transparent und effizient in liquide Mittel umzuwandeln“, erklärt </w:t>
      </w:r>
      <w:r w:rsidRPr="5370CE95" w:rsidR="2F248915">
        <w:rPr>
          <w:rFonts w:ascii="Open Sans" w:hAnsi="Open Sans" w:cs="Open Sans"/>
          <w:color w:val="000000" w:themeColor="text1"/>
          <w:sz w:val="20"/>
          <w:szCs w:val="20"/>
        </w:rPr>
        <w:t>Dejan Ducic, verantwortlicher Projektleiter bei Surplex.</w:t>
      </w:r>
    </w:p>
    <w:p w:rsidRPr="006D2B89" w:rsidR="006D2B89" w:rsidP="006D2B89" w:rsidRDefault="1433C7C3" w14:paraId="1CC806D3" w14:textId="77997CBF">
      <w:pPr>
        <w:pStyle w:val="isselectedend"/>
        <w:rPr>
          <w:rFonts w:ascii="Open Sans" w:hAnsi="Open Sans" w:cs="Open Sans"/>
          <w:color w:val="000000"/>
          <w:sz w:val="20"/>
          <w:szCs w:val="20"/>
        </w:rPr>
      </w:pPr>
      <w:r w:rsidRPr="5370CE95">
        <w:rPr>
          <w:rFonts w:ascii="Open Sans" w:hAnsi="Open Sans" w:cs="Open Sans"/>
          <w:color w:val="000000" w:themeColor="text1"/>
          <w:sz w:val="20"/>
          <w:szCs w:val="20"/>
        </w:rPr>
        <w:t xml:space="preserve">Surplex übernimmt dabei die Wertermittlung der Maschinen, erstellt Fotos und Beschreibungen der Objekte und organisiert den gesamten Verkaufsprozess. Durch die internationale Reichweite der Plattform erhalten die angebotenen Maschinen Sichtbarkeit bei relevanten Käufern </w:t>
      </w:r>
      <w:r w:rsidRPr="5370CE95" w:rsidR="6E196CD8">
        <w:rPr>
          <w:rFonts w:ascii="Open Sans" w:hAnsi="Open Sans" w:cs="Open Sans"/>
          <w:color w:val="000000" w:themeColor="text1"/>
          <w:sz w:val="20"/>
          <w:szCs w:val="20"/>
        </w:rPr>
        <w:t>europaweit</w:t>
      </w:r>
      <w:r w:rsidRPr="5370CE95">
        <w:rPr>
          <w:rFonts w:ascii="Open Sans" w:hAnsi="Open Sans" w:cs="Open Sans"/>
          <w:color w:val="000000" w:themeColor="text1"/>
          <w:sz w:val="20"/>
          <w:szCs w:val="20"/>
        </w:rPr>
        <w:t>.</w:t>
      </w:r>
    </w:p>
    <w:p w:rsidRPr="006D2B89" w:rsidR="006D2B89" w:rsidP="006D2B89" w:rsidRDefault="006D2B89" w14:paraId="4E0121DB" w14:textId="77777777">
      <w:pPr>
        <w:pStyle w:val="berschrift3"/>
        <w:rPr>
          <w:rFonts w:ascii="Open Sans" w:hAnsi="Open Sans" w:cs="Open Sans"/>
          <w:b/>
          <w:bCs/>
          <w:color w:val="000000"/>
          <w:sz w:val="20"/>
          <w:szCs w:val="20"/>
        </w:rPr>
      </w:pPr>
      <w:r w:rsidRPr="006D2B89">
        <w:rPr>
          <w:rFonts w:ascii="Open Sans" w:hAnsi="Open Sans" w:cs="Open Sans"/>
          <w:b/>
          <w:bCs/>
          <w:color w:val="000000"/>
          <w:sz w:val="20"/>
          <w:szCs w:val="20"/>
        </w:rPr>
        <w:t>Vom Standort zum nächsten Einsatzort</w:t>
      </w:r>
    </w:p>
    <w:p w:rsidRPr="006D2B89" w:rsidR="006D2B89" w:rsidP="006D2B89" w:rsidRDefault="1433C7C3" w14:paraId="64EA6EAE" w14:textId="225B35BF">
      <w:pPr>
        <w:pStyle w:val="isselectedend"/>
        <w:rPr>
          <w:rFonts w:ascii="Open Sans" w:hAnsi="Open Sans" w:cs="Open Sans"/>
          <w:color w:val="000000"/>
          <w:sz w:val="20"/>
          <w:szCs w:val="20"/>
        </w:rPr>
      </w:pPr>
      <w:r w:rsidRPr="5370CE95">
        <w:rPr>
          <w:rFonts w:ascii="Open Sans" w:hAnsi="Open Sans" w:cs="Open Sans"/>
          <w:color w:val="000000" w:themeColor="text1"/>
          <w:sz w:val="20"/>
          <w:szCs w:val="20"/>
        </w:rPr>
        <w:t>Durch die digitale Vermarktung finden Maschinen und Betriebsmittel schnell neue Nutzer. Damit unterstützt Surplex Unternehmen in Veränderungsprozessen – von der Produktionsverlagerung bis zur Standortschließung.</w:t>
      </w:r>
    </w:p>
    <w:p w:rsidR="5370CE95" w:rsidP="5370CE95" w:rsidRDefault="5370CE95" w14:paraId="35DFE247" w14:textId="7A6DDD2B">
      <w:pPr>
        <w:pStyle w:val="isselectedend"/>
        <w:rPr>
          <w:rFonts w:ascii="Open Sans" w:hAnsi="Open Sans" w:cs="Open Sans"/>
          <w:color w:val="000000" w:themeColor="text1"/>
          <w:sz w:val="20"/>
          <w:szCs w:val="20"/>
        </w:rPr>
      </w:pPr>
    </w:p>
    <w:p w:rsidR="5370CE95" w:rsidP="5370CE95" w:rsidRDefault="5370CE95" w14:paraId="5EC0C83D" w14:textId="36888FBE">
      <w:pPr>
        <w:pStyle w:val="isselectedend"/>
        <w:rPr>
          <w:rFonts w:ascii="Open Sans" w:hAnsi="Open Sans" w:cs="Open Sans"/>
          <w:color w:val="000000" w:themeColor="text1"/>
          <w:sz w:val="20"/>
          <w:szCs w:val="20"/>
        </w:rPr>
      </w:pPr>
    </w:p>
    <w:p w:rsidR="053D4CBF" w:rsidP="5370CE95" w:rsidRDefault="053D4CBF" w14:paraId="0145FADE" w14:textId="7F0F145E">
      <w:pPr>
        <w:pStyle w:val="isselectedend"/>
        <w:rPr>
          <w:rFonts w:ascii="Open Sans" w:hAnsi="Open Sans" w:cs="Open Sans"/>
          <w:color w:val="000000" w:themeColor="text1"/>
          <w:sz w:val="20"/>
          <w:szCs w:val="20"/>
        </w:rPr>
      </w:pPr>
      <w:r w:rsidRPr="5370CE95">
        <w:rPr>
          <w:rFonts w:ascii="Open Sans" w:hAnsi="Open Sans" w:cs="Open Sans"/>
          <w:color w:val="000000" w:themeColor="text1"/>
          <w:sz w:val="20"/>
          <w:szCs w:val="20"/>
        </w:rPr>
        <w:t xml:space="preserve">Bildmaterial: </w:t>
      </w:r>
    </w:p>
    <w:p w:rsidR="053D4CBF" w:rsidP="5370CE95" w:rsidRDefault="053D4CBF" w14:paraId="52851C11" w14:textId="6FE11D25">
      <w:pPr>
        <w:pStyle w:val="isselectedend"/>
        <w:rPr>
          <w:rFonts w:ascii="Open Sans" w:hAnsi="Open Sans" w:cs="Open Sans"/>
          <w:color w:val="000000" w:themeColor="text1"/>
          <w:sz w:val="20"/>
          <w:szCs w:val="20"/>
        </w:rPr>
      </w:pPr>
      <w:r w:rsidRPr="5370CE95">
        <w:rPr>
          <w:rFonts w:ascii="Open Sans" w:hAnsi="Open Sans" w:cs="Open Sans"/>
          <w:color w:val="000000" w:themeColor="text1"/>
          <w:sz w:val="20"/>
          <w:szCs w:val="20"/>
        </w:rPr>
        <w:t xml:space="preserve">In den </w:t>
      </w:r>
      <w:r w:rsidRPr="5370CE95" w:rsidR="40CA6981">
        <w:rPr>
          <w:rFonts w:ascii="Open Sans" w:hAnsi="Open Sans" w:cs="Open Sans"/>
          <w:color w:val="000000" w:themeColor="text1"/>
          <w:sz w:val="20"/>
          <w:szCs w:val="20"/>
        </w:rPr>
        <w:t>3</w:t>
      </w:r>
      <w:r w:rsidRPr="5370CE95">
        <w:rPr>
          <w:rFonts w:ascii="Open Sans" w:hAnsi="Open Sans" w:cs="Open Sans"/>
          <w:color w:val="000000" w:themeColor="text1"/>
          <w:sz w:val="20"/>
          <w:szCs w:val="20"/>
        </w:rPr>
        <w:t>60 Lots sind u.a. folgende Assets enthalten:</w:t>
      </w:r>
    </w:p>
    <w:p w:rsidR="053D4CBF" w:rsidP="5370CE95" w:rsidRDefault="053D4CBF" w14:paraId="475B8DCB" w14:textId="49312B1C">
      <w:pPr>
        <w:pStyle w:val="Listenabsatz"/>
        <w:numPr>
          <w:ilvl w:val="0"/>
          <w:numId w:val="1"/>
        </w:numPr>
        <w:spacing w:after="0"/>
        <w:rPr>
          <w:b/>
          <w:bCs/>
          <w:color w:val="000000" w:themeColor="text1"/>
        </w:rPr>
      </w:pPr>
      <w:r w:rsidRPr="5370CE95">
        <w:rPr>
          <w:color w:val="000000" w:themeColor="text1"/>
        </w:rPr>
        <w:t xml:space="preserve">Bild 1: </w:t>
      </w:r>
      <w:r w:rsidRPr="5370CE95">
        <w:rPr>
          <w:b/>
          <w:bCs/>
          <w:color w:val="000000" w:themeColor="text1"/>
        </w:rPr>
        <w:t>MÄGERLE - MGC-130.35.65 - CNC-Schleifzentrum - 2022</w:t>
      </w:r>
    </w:p>
    <w:p w:rsidR="053D4CBF" w:rsidP="5370CE95" w:rsidRDefault="053D4CBF" w14:paraId="0E16A65B" w14:textId="1243CB08">
      <w:pPr>
        <w:pStyle w:val="Listenabsatz"/>
        <w:numPr>
          <w:ilvl w:val="0"/>
          <w:numId w:val="1"/>
        </w:numPr>
        <w:spacing w:after="0"/>
        <w:rPr>
          <w:b/>
          <w:bCs/>
          <w:color w:val="000000" w:themeColor="text1"/>
        </w:rPr>
      </w:pPr>
      <w:r w:rsidRPr="5370CE95">
        <w:rPr>
          <w:color w:val="000000" w:themeColor="text1"/>
        </w:rPr>
        <w:t xml:space="preserve">Bild 2: </w:t>
      </w:r>
      <w:r w:rsidRPr="5370CE95">
        <w:rPr>
          <w:b/>
          <w:bCs/>
          <w:color w:val="000000" w:themeColor="text1"/>
        </w:rPr>
        <w:t>HAAS - MiniMill - CNC Vertikal-Bearbeitungszentrum - 2013</w:t>
      </w:r>
    </w:p>
    <w:p w:rsidR="053D4CBF" w:rsidP="5370CE95" w:rsidRDefault="053D4CBF" w14:paraId="27176FDC" w14:textId="0811740E">
      <w:pPr>
        <w:pStyle w:val="Listenabsatz"/>
        <w:numPr>
          <w:ilvl w:val="0"/>
          <w:numId w:val="1"/>
        </w:numPr>
        <w:spacing w:after="0"/>
        <w:rPr>
          <w:b/>
          <w:bCs/>
          <w:color w:val="000000" w:themeColor="text1"/>
        </w:rPr>
      </w:pPr>
      <w:r w:rsidRPr="5370CE95">
        <w:rPr>
          <w:color w:val="000000" w:themeColor="text1"/>
        </w:rPr>
        <w:t xml:space="preserve">Bild 3: </w:t>
      </w:r>
      <w:r w:rsidRPr="5370CE95">
        <w:rPr>
          <w:b/>
          <w:bCs/>
          <w:color w:val="000000" w:themeColor="text1"/>
        </w:rPr>
        <w:t>MITSUBISHI - MV1200S - Drahterodiermaschine - 2013</w:t>
      </w:r>
    </w:p>
    <w:p w:rsidR="053D4CBF" w:rsidP="5370CE95" w:rsidRDefault="053D4CBF" w14:paraId="3FF5E27A" w14:textId="0D55A31B">
      <w:pPr>
        <w:pStyle w:val="Listenabsatz"/>
        <w:numPr>
          <w:ilvl w:val="0"/>
          <w:numId w:val="1"/>
        </w:numPr>
        <w:spacing w:after="0"/>
        <w:rPr>
          <w:b/>
          <w:bCs/>
          <w:color w:val="000000" w:themeColor="text1"/>
        </w:rPr>
      </w:pPr>
      <w:r w:rsidRPr="5370CE95">
        <w:rPr>
          <w:color w:val="000000" w:themeColor="text1"/>
        </w:rPr>
        <w:t xml:space="preserve">Bild 4: </w:t>
      </w:r>
      <w:r w:rsidRPr="5370CE95">
        <w:rPr>
          <w:b/>
          <w:bCs/>
          <w:color w:val="000000" w:themeColor="text1"/>
        </w:rPr>
        <w:t>HERMLE - C 400 V - CNC Vertikal-Bearbeitungszentrum - 2016</w:t>
      </w:r>
    </w:p>
    <w:p w:rsidR="053D4CBF" w:rsidP="5370CE95" w:rsidRDefault="053D4CBF" w14:paraId="1CEA3C5F" w14:textId="25D036DC">
      <w:pPr>
        <w:pStyle w:val="Listenabsatz"/>
        <w:numPr>
          <w:ilvl w:val="0"/>
          <w:numId w:val="1"/>
        </w:numPr>
        <w:spacing w:after="0"/>
        <w:rPr>
          <w:b/>
          <w:bCs/>
          <w:color w:val="000000" w:themeColor="text1"/>
        </w:rPr>
      </w:pPr>
      <w:r w:rsidRPr="5370CE95">
        <w:rPr>
          <w:color w:val="000000" w:themeColor="text1"/>
        </w:rPr>
        <w:t xml:space="preserve">Bild 5: </w:t>
      </w:r>
      <w:r w:rsidRPr="5370CE95">
        <w:rPr>
          <w:b/>
          <w:bCs/>
          <w:color w:val="000000" w:themeColor="text1"/>
        </w:rPr>
        <w:t>KUNZMANN - WF 650 - CNC-Werkzeugfräsmaschine - 2009</w:t>
      </w:r>
    </w:p>
    <w:p w:rsidR="053D4CBF" w:rsidP="5370CE95" w:rsidRDefault="053D4CBF" w14:paraId="3F971947" w14:textId="47DD1345">
      <w:pPr>
        <w:pStyle w:val="Listenabsatz"/>
        <w:numPr>
          <w:ilvl w:val="0"/>
          <w:numId w:val="1"/>
        </w:numPr>
        <w:spacing w:after="0"/>
        <w:rPr>
          <w:b/>
          <w:bCs/>
          <w:color w:val="000000" w:themeColor="text1"/>
        </w:rPr>
      </w:pPr>
      <w:r w:rsidRPr="5370CE95">
        <w:rPr>
          <w:color w:val="000000" w:themeColor="text1"/>
        </w:rPr>
        <w:t xml:space="preserve">Bild 6: </w:t>
      </w:r>
      <w:r w:rsidRPr="5370CE95">
        <w:rPr>
          <w:b/>
          <w:bCs/>
          <w:color w:val="000000" w:themeColor="text1"/>
        </w:rPr>
        <w:t>SCHMID – HSR 320 – Automatische Feinschneidpresse – 1996 – 2009 in der Schweiz komplett überholt</w:t>
      </w:r>
    </w:p>
    <w:p w:rsidR="053D4CBF" w:rsidP="5370CE95" w:rsidRDefault="053D4CBF" w14:paraId="64653CC4" w14:textId="562A2E73">
      <w:pPr>
        <w:pStyle w:val="isselectedend"/>
      </w:pPr>
      <w:r>
        <w:rPr>
          <w:noProof/>
        </w:rPr>
        <w:drawing>
          <wp:inline distT="0" distB="0" distL="0" distR="0" wp14:anchorId="25EE876F" wp14:editId="4DE989A3">
            <wp:extent cx="2171700" cy="1629673"/>
            <wp:effectExtent l="0" t="0" r="0" b="0"/>
            <wp:docPr id="5573641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64143" name="Picture 557364143"/>
                    <pic:cNvPicPr/>
                  </pic:nvPicPr>
                  <pic:blipFill>
                    <a:blip r:embed="rId10">
                      <a:extLst>
                        <a:ext uri="{28A0092B-C50C-407E-A947-70E740481C1C}">
                          <a14:useLocalDpi xmlns:a14="http://schemas.microsoft.com/office/drawing/2010/main"/>
                        </a:ext>
                      </a:extLst>
                    </a:blip>
                    <a:stretch>
                      <a:fillRect/>
                    </a:stretch>
                  </pic:blipFill>
                  <pic:spPr>
                    <a:xfrm>
                      <a:off x="0" y="0"/>
                      <a:ext cx="2171700" cy="1629673"/>
                    </a:xfrm>
                    <a:prstGeom prst="rect">
                      <a:avLst/>
                    </a:prstGeom>
                  </pic:spPr>
                </pic:pic>
              </a:graphicData>
            </a:graphic>
          </wp:inline>
        </w:drawing>
      </w:r>
      <w:r>
        <w:rPr>
          <w:noProof/>
        </w:rPr>
        <w:drawing>
          <wp:inline distT="0" distB="0" distL="0" distR="0" wp14:anchorId="2CBCBDFE" wp14:editId="2AC0AEA3">
            <wp:extent cx="2185757" cy="1640221"/>
            <wp:effectExtent l="0" t="0" r="0" b="0"/>
            <wp:docPr id="5430739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97955" name="Picture 1507997955"/>
                    <pic:cNvPicPr/>
                  </pic:nvPicPr>
                  <pic:blipFill>
                    <a:blip r:embed="rId11">
                      <a:extLst>
                        <a:ext uri="{28A0092B-C50C-407E-A947-70E740481C1C}">
                          <a14:useLocalDpi xmlns:a14="http://schemas.microsoft.com/office/drawing/2010/main"/>
                        </a:ext>
                      </a:extLst>
                    </a:blip>
                    <a:stretch>
                      <a:fillRect/>
                    </a:stretch>
                  </pic:blipFill>
                  <pic:spPr>
                    <a:xfrm>
                      <a:off x="0" y="0"/>
                      <a:ext cx="2185757" cy="1640221"/>
                    </a:xfrm>
                    <a:prstGeom prst="rect">
                      <a:avLst/>
                    </a:prstGeom>
                  </pic:spPr>
                </pic:pic>
              </a:graphicData>
            </a:graphic>
          </wp:inline>
        </w:drawing>
      </w:r>
      <w:r w:rsidR="72A4EB8C">
        <w:rPr>
          <w:noProof/>
        </w:rPr>
        <w:drawing>
          <wp:inline distT="0" distB="0" distL="0" distR="0" wp14:anchorId="46163F33" wp14:editId="05A3843A">
            <wp:extent cx="2182808" cy="1638008"/>
            <wp:effectExtent l="0" t="0" r="0" b="0"/>
            <wp:docPr id="16202142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860495" name="Picture 1794860495"/>
                    <pic:cNvPicPr/>
                  </pic:nvPicPr>
                  <pic:blipFill>
                    <a:blip r:embed="rId12">
                      <a:extLst>
                        <a:ext uri="{28A0092B-C50C-407E-A947-70E740481C1C}">
                          <a14:useLocalDpi xmlns:a14="http://schemas.microsoft.com/office/drawing/2010/main"/>
                        </a:ext>
                      </a:extLst>
                    </a:blip>
                    <a:stretch>
                      <a:fillRect/>
                    </a:stretch>
                  </pic:blipFill>
                  <pic:spPr>
                    <a:xfrm>
                      <a:off x="0" y="0"/>
                      <a:ext cx="2182808" cy="1638008"/>
                    </a:xfrm>
                    <a:prstGeom prst="rect">
                      <a:avLst/>
                    </a:prstGeom>
                  </pic:spPr>
                </pic:pic>
              </a:graphicData>
            </a:graphic>
          </wp:inline>
        </w:drawing>
      </w:r>
      <w:r>
        <w:rPr>
          <w:noProof/>
        </w:rPr>
        <w:drawing>
          <wp:inline distT="0" distB="0" distL="0" distR="0" wp14:anchorId="77E924B4" wp14:editId="1677F011">
            <wp:extent cx="2219456" cy="1665510"/>
            <wp:effectExtent l="0" t="0" r="0" b="0"/>
            <wp:docPr id="13338622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35219" name="Picture 1751135219"/>
                    <pic:cNvPicPr/>
                  </pic:nvPicPr>
                  <pic:blipFill>
                    <a:blip r:embed="rId13">
                      <a:extLst>
                        <a:ext uri="{28A0092B-C50C-407E-A947-70E740481C1C}">
                          <a14:useLocalDpi xmlns:a14="http://schemas.microsoft.com/office/drawing/2010/main"/>
                        </a:ext>
                      </a:extLst>
                    </a:blip>
                    <a:stretch>
                      <a:fillRect/>
                    </a:stretch>
                  </pic:blipFill>
                  <pic:spPr>
                    <a:xfrm>
                      <a:off x="0" y="0"/>
                      <a:ext cx="2219456" cy="1665510"/>
                    </a:xfrm>
                    <a:prstGeom prst="rect">
                      <a:avLst/>
                    </a:prstGeom>
                  </pic:spPr>
                </pic:pic>
              </a:graphicData>
            </a:graphic>
          </wp:inline>
        </w:drawing>
      </w:r>
      <w:r w:rsidR="73898119">
        <w:rPr>
          <w:noProof/>
        </w:rPr>
        <w:drawing>
          <wp:inline distT="0" distB="0" distL="0" distR="0" wp14:anchorId="39378E98" wp14:editId="050D6A66">
            <wp:extent cx="2171700" cy="1629672"/>
            <wp:effectExtent l="0" t="0" r="0" b="0"/>
            <wp:docPr id="7581523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10235" name="Picture 1028510235"/>
                    <pic:cNvPicPr/>
                  </pic:nvPicPr>
                  <pic:blipFill>
                    <a:blip r:embed="rId14">
                      <a:extLst>
                        <a:ext uri="{28A0092B-C50C-407E-A947-70E740481C1C}">
                          <a14:useLocalDpi xmlns:a14="http://schemas.microsoft.com/office/drawing/2010/main"/>
                        </a:ext>
                      </a:extLst>
                    </a:blip>
                    <a:stretch>
                      <a:fillRect/>
                    </a:stretch>
                  </pic:blipFill>
                  <pic:spPr>
                    <a:xfrm>
                      <a:off x="0" y="0"/>
                      <a:ext cx="2171700" cy="1629672"/>
                    </a:xfrm>
                    <a:prstGeom prst="rect">
                      <a:avLst/>
                    </a:prstGeom>
                  </pic:spPr>
                </pic:pic>
              </a:graphicData>
            </a:graphic>
          </wp:inline>
        </w:drawing>
      </w:r>
      <w:r w:rsidR="748742BD">
        <w:rPr>
          <w:noProof/>
        </w:rPr>
        <w:drawing>
          <wp:inline distT="0" distB="0" distL="0" distR="0" wp14:anchorId="02AA28C8" wp14:editId="71AE0A6F">
            <wp:extent cx="2209800" cy="1658263"/>
            <wp:effectExtent l="0" t="0" r="0" b="0"/>
            <wp:docPr id="7248670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67090" name="Picture 724867090"/>
                    <pic:cNvPicPr/>
                  </pic:nvPicPr>
                  <pic:blipFill>
                    <a:blip r:embed="rId15">
                      <a:extLst>
                        <a:ext uri="{28A0092B-C50C-407E-A947-70E740481C1C}">
                          <a14:useLocalDpi xmlns:a14="http://schemas.microsoft.com/office/drawing/2010/main"/>
                        </a:ext>
                      </a:extLst>
                    </a:blip>
                    <a:stretch>
                      <a:fillRect/>
                    </a:stretch>
                  </pic:blipFill>
                  <pic:spPr>
                    <a:xfrm>
                      <a:off x="0" y="0"/>
                      <a:ext cx="2209800" cy="1658263"/>
                    </a:xfrm>
                    <a:prstGeom prst="rect">
                      <a:avLst/>
                    </a:prstGeom>
                  </pic:spPr>
                </pic:pic>
              </a:graphicData>
            </a:graphic>
          </wp:inline>
        </w:drawing>
      </w:r>
    </w:p>
    <w:sectPr w:rsidR="053D4CBF" w:rsidSect="000B720A">
      <w:headerReference w:type="default" r:id="rId16"/>
      <w:footerReference w:type="default" r:id="rId17"/>
      <w:pgSz w:w="11906" w:h="16838" w:orient="portrait"/>
      <w:pgMar w:top="190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516" w:rsidP="000B720A" w:rsidRDefault="009E3516" w14:paraId="737D593C" w14:textId="77777777">
      <w:pPr>
        <w:spacing w:after="0" w:line="240" w:lineRule="auto"/>
      </w:pPr>
      <w:r>
        <w:separator/>
      </w:r>
    </w:p>
  </w:endnote>
  <w:endnote w:type="continuationSeparator" w:id="0">
    <w:p w:rsidR="009E3516" w:rsidP="000B720A" w:rsidRDefault="009E3516" w14:paraId="54739D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01031" w:rsidR="00B2568B" w:rsidP="00801031" w:rsidRDefault="00B2568B" w14:paraId="593CABD4" w14:textId="77777777">
    <w:pPr>
      <w:tabs>
        <w:tab w:val="left" w:pos="9072"/>
      </w:tabs>
      <w:rPr>
        <w:b/>
        <w:bCs/>
        <w:sz w:val="2"/>
        <w:szCs w:val="2"/>
        <w:u w:val="single"/>
      </w:rPr>
    </w:pPr>
    <w:r>
      <w:rPr>
        <w:b/>
        <w:bCs/>
        <w:sz w:val="16"/>
        <w:szCs w:val="16"/>
        <w:u w:val="single"/>
      </w:rPr>
      <w:tab/>
    </w:r>
  </w:p>
  <w:p w:rsidRPr="00E255FD" w:rsidR="002420FF" w:rsidP="002420FF" w:rsidRDefault="002420FF" w14:paraId="1484597D" w14:textId="77777777">
    <w:pPr>
      <w:spacing w:after="60"/>
      <w:rPr>
        <w:b/>
        <w:bCs/>
        <w:sz w:val="16"/>
        <w:szCs w:val="16"/>
      </w:rPr>
    </w:pPr>
    <w:r w:rsidRPr="00E255FD">
      <w:rPr>
        <w:b/>
        <w:bCs/>
        <w:sz w:val="16"/>
        <w:szCs w:val="16"/>
      </w:rPr>
      <w:t>Über Surplex</w:t>
    </w:r>
  </w:p>
  <w:p w:rsidRPr="006D2B89" w:rsidR="006D2B89" w:rsidP="006D2B89" w:rsidRDefault="006D2B89" w14:paraId="1BFFB7EE" w14:textId="78A03EC9">
    <w:pPr>
      <w:spacing w:after="60"/>
      <w:rPr>
        <w:sz w:val="16"/>
        <w:szCs w:val="16"/>
      </w:rPr>
    </w:pPr>
    <w:r w:rsidRPr="006D2B89">
      <w:rPr>
        <w:sz w:val="16"/>
        <w:szCs w:val="16"/>
      </w:rPr>
      <w:t xml:space="preserve">Surplex ist eine der führenden Online-Auktionsplattform für gebrauchte Industriegüter in Europa: </w:t>
    </w:r>
  </w:p>
  <w:p w:rsidR="002420FF" w:rsidP="006D2B89" w:rsidRDefault="006D2B89" w14:paraId="5A1C3B29" w14:textId="3695AF90">
    <w:pPr>
      <w:spacing w:after="60"/>
      <w:rPr>
        <w:sz w:val="16"/>
        <w:szCs w:val="16"/>
      </w:rPr>
    </w:pPr>
    <w:r w:rsidRPr="006D2B89">
      <w:rPr>
        <w:sz w:val="16"/>
        <w:szCs w:val="16"/>
      </w:rPr>
      <w:t>So schafft Surplex reichweitenstark eine Verbindung zwischen Verkäufer &amp; Käufer und verwandelt gebrauchte Assets schnell, transparent und effizient in liquide Mittel.</w:t>
    </w:r>
  </w:p>
  <w:p w:rsidRPr="00E255FD" w:rsidR="006D2B89" w:rsidP="006D2B89" w:rsidRDefault="006D2B89" w14:paraId="4922FD4F" w14:textId="77777777">
    <w:pPr>
      <w:spacing w:after="60"/>
      <w:rPr>
        <w:sz w:val="16"/>
        <w:szCs w:val="16"/>
      </w:rPr>
    </w:pPr>
  </w:p>
  <w:p w:rsidRPr="002E0AAE" w:rsidR="00B2568B" w:rsidP="5370CE95" w:rsidRDefault="5370CE95" w14:paraId="060BFA30" w14:textId="684DE6E0">
    <w:pPr>
      <w:tabs>
        <w:tab w:val="left" w:pos="1560"/>
        <w:tab w:val="left" w:pos="3119"/>
        <w:tab w:val="left" w:pos="5245"/>
      </w:tabs>
    </w:pPr>
    <w:r w:rsidRPr="5370CE95">
      <w:rPr>
        <w:b/>
        <w:bCs/>
        <w:sz w:val="16"/>
        <w:szCs w:val="16"/>
      </w:rPr>
      <w:t>Pressekontakt</w:t>
    </w:r>
    <w:r w:rsidR="00B2568B">
      <w:tab/>
    </w:r>
    <w:r w:rsidRPr="5370CE95">
      <w:rPr>
        <w:sz w:val="16"/>
        <w:szCs w:val="16"/>
      </w:rPr>
      <w:t>Marco Golbach</w:t>
    </w:r>
    <w:r w:rsidR="00B2568B">
      <w:tab/>
    </w:r>
    <w:r w:rsidRPr="5370CE95">
      <w:rPr>
        <w:sz w:val="16"/>
        <w:szCs w:val="16"/>
      </w:rPr>
      <w:t>Marketing Com.Specialist       0151-17562306            m.golbach@tbauctions.com</w:t>
    </w:r>
    <w:r w:rsidR="00B2568B">
      <w:br/>
    </w:r>
    <w:r w:rsidRPr="5370CE95">
      <w:rPr>
        <w:b/>
        <w:bCs/>
        <w:sz w:val="16"/>
        <w:szCs w:val="16"/>
      </w:rPr>
      <w:t>Auktionskontakt</w:t>
    </w:r>
    <w:r w:rsidR="00B2568B">
      <w:tab/>
    </w:r>
    <w:r w:rsidRPr="5370CE95">
      <w:rPr>
        <w:sz w:val="16"/>
        <w:szCs w:val="16"/>
      </w:rPr>
      <w:t>Dejan Ducic</w:t>
    </w:r>
    <w:r w:rsidR="00B2568B">
      <w:tab/>
    </w:r>
    <w:r w:rsidRPr="5370CE95">
      <w:rPr>
        <w:sz w:val="16"/>
        <w:szCs w:val="16"/>
      </w:rPr>
      <w:t>Projektleiter</w:t>
    </w:r>
    <w:r w:rsidR="00B2568B">
      <w:tab/>
    </w:r>
    <w:r w:rsidRPr="5370CE95">
      <w:rPr>
        <w:rFonts w:eastAsia="Calibri"/>
        <w:color w:val="000000" w:themeColor="text1"/>
        <w:sz w:val="16"/>
        <w:szCs w:val="16"/>
      </w:rPr>
      <w:t>+49 1621318193           dejan.ducic@surplex.com</w:t>
    </w:r>
    <w:r w:rsidR="00B2568B">
      <w:tab/>
    </w:r>
    <w:r w:rsidR="00B2568B">
      <w:tab/>
    </w:r>
    <w:r w:rsidR="00B2568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516" w:rsidP="000B720A" w:rsidRDefault="009E3516" w14:paraId="4B19A3E2" w14:textId="77777777">
      <w:pPr>
        <w:spacing w:after="0" w:line="240" w:lineRule="auto"/>
      </w:pPr>
      <w:r>
        <w:separator/>
      </w:r>
    </w:p>
  </w:footnote>
  <w:footnote w:type="continuationSeparator" w:id="0">
    <w:p w:rsidR="009E3516" w:rsidP="000B720A" w:rsidRDefault="009E3516" w14:paraId="6B83887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020"/>
      <w:gridCol w:w="3020"/>
      <w:gridCol w:w="3021"/>
    </w:tblGrid>
    <w:tr w:rsidR="5370CE95" w:rsidTr="5370CE95" w14:paraId="6E1EACB8" w14:textId="77777777">
      <w:trPr>
        <w:trHeight w:val="300"/>
      </w:trPr>
      <w:tc>
        <w:tcPr>
          <w:tcW w:w="3020" w:type="dxa"/>
        </w:tcPr>
        <w:p w:rsidR="5370CE95" w:rsidP="5370CE95" w:rsidRDefault="5370CE95" w14:paraId="57008B38" w14:textId="5D4EA6D5">
          <w:pPr>
            <w:pStyle w:val="Kopfzeile"/>
            <w:ind w:left="-115"/>
          </w:pPr>
        </w:p>
      </w:tc>
      <w:tc>
        <w:tcPr>
          <w:tcW w:w="3020" w:type="dxa"/>
        </w:tcPr>
        <w:p w:rsidR="5370CE95" w:rsidP="5370CE95" w:rsidRDefault="5370CE95" w14:paraId="2E53F62C" w14:textId="43E274EA">
          <w:pPr>
            <w:pStyle w:val="Kopfzeile"/>
            <w:jc w:val="center"/>
          </w:pPr>
        </w:p>
      </w:tc>
      <w:tc>
        <w:tcPr>
          <w:tcW w:w="3020" w:type="dxa"/>
        </w:tcPr>
        <w:p w:rsidR="5370CE95" w:rsidP="5370CE95" w:rsidRDefault="5370CE95" w14:paraId="45B864A0" w14:textId="4E8CD2B4">
          <w:pPr>
            <w:pStyle w:val="Kopfzeile"/>
            <w:ind w:right="-115"/>
            <w:jc w:val="right"/>
          </w:pPr>
          <w:r>
            <w:rPr>
              <w:noProof/>
            </w:rPr>
            <w:drawing>
              <wp:inline distT="0" distB="0" distL="0" distR="0" wp14:anchorId="37BC589F" wp14:editId="287678C1">
                <wp:extent cx="1781175" cy="542925"/>
                <wp:effectExtent l="0" t="0" r="0" b="0"/>
                <wp:docPr id="21052409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40977" name="Picture 2105240977"/>
                        <pic:cNvPicPr/>
                      </pic:nvPicPr>
                      <pic:blipFill>
                        <a:blip r:embed="rId1">
                          <a:extLst>
                            <a:ext uri="{28A0092B-C50C-407E-A947-70E740481C1C}">
                              <a14:useLocalDpi xmlns:a14="http://schemas.microsoft.com/office/drawing/2010/main"/>
                            </a:ext>
                          </a:extLst>
                        </a:blip>
                        <a:stretch>
                          <a:fillRect/>
                        </a:stretch>
                      </pic:blipFill>
                      <pic:spPr>
                        <a:xfrm>
                          <a:off x="0" y="0"/>
                          <a:ext cx="1781175" cy="542925"/>
                        </a:xfrm>
                        <a:prstGeom prst="rect">
                          <a:avLst/>
                        </a:prstGeom>
                      </pic:spPr>
                    </pic:pic>
                  </a:graphicData>
                </a:graphic>
              </wp:inline>
            </w:drawing>
          </w:r>
        </w:p>
      </w:tc>
    </w:tr>
  </w:tbl>
  <w:p w:rsidR="5370CE95" w:rsidP="5370CE95" w:rsidRDefault="5370CE95" w14:paraId="4E06C1BD" w14:textId="4D9C4DB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2D0F3F"/>
    <w:multiLevelType w:val="hybridMultilevel"/>
    <w:tmpl w:val="FFFFFFFF"/>
    <w:lvl w:ilvl="0" w:tplc="7D0E02D6">
      <w:start w:val="1"/>
      <w:numFmt w:val="bullet"/>
      <w:lvlText w:val=""/>
      <w:lvlJc w:val="left"/>
      <w:pPr>
        <w:ind w:left="720" w:hanging="360"/>
      </w:pPr>
      <w:rPr>
        <w:rFonts w:hint="default" w:ascii="Symbol" w:hAnsi="Symbol"/>
      </w:rPr>
    </w:lvl>
    <w:lvl w:ilvl="1" w:tplc="0DC0D81E">
      <w:start w:val="1"/>
      <w:numFmt w:val="bullet"/>
      <w:lvlText w:val="o"/>
      <w:lvlJc w:val="left"/>
      <w:pPr>
        <w:ind w:left="1440" w:hanging="360"/>
      </w:pPr>
      <w:rPr>
        <w:rFonts w:hint="default" w:ascii="Courier New" w:hAnsi="Courier New"/>
      </w:rPr>
    </w:lvl>
    <w:lvl w:ilvl="2" w:tplc="7BD61C8C">
      <w:start w:val="1"/>
      <w:numFmt w:val="bullet"/>
      <w:lvlText w:val=""/>
      <w:lvlJc w:val="left"/>
      <w:pPr>
        <w:ind w:left="2160" w:hanging="360"/>
      </w:pPr>
      <w:rPr>
        <w:rFonts w:hint="default" w:ascii="Wingdings" w:hAnsi="Wingdings"/>
      </w:rPr>
    </w:lvl>
    <w:lvl w:ilvl="3" w:tplc="7E38BD5C">
      <w:start w:val="1"/>
      <w:numFmt w:val="bullet"/>
      <w:lvlText w:val=""/>
      <w:lvlJc w:val="left"/>
      <w:pPr>
        <w:ind w:left="2880" w:hanging="360"/>
      </w:pPr>
      <w:rPr>
        <w:rFonts w:hint="default" w:ascii="Symbol" w:hAnsi="Symbol"/>
      </w:rPr>
    </w:lvl>
    <w:lvl w:ilvl="4" w:tplc="222AF74A">
      <w:start w:val="1"/>
      <w:numFmt w:val="bullet"/>
      <w:lvlText w:val="o"/>
      <w:lvlJc w:val="left"/>
      <w:pPr>
        <w:ind w:left="3600" w:hanging="360"/>
      </w:pPr>
      <w:rPr>
        <w:rFonts w:hint="default" w:ascii="Courier New" w:hAnsi="Courier New"/>
      </w:rPr>
    </w:lvl>
    <w:lvl w:ilvl="5" w:tplc="83AE2520">
      <w:start w:val="1"/>
      <w:numFmt w:val="bullet"/>
      <w:lvlText w:val=""/>
      <w:lvlJc w:val="left"/>
      <w:pPr>
        <w:ind w:left="4320" w:hanging="360"/>
      </w:pPr>
      <w:rPr>
        <w:rFonts w:hint="default" w:ascii="Wingdings" w:hAnsi="Wingdings"/>
      </w:rPr>
    </w:lvl>
    <w:lvl w:ilvl="6" w:tplc="99969F7E">
      <w:start w:val="1"/>
      <w:numFmt w:val="bullet"/>
      <w:lvlText w:val=""/>
      <w:lvlJc w:val="left"/>
      <w:pPr>
        <w:ind w:left="5040" w:hanging="360"/>
      </w:pPr>
      <w:rPr>
        <w:rFonts w:hint="default" w:ascii="Symbol" w:hAnsi="Symbol"/>
      </w:rPr>
    </w:lvl>
    <w:lvl w:ilvl="7" w:tplc="30660EAC">
      <w:start w:val="1"/>
      <w:numFmt w:val="bullet"/>
      <w:lvlText w:val="o"/>
      <w:lvlJc w:val="left"/>
      <w:pPr>
        <w:ind w:left="5760" w:hanging="360"/>
      </w:pPr>
      <w:rPr>
        <w:rFonts w:hint="default" w:ascii="Courier New" w:hAnsi="Courier New"/>
      </w:rPr>
    </w:lvl>
    <w:lvl w:ilvl="8" w:tplc="5094C4A8">
      <w:start w:val="1"/>
      <w:numFmt w:val="bullet"/>
      <w:lvlText w:val=""/>
      <w:lvlJc w:val="left"/>
      <w:pPr>
        <w:ind w:left="6480" w:hanging="360"/>
      </w:pPr>
      <w:rPr>
        <w:rFonts w:hint="default" w:ascii="Wingdings" w:hAnsi="Wingdings"/>
      </w:rPr>
    </w:lvl>
  </w:abstractNum>
  <w:num w:numId="1" w16cid:durableId="161882882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6AE8"/>
    <w:rsid w:val="0003673A"/>
    <w:rsid w:val="0006062E"/>
    <w:rsid w:val="000846FD"/>
    <w:rsid w:val="00093E6C"/>
    <w:rsid w:val="000977ED"/>
    <w:rsid w:val="000B5774"/>
    <w:rsid w:val="000B720A"/>
    <w:rsid w:val="000F2F67"/>
    <w:rsid w:val="001078E0"/>
    <w:rsid w:val="00143970"/>
    <w:rsid w:val="001C1F73"/>
    <w:rsid w:val="001C2EDC"/>
    <w:rsid w:val="002420FF"/>
    <w:rsid w:val="0028063F"/>
    <w:rsid w:val="002D193D"/>
    <w:rsid w:val="002D422F"/>
    <w:rsid w:val="002D4E5E"/>
    <w:rsid w:val="002D5AC2"/>
    <w:rsid w:val="002E0AAE"/>
    <w:rsid w:val="00323AE8"/>
    <w:rsid w:val="003358E6"/>
    <w:rsid w:val="00350820"/>
    <w:rsid w:val="00353777"/>
    <w:rsid w:val="0039479D"/>
    <w:rsid w:val="003E116B"/>
    <w:rsid w:val="004306F1"/>
    <w:rsid w:val="00433FF6"/>
    <w:rsid w:val="00491ACA"/>
    <w:rsid w:val="00493C1A"/>
    <w:rsid w:val="00496E04"/>
    <w:rsid w:val="00530FF5"/>
    <w:rsid w:val="00542951"/>
    <w:rsid w:val="005631FA"/>
    <w:rsid w:val="005853F7"/>
    <w:rsid w:val="005D40B5"/>
    <w:rsid w:val="00631FD2"/>
    <w:rsid w:val="00644D0C"/>
    <w:rsid w:val="00685EAD"/>
    <w:rsid w:val="006A46E3"/>
    <w:rsid w:val="006A4BB9"/>
    <w:rsid w:val="006D2B89"/>
    <w:rsid w:val="00711EBB"/>
    <w:rsid w:val="00733302"/>
    <w:rsid w:val="00743E24"/>
    <w:rsid w:val="007739C6"/>
    <w:rsid w:val="007A2033"/>
    <w:rsid w:val="007B3F3B"/>
    <w:rsid w:val="007B75BC"/>
    <w:rsid w:val="007B7919"/>
    <w:rsid w:val="00801031"/>
    <w:rsid w:val="008774EB"/>
    <w:rsid w:val="008839FC"/>
    <w:rsid w:val="008A5FD6"/>
    <w:rsid w:val="008D62A7"/>
    <w:rsid w:val="009002D0"/>
    <w:rsid w:val="00953730"/>
    <w:rsid w:val="0096368D"/>
    <w:rsid w:val="00980C6B"/>
    <w:rsid w:val="009C1E04"/>
    <w:rsid w:val="009D5DC1"/>
    <w:rsid w:val="009E3516"/>
    <w:rsid w:val="009F034A"/>
    <w:rsid w:val="009F77B9"/>
    <w:rsid w:val="00A20BCF"/>
    <w:rsid w:val="00A509F8"/>
    <w:rsid w:val="00A66228"/>
    <w:rsid w:val="00AD5012"/>
    <w:rsid w:val="00B1467C"/>
    <w:rsid w:val="00B2568B"/>
    <w:rsid w:val="00B34462"/>
    <w:rsid w:val="00B401D6"/>
    <w:rsid w:val="00B579C6"/>
    <w:rsid w:val="00B7640B"/>
    <w:rsid w:val="00BA2D5D"/>
    <w:rsid w:val="00C05319"/>
    <w:rsid w:val="00C4012B"/>
    <w:rsid w:val="00C456DD"/>
    <w:rsid w:val="00C61223"/>
    <w:rsid w:val="00C86206"/>
    <w:rsid w:val="00C86549"/>
    <w:rsid w:val="00D10D29"/>
    <w:rsid w:val="00D250FA"/>
    <w:rsid w:val="00D727C0"/>
    <w:rsid w:val="00D9050B"/>
    <w:rsid w:val="00DC30CD"/>
    <w:rsid w:val="00E338D9"/>
    <w:rsid w:val="00E466D4"/>
    <w:rsid w:val="00EC4154"/>
    <w:rsid w:val="00ED6C7D"/>
    <w:rsid w:val="00F07BBD"/>
    <w:rsid w:val="00F302BF"/>
    <w:rsid w:val="00F7324D"/>
    <w:rsid w:val="00F7779B"/>
    <w:rsid w:val="00FA4C6F"/>
    <w:rsid w:val="00FF3924"/>
    <w:rsid w:val="022FCAFE"/>
    <w:rsid w:val="0391B2D4"/>
    <w:rsid w:val="053D4CBF"/>
    <w:rsid w:val="089F3174"/>
    <w:rsid w:val="09B3CCA0"/>
    <w:rsid w:val="0BC85B74"/>
    <w:rsid w:val="0C97375A"/>
    <w:rsid w:val="0D8EBC01"/>
    <w:rsid w:val="1156DFC4"/>
    <w:rsid w:val="121E56EC"/>
    <w:rsid w:val="1433C7C3"/>
    <w:rsid w:val="16D88E17"/>
    <w:rsid w:val="19466745"/>
    <w:rsid w:val="1AF97952"/>
    <w:rsid w:val="1E92BCFB"/>
    <w:rsid w:val="23194CA7"/>
    <w:rsid w:val="257D0005"/>
    <w:rsid w:val="2F248915"/>
    <w:rsid w:val="30777529"/>
    <w:rsid w:val="34E57A3F"/>
    <w:rsid w:val="374583BA"/>
    <w:rsid w:val="3BEC1E37"/>
    <w:rsid w:val="3E9295B0"/>
    <w:rsid w:val="40CA6981"/>
    <w:rsid w:val="46F99241"/>
    <w:rsid w:val="47FB2340"/>
    <w:rsid w:val="48808F40"/>
    <w:rsid w:val="4E26CDC7"/>
    <w:rsid w:val="51C3C236"/>
    <w:rsid w:val="52D46713"/>
    <w:rsid w:val="5370CE95"/>
    <w:rsid w:val="5583734F"/>
    <w:rsid w:val="55A72B26"/>
    <w:rsid w:val="5EC0934E"/>
    <w:rsid w:val="6251A220"/>
    <w:rsid w:val="6515C58B"/>
    <w:rsid w:val="6A70E0D0"/>
    <w:rsid w:val="6ACCAF71"/>
    <w:rsid w:val="6E196CD8"/>
    <w:rsid w:val="6E22E1BA"/>
    <w:rsid w:val="72A4EB8C"/>
    <w:rsid w:val="73898119"/>
    <w:rsid w:val="73D3C06E"/>
    <w:rsid w:val="748742BD"/>
    <w:rsid w:val="79418937"/>
    <w:rsid w:val="7E8A528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A7D58"/>
  <w15:chartTrackingRefBased/>
  <w15:docId w15:val="{1755AEF1-2711-40AD-9CF5-7401B3D02D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7B3F3B"/>
    <w:rPr>
      <w:rFonts w:ascii="Open Sans" w:hAnsi="Open Sans" w:cs="Open Sans"/>
      <w:sz w:val="21"/>
      <w:szCs w:val="21"/>
    </w:rPr>
  </w:style>
  <w:style w:type="paragraph" w:styleId="berschrift1">
    <w:name w:val="heading 1"/>
    <w:link w:val="berschrift1Zchn"/>
    <w:uiPriority w:val="9"/>
    <w:qFormat/>
    <w:rsid w:val="5370CE95"/>
    <w:pPr>
      <w:spacing w:before="480"/>
      <w:outlineLvl w:val="0"/>
    </w:pPr>
    <w:rPr>
      <w:b/>
      <w:bCs/>
      <w:color w:val="000000" w:themeColor="text1"/>
      <w:sz w:val="24"/>
      <w:szCs w:val="24"/>
    </w:rPr>
  </w:style>
  <w:style w:type="paragraph" w:styleId="berschrift2">
    <w:name w:val="heading 2"/>
    <w:link w:val="berschrift2Zchn"/>
    <w:uiPriority w:val="9"/>
    <w:unhideWhenUsed/>
    <w:qFormat/>
    <w:rsid w:val="5370CE95"/>
    <w:pPr>
      <w:spacing w:before="480"/>
      <w:outlineLvl w:val="1"/>
    </w:pPr>
    <w:rPr>
      <w:b/>
      <w:bCs/>
    </w:rPr>
  </w:style>
  <w:style w:type="paragraph" w:styleId="berschrift3">
    <w:name w:val="heading 3"/>
    <w:link w:val="berschrift3Zchn"/>
    <w:uiPriority w:val="9"/>
    <w:semiHidden/>
    <w:unhideWhenUsed/>
    <w:qFormat/>
    <w:rsid w:val="5370CE95"/>
    <w:pPr>
      <w:keepNext/>
      <w:keepLines/>
      <w:spacing w:before="40" w:after="0"/>
      <w:outlineLvl w:val="2"/>
    </w:pPr>
    <w:rPr>
      <w:rFonts w:asciiTheme="majorHAnsi" w:hAnsiTheme="majorHAnsi" w:eastAsiaTheme="majorEastAsia" w:cstheme="majorBidi"/>
      <w:color w:val="1F3763"/>
      <w:sz w:val="24"/>
      <w:szCs w:val="24"/>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1Zchn" w:customStyle="1">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styleId="Teaser" w:customStyle="1">
    <w:name w:val="Teaser"/>
    <w:uiPriority w:val="1"/>
    <w:qFormat/>
    <w:rsid w:val="5370CE95"/>
    <w:pPr>
      <w:spacing w:before="480" w:after="480"/>
    </w:pPr>
    <w:rPr>
      <w:i/>
      <w:iCs/>
    </w:rPr>
  </w:style>
  <w:style w:type="character" w:styleId="berschrift2Zchn" w:customStyle="1">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link w:val="KopfzeileZchn"/>
    <w:uiPriority w:val="99"/>
    <w:unhideWhenUsed/>
    <w:rsid w:val="5370CE95"/>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0B720A"/>
    <w:rPr>
      <w:rFonts w:ascii="Open Sans" w:hAnsi="Open Sans" w:cs="Open Sans"/>
      <w:sz w:val="21"/>
      <w:szCs w:val="21"/>
    </w:rPr>
  </w:style>
  <w:style w:type="paragraph" w:styleId="Fuzeile">
    <w:name w:val="footer"/>
    <w:link w:val="FuzeileZchn"/>
    <w:uiPriority w:val="99"/>
    <w:unhideWhenUsed/>
    <w:rsid w:val="5370CE95"/>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0B720A"/>
    <w:rPr>
      <w:rFonts w:ascii="Open Sans" w:hAnsi="Open Sans" w:cs="Open Sans"/>
      <w:sz w:val="21"/>
      <w:szCs w:val="21"/>
    </w:rPr>
  </w:style>
  <w:style w:type="paragraph" w:styleId="Formatvorlage1" w:customStyle="1">
    <w:name w:val="Formatvorlage1"/>
    <w:uiPriority w:val="1"/>
    <w:qFormat/>
    <w:rsid w:val="5370CE95"/>
    <w:pPr>
      <w:spacing w:before="640"/>
    </w:pPr>
    <w:rPr>
      <w:b/>
      <w:bCs/>
      <w:sz w:val="24"/>
      <w:szCs w:val="24"/>
    </w:rPr>
  </w:style>
  <w:style w:type="paragraph" w:styleId="Formatvorlage2" w:customStyle="1">
    <w:name w:val="Formatvorlage2"/>
    <w:uiPriority w:val="1"/>
    <w:qFormat/>
    <w:rsid w:val="5370CE95"/>
    <w:pPr>
      <w:keepNext/>
      <w:keepLines/>
      <w:spacing w:before="480"/>
    </w:pPr>
    <w:rPr>
      <w:b/>
      <w:bCs/>
    </w:rPr>
  </w:style>
  <w:style w:type="table" w:styleId="Tabellenraster">
    <w:name w:val="Table Grid"/>
    <w:basedOn w:val="NormaleTabelle"/>
    <w:uiPriority w:val="39"/>
    <w:rsid w:val="006A4BB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link w:val="KommentartextZchn"/>
    <w:uiPriority w:val="99"/>
    <w:semiHidden/>
    <w:unhideWhenUsed/>
    <w:rsid w:val="5370CE95"/>
    <w:pPr>
      <w:spacing w:line="240" w:lineRule="auto"/>
    </w:pPr>
    <w:rPr>
      <w:sz w:val="20"/>
      <w:szCs w:val="20"/>
    </w:rPr>
  </w:style>
  <w:style w:type="character" w:styleId="KommentartextZchn" w:customStyle="1">
    <w:name w:val="Kommentartext Zchn"/>
    <w:basedOn w:val="Absatz-Standardschriftart"/>
    <w:link w:val="Kommentartext"/>
    <w:uiPriority w:val="99"/>
    <w:semiHidden/>
    <w:rsid w:val="006A4BB9"/>
    <w:rPr>
      <w:rFonts w:ascii="Open Sans" w:hAnsi="Open Sans" w:cs="Open Sans"/>
      <w:sz w:val="20"/>
      <w:szCs w:val="20"/>
    </w:rPr>
  </w:style>
  <w:style w:type="paragraph" w:styleId="Sprechblasentext">
    <w:name w:val="Balloon Text"/>
    <w:link w:val="SprechblasentextZchn"/>
    <w:uiPriority w:val="99"/>
    <w:semiHidden/>
    <w:unhideWhenUsed/>
    <w:rsid w:val="5370CE95"/>
    <w:pPr>
      <w:spacing w:after="0" w:line="240" w:lineRule="auto"/>
    </w:pPr>
    <w:rPr>
      <w:rFonts w:ascii="Segoe UI" w:hAnsi="Segoe UI" w:cs="Segoe UI"/>
      <w:sz w:val="18"/>
      <w:szCs w:val="18"/>
    </w:rPr>
  </w:style>
  <w:style w:type="character" w:styleId="SprechblasentextZchn" w:customStyle="1">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paragraph" w:styleId="isselectedend" w:customStyle="1">
    <w:name w:val="isselectedend"/>
    <w:uiPriority w:val="99"/>
    <w:rsid w:val="5370CE95"/>
    <w:pPr>
      <w:spacing w:beforeAutospacing="1" w:afterAutospacing="1" w:line="240" w:lineRule="auto"/>
    </w:pPr>
    <w:rPr>
      <w:rFonts w:ascii="Times New Roman" w:hAnsi="Times New Roman" w:eastAsia="Times New Roman" w:cs="Times New Roman"/>
      <w:sz w:val="24"/>
      <w:szCs w:val="24"/>
      <w:lang w:eastAsia="de-DE"/>
    </w:rPr>
  </w:style>
  <w:style w:type="character" w:styleId="Fett">
    <w:name w:val="Strong"/>
    <w:basedOn w:val="Absatz-Standardschriftart"/>
    <w:uiPriority w:val="22"/>
    <w:qFormat/>
    <w:rsid w:val="006D2B89"/>
    <w:rPr>
      <w:b/>
      <w:bCs/>
    </w:rPr>
  </w:style>
  <w:style w:type="character" w:styleId="apple-converted-space" w:customStyle="1">
    <w:name w:val="apple-converted-space"/>
    <w:basedOn w:val="Absatz-Standardschriftart"/>
    <w:rsid w:val="006D2B89"/>
  </w:style>
  <w:style w:type="paragraph" w:styleId="StandardWeb">
    <w:name w:val="Normal (Web)"/>
    <w:uiPriority w:val="99"/>
    <w:unhideWhenUsed/>
    <w:rsid w:val="5370CE95"/>
    <w:pPr>
      <w:spacing w:beforeAutospacing="1" w:afterAutospacing="1" w:line="240" w:lineRule="auto"/>
    </w:pPr>
    <w:rPr>
      <w:rFonts w:ascii="Times New Roman" w:hAnsi="Times New Roman" w:eastAsia="Times New Roman" w:cs="Times New Roman"/>
      <w:sz w:val="24"/>
      <w:szCs w:val="24"/>
      <w:lang w:eastAsia="de-DE"/>
    </w:rPr>
  </w:style>
  <w:style w:type="character" w:styleId="text-token-text-primary" w:customStyle="1">
    <w:name w:val="text-token-text-primary"/>
    <w:basedOn w:val="Absatz-Standardschriftart"/>
    <w:rsid w:val="006D2B89"/>
  </w:style>
  <w:style w:type="character" w:styleId="berschrift3Zchn" w:customStyle="1">
    <w:name w:val="Überschrift 3 Zchn"/>
    <w:basedOn w:val="Absatz-Standardschriftart"/>
    <w:link w:val="berschrift3"/>
    <w:uiPriority w:val="9"/>
    <w:semiHidden/>
    <w:rsid w:val="006D2B89"/>
    <w:rPr>
      <w:rFonts w:asciiTheme="majorHAnsi" w:hAnsiTheme="majorHAnsi" w:eastAsiaTheme="majorEastAsia" w:cstheme="majorBidi"/>
      <w:color w:val="1F3763" w:themeColor="accent1" w:themeShade="7F"/>
      <w:sz w:val="24"/>
      <w:szCs w:val="24"/>
    </w:rPr>
  </w:style>
  <w:style w:type="paragraph" w:styleId="Kommentarthema">
    <w:name w:val="annotation subject"/>
    <w:basedOn w:val="Kommentartext"/>
    <w:next w:val="Kommentartext"/>
    <w:link w:val="KommentarthemaZchn"/>
    <w:uiPriority w:val="99"/>
    <w:semiHidden/>
    <w:unhideWhenUsed/>
    <w:rsid w:val="000977ED"/>
    <w:rPr>
      <w:b/>
      <w:bCs/>
    </w:rPr>
  </w:style>
  <w:style w:type="character" w:styleId="KommentarthemaZchn" w:customStyle="1">
    <w:name w:val="Kommentarthema Zchn"/>
    <w:basedOn w:val="KommentartextZchn"/>
    <w:link w:val="Kommentarthema"/>
    <w:uiPriority w:val="99"/>
    <w:semiHidden/>
    <w:rsid w:val="000977ED"/>
    <w:rPr>
      <w:rFonts w:ascii="Open Sans" w:hAnsi="Open Sans" w:cs="Open Sans"/>
      <w:b/>
      <w:bCs/>
      <w:sz w:val="20"/>
      <w:szCs w:val="20"/>
    </w:rPr>
  </w:style>
  <w:style w:type="paragraph" w:styleId="Listenabsatz">
    <w:name w:val="List Paragraph"/>
    <w:uiPriority w:val="34"/>
    <w:qFormat/>
    <w:rsid w:val="5370CE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6864">
      <w:bodyDiv w:val="1"/>
      <w:marLeft w:val="0"/>
      <w:marRight w:val="0"/>
      <w:marTop w:val="0"/>
      <w:marBottom w:val="0"/>
      <w:divBdr>
        <w:top w:val="none" w:sz="0" w:space="0" w:color="auto"/>
        <w:left w:val="none" w:sz="0" w:space="0" w:color="auto"/>
        <w:bottom w:val="none" w:sz="0" w:space="0" w:color="auto"/>
        <w:right w:val="none" w:sz="0" w:space="0" w:color="auto"/>
      </w:divBdr>
    </w:div>
    <w:div w:id="120196808">
      <w:bodyDiv w:val="1"/>
      <w:marLeft w:val="0"/>
      <w:marRight w:val="0"/>
      <w:marTop w:val="0"/>
      <w:marBottom w:val="0"/>
      <w:divBdr>
        <w:top w:val="none" w:sz="0" w:space="0" w:color="auto"/>
        <w:left w:val="none" w:sz="0" w:space="0" w:color="auto"/>
        <w:bottom w:val="none" w:sz="0" w:space="0" w:color="auto"/>
        <w:right w:val="none" w:sz="0" w:space="0" w:color="auto"/>
      </w:divBdr>
    </w:div>
    <w:div w:id="264848898">
      <w:bodyDiv w:val="1"/>
      <w:marLeft w:val="0"/>
      <w:marRight w:val="0"/>
      <w:marTop w:val="0"/>
      <w:marBottom w:val="0"/>
      <w:divBdr>
        <w:top w:val="none" w:sz="0" w:space="0" w:color="auto"/>
        <w:left w:val="none" w:sz="0" w:space="0" w:color="auto"/>
        <w:bottom w:val="none" w:sz="0" w:space="0" w:color="auto"/>
        <w:right w:val="none" w:sz="0" w:space="0" w:color="auto"/>
      </w:divBdr>
    </w:div>
    <w:div w:id="310597198">
      <w:bodyDiv w:val="1"/>
      <w:marLeft w:val="0"/>
      <w:marRight w:val="0"/>
      <w:marTop w:val="0"/>
      <w:marBottom w:val="0"/>
      <w:divBdr>
        <w:top w:val="none" w:sz="0" w:space="0" w:color="auto"/>
        <w:left w:val="none" w:sz="0" w:space="0" w:color="auto"/>
        <w:bottom w:val="none" w:sz="0" w:space="0" w:color="auto"/>
        <w:right w:val="none" w:sz="0" w:space="0" w:color="auto"/>
      </w:divBdr>
    </w:div>
    <w:div w:id="723021918">
      <w:bodyDiv w:val="1"/>
      <w:marLeft w:val="0"/>
      <w:marRight w:val="0"/>
      <w:marTop w:val="0"/>
      <w:marBottom w:val="0"/>
      <w:divBdr>
        <w:top w:val="none" w:sz="0" w:space="0" w:color="auto"/>
        <w:left w:val="none" w:sz="0" w:space="0" w:color="auto"/>
        <w:bottom w:val="none" w:sz="0" w:space="0" w:color="auto"/>
        <w:right w:val="none" w:sz="0" w:space="0" w:color="auto"/>
      </w:divBdr>
    </w:div>
    <w:div w:id="728503482">
      <w:bodyDiv w:val="1"/>
      <w:marLeft w:val="0"/>
      <w:marRight w:val="0"/>
      <w:marTop w:val="0"/>
      <w:marBottom w:val="0"/>
      <w:divBdr>
        <w:top w:val="none" w:sz="0" w:space="0" w:color="auto"/>
        <w:left w:val="none" w:sz="0" w:space="0" w:color="auto"/>
        <w:bottom w:val="none" w:sz="0" w:space="0" w:color="auto"/>
        <w:right w:val="none" w:sz="0" w:space="0" w:color="auto"/>
      </w:divBdr>
    </w:div>
    <w:div w:id="827594422">
      <w:bodyDiv w:val="1"/>
      <w:marLeft w:val="0"/>
      <w:marRight w:val="0"/>
      <w:marTop w:val="0"/>
      <w:marBottom w:val="0"/>
      <w:divBdr>
        <w:top w:val="none" w:sz="0" w:space="0" w:color="auto"/>
        <w:left w:val="none" w:sz="0" w:space="0" w:color="auto"/>
        <w:bottom w:val="none" w:sz="0" w:space="0" w:color="auto"/>
        <w:right w:val="none" w:sz="0" w:space="0" w:color="auto"/>
      </w:divBdr>
    </w:div>
    <w:div w:id="1982692492">
      <w:bodyDiv w:val="1"/>
      <w:marLeft w:val="0"/>
      <w:marRight w:val="0"/>
      <w:marTop w:val="0"/>
      <w:marBottom w:val="0"/>
      <w:divBdr>
        <w:top w:val="none" w:sz="0" w:space="0" w:color="auto"/>
        <w:left w:val="none" w:sz="0" w:space="0" w:color="auto"/>
        <w:bottom w:val="none" w:sz="0" w:space="0" w:color="auto"/>
        <w:right w:val="none" w:sz="0" w:space="0" w:color="auto"/>
      </w:divBdr>
    </w:div>
    <w:div w:id="1991400723">
      <w:bodyDiv w:val="1"/>
      <w:marLeft w:val="0"/>
      <w:marRight w:val="0"/>
      <w:marTop w:val="0"/>
      <w:marBottom w:val="0"/>
      <w:divBdr>
        <w:top w:val="none" w:sz="0" w:space="0" w:color="auto"/>
        <w:left w:val="none" w:sz="0" w:space="0" w:color="auto"/>
        <w:bottom w:val="none" w:sz="0" w:space="0" w:color="auto"/>
        <w:right w:val="none" w:sz="0" w:space="0" w:color="auto"/>
      </w:divBdr>
    </w:div>
    <w:div w:id="2141797671">
      <w:bodyDiv w:val="1"/>
      <w:marLeft w:val="0"/>
      <w:marRight w:val="0"/>
      <w:marTop w:val="0"/>
      <w:marBottom w:val="0"/>
      <w:divBdr>
        <w:top w:val="none" w:sz="0" w:space="0" w:color="auto"/>
        <w:left w:val="none" w:sz="0" w:space="0" w:color="auto"/>
        <w:bottom w:val="none" w:sz="0" w:space="0" w:color="auto"/>
        <w:right w:val="none" w:sz="0" w:space="0" w:color="auto"/>
      </w:divBdr>
    </w:div>
    <w:div w:id="214311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jp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jp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g" Id="rId11" /><Relationship Type="http://schemas.openxmlformats.org/officeDocument/2006/relationships/styles" Target="styles.xml" Id="rId5" /><Relationship Type="http://schemas.openxmlformats.org/officeDocument/2006/relationships/image" Target="media/image6.jpg" Id="rId15" /><Relationship Type="http://schemas.openxmlformats.org/officeDocument/2006/relationships/image" Target="media/image1.jp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jpg" Id="rId14" /></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documenttasks/documenttasks1.xml><?xml version="1.0" encoding="utf-8"?>
<t:Tasks xmlns:t="http://schemas.microsoft.com/office/tasks/2019/documenttasks" xmlns:oel="http://schemas.microsoft.com/office/2019/extlst">
  <t:Task id="{32BF9F04-2693-47D6-8E24-3B0F08507490}">
    <t:Anchor>
      <t:Comment id="927630661"/>
    </t:Anchor>
    <t:History>
      <t:Event id="{9A76D542-7CD9-4C22-8D83-BC8DD427391E}" time="2026-06-16T14:16:58.149Z">
        <t:Attribution userId="S::d.ducic@tbauctions.com::3f12a9e8-dd9d-4f8b-b36f-d4fe6bb64853" userProvider="AD" userName="Dejan Ducic"/>
        <t:Anchor>
          <t:Comment id="2001490717"/>
        </t:Anchor>
        <t:Create/>
      </t:Event>
      <t:Event id="{57AB2568-1F1F-4CBE-A5F3-C114E3EA03C3}" time="2026-06-16T14:16:58.149Z">
        <t:Attribution userId="S::d.ducic@tbauctions.com::3f12a9e8-dd9d-4f8b-b36f-d4fe6bb64853" userProvider="AD" userName="Dejan Ducic"/>
        <t:Anchor>
          <t:Comment id="2001490717"/>
        </t:Anchor>
        <t:Assign userId="S::S.Reischmann@tbauctions.com::5cf9505b-05bf-41e7-9c85-61eb96d9d66b" userProvider="AD" userName="Sascha Reischmann"/>
      </t:Event>
      <t:Event id="{1D7054F2-D15A-433E-8C85-BC70F186D4D1}" time="2026-06-16T14:16:58.149Z">
        <t:Attribution userId="S::d.ducic@tbauctions.com::3f12a9e8-dd9d-4f8b-b36f-d4fe6bb64853" userProvider="AD" userName="Dejan Ducic"/>
        <t:Anchor>
          <t:Comment id="2001490717"/>
        </t:Anchor>
        <t:SetTitle title="@Sascha Reischmann: Möchtest du hier als Zitatgeber fungieren?"/>
      </t:Event>
    </t:History>
  </t:Task>
</t:Task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356D4A864A94384DEAD59999E60D2" ma:contentTypeVersion="19" ma:contentTypeDescription="Create a new document." ma:contentTypeScope="" ma:versionID="60c69f02509c4c4444d2a176c97e6a3e">
  <xsd:schema xmlns:xsd="http://www.w3.org/2001/XMLSchema" xmlns:xs="http://www.w3.org/2001/XMLSchema" xmlns:p="http://schemas.microsoft.com/office/2006/metadata/properties" xmlns:ns2="5e90f9ba-325f-48e3-9ff5-928613af48a3" xmlns:ns3="cdc5ce42-1725-457c-b31f-3b78b72cd9c5" targetNamespace="http://schemas.microsoft.com/office/2006/metadata/properties" ma:root="true" ma:fieldsID="7a496e9ef473c38a72a8e60edaf2ff27" ns2:_="" ns3:_="">
    <xsd:import namespace="5e90f9ba-325f-48e3-9ff5-928613af48a3"/>
    <xsd:import namespace="cdc5ce42-1725-457c-b31f-3b78b72cd9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link" minOccurs="0"/>
                <xsd:element ref="ns2:Vertical" minOccurs="0"/>
                <xsd:element ref="ns2:Country"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90f9ba-325f-48e3-9ff5-928613af4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18f5b8-01e4-45a0-9d4f-5da39a87de4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ink" ma:index="23"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Vertical" ma:index="24" nillable="true" ma:displayName="Vertical" ma:default="General" ma:format="Dropdown" ma:internalName="Vertical">
      <xsd:simpleType>
        <xsd:union memberTypes="dms:Text">
          <xsd:simpleType>
            <xsd:restriction base="dms:Choice">
              <xsd:enumeration value="Agricultural"/>
              <xsd:enumeration value="Metal"/>
              <xsd:enumeration value="Construction"/>
              <xsd:enumeration value="Food"/>
              <xsd:enumeration value="Transport &amp; Logistics"/>
              <xsd:enumeration value="Other"/>
              <xsd:enumeration value="General"/>
            </xsd:restriction>
          </xsd:simpleType>
        </xsd:union>
      </xsd:simpleType>
    </xsd:element>
    <xsd:element name="Country" ma:index="25" nillable="true" ma:displayName="Country" ma:format="Dropdown" ma:internalName="Country">
      <xsd:simpleType>
        <xsd:restriction base="dms:Choice">
          <xsd:enumeration value="NL"/>
          <xsd:enumeration value="BE"/>
          <xsd:enumeration value="FR"/>
          <xsd:enumeration value="UK"/>
          <xsd:enumeration value="GE"/>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c5ce42-1725-457c-b31f-3b78b72cd9c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a9e4718-4345-492a-88d1-b47be11cf677}" ma:internalName="TaxCatchAll" ma:showField="CatchAllData" ma:web="cdc5ce42-1725-457c-b31f-3b78b72cd9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untry xmlns="5e90f9ba-325f-48e3-9ff5-928613af48a3" xsi:nil="true"/>
    <link xmlns="5e90f9ba-325f-48e3-9ff5-928613af48a3">
      <Url xsi:nil="true"/>
      <Description xsi:nil="true"/>
    </link>
    <TaxCatchAll xmlns="cdc5ce42-1725-457c-b31f-3b78b72cd9c5" xsi:nil="true"/>
    <Vertical xmlns="5e90f9ba-325f-48e3-9ff5-928613af48a3">General</Vertical>
    <lcf76f155ced4ddcb4097134ff3c332f xmlns="5e90f9ba-325f-48e3-9ff5-928613af48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991E5D-A2CA-4738-A4F8-CB6F73549360}">
  <ds:schemaRefs>
    <ds:schemaRef ds:uri="http://schemas.microsoft.com/sharepoint/v3/contenttype/forms"/>
  </ds:schemaRefs>
</ds:datastoreItem>
</file>

<file path=customXml/itemProps2.xml><?xml version="1.0" encoding="utf-8"?>
<ds:datastoreItem xmlns:ds="http://schemas.openxmlformats.org/officeDocument/2006/customXml" ds:itemID="{C34094F0-5584-483F-AC88-6F8B35877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90f9ba-325f-48e3-9ff5-928613af48a3"/>
    <ds:schemaRef ds:uri="cdc5ce42-1725-457c-b31f-3b78b72cd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7EF0BD-E007-4159-931D-4465FFFAA376}">
  <ds:schemaRefs>
    <ds:schemaRef ds:uri="http://schemas.microsoft.com/office/2006/metadata/properties"/>
    <ds:schemaRef ds:uri="http://schemas.microsoft.com/office/infopath/2007/PartnerControls"/>
    <ds:schemaRef ds:uri="5e90f9ba-325f-48e3-9ff5-928613af48a3"/>
    <ds:schemaRef ds:uri="cdc5ce42-1725-457c-b31f-3b78b72cd9c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Karima</dc:creator>
  <keywords/>
  <dc:description/>
  <lastModifiedBy>Marco Golbach</lastModifiedBy>
  <revision>58</revision>
  <lastPrinted>2025-03-17T12:55:00.0000000Z</lastPrinted>
  <dcterms:created xsi:type="dcterms:W3CDTF">2026-06-22T12:58:00.0000000Z</dcterms:created>
  <dcterms:modified xsi:type="dcterms:W3CDTF">2026-06-22T12:59:29.0249920Z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0x0101009B3356D4A864A94384DEAD59999E60D2</vt:lpwstr>
  </property>
  <property fmtid="{D5CDD505-2E9C-101B-9397-08002B2CF9AE}" pid="3" name="MediaServiceImageTags">
    <vt:lpwstr/>
  </property>
</Properties>
</file>