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41" w:rsidRDefault="00F34B14">
      <w:pPr>
        <w:rPr>
          <w:rFonts w:ascii="Arial" w:hAnsi="Arial" w:cs="Arial"/>
          <w:b/>
          <w:sz w:val="31"/>
          <w:szCs w:val="31"/>
        </w:rPr>
      </w:pPr>
      <w:r>
        <w:rPr>
          <w:rFonts w:ascii="Arial" w:hAnsi="Arial" w:cs="Arial"/>
          <w:b/>
          <w:sz w:val="31"/>
          <w:szCs w:val="31"/>
        </w:rPr>
        <w:t xml:space="preserve">Konkurserna ökar mest i </w:t>
      </w:r>
      <w:r w:rsidR="00035707">
        <w:rPr>
          <w:rFonts w:ascii="Arial" w:hAnsi="Arial" w:cs="Arial"/>
          <w:b/>
          <w:sz w:val="31"/>
          <w:szCs w:val="31"/>
        </w:rPr>
        <w:t>Storbritannien och Sverige</w:t>
      </w:r>
    </w:p>
    <w:p w:rsidR="002A1442" w:rsidRPr="00553C46" w:rsidRDefault="002A1442">
      <w:pPr>
        <w:rPr>
          <w:rFonts w:ascii="Arial" w:hAnsi="Arial" w:cs="Arial"/>
        </w:rPr>
      </w:pPr>
    </w:p>
    <w:p w:rsidR="00195A3E" w:rsidRPr="00E46415" w:rsidRDefault="00E46415" w:rsidP="00ED6B44">
      <w:pPr>
        <w:rPr>
          <w:rFonts w:ascii="Arial" w:hAnsi="Arial" w:cs="Arial"/>
          <w:sz w:val="22"/>
          <w:szCs w:val="22"/>
        </w:rPr>
      </w:pPr>
      <w:r w:rsidRPr="00E46415">
        <w:rPr>
          <w:rFonts w:ascii="Arial" w:hAnsi="Arial" w:cs="Arial"/>
          <w:b/>
          <w:bCs/>
          <w:sz w:val="22"/>
          <w:szCs w:val="22"/>
        </w:rPr>
        <w:t>Aktiebolagskonkurserna fortsätter att öka och under årets första 6 månader har antalet konkurser i Sverige ökat med 10 procent. I en europeisk jämförelse, som affärs- och kreditu</w:t>
      </w:r>
      <w:r w:rsidR="00F34B14">
        <w:rPr>
          <w:rFonts w:ascii="Arial" w:hAnsi="Arial" w:cs="Arial"/>
          <w:b/>
          <w:bCs/>
          <w:sz w:val="22"/>
          <w:szCs w:val="22"/>
        </w:rPr>
        <w:t>pplysningsföretaget Creditsafe tagit fram</w:t>
      </w:r>
      <w:r w:rsidRPr="00E46415">
        <w:rPr>
          <w:rFonts w:ascii="Arial" w:hAnsi="Arial" w:cs="Arial"/>
          <w:b/>
          <w:bCs/>
          <w:sz w:val="22"/>
          <w:szCs w:val="22"/>
        </w:rPr>
        <w:t>, placerar sig Sverige på en andra plats över länder med störst konkursökning. </w:t>
      </w:r>
      <w:r w:rsidR="00AC71FF" w:rsidRPr="00E46415">
        <w:rPr>
          <w:rFonts w:ascii="Arial" w:hAnsi="Arial" w:cs="Arial"/>
          <w:b/>
          <w:sz w:val="22"/>
          <w:szCs w:val="22"/>
        </w:rPr>
        <w:t xml:space="preserve"> </w:t>
      </w:r>
    </w:p>
    <w:p w:rsidR="00E46415" w:rsidRPr="00E46415" w:rsidRDefault="00E46415" w:rsidP="00C02B75">
      <w:pPr>
        <w:rPr>
          <w:rFonts w:ascii="Arial" w:hAnsi="Arial" w:cs="Arial"/>
          <w:sz w:val="22"/>
          <w:szCs w:val="22"/>
        </w:rPr>
      </w:pPr>
    </w:p>
    <w:p w:rsidR="00C02B75" w:rsidRPr="00AA6040" w:rsidRDefault="00AA6040" w:rsidP="00C02B75">
      <w:pPr>
        <w:rPr>
          <w:rFonts w:ascii="Arial" w:hAnsi="Arial" w:cs="Arial"/>
          <w:sz w:val="22"/>
          <w:szCs w:val="22"/>
        </w:rPr>
      </w:pPr>
      <w:r w:rsidRPr="00AA6040">
        <w:rPr>
          <w:rFonts w:ascii="Arial" w:hAnsi="Arial" w:cs="Arial"/>
          <w:sz w:val="22"/>
          <w:szCs w:val="22"/>
        </w:rPr>
        <w:t xml:space="preserve">I samband med att Creditsafe summerar konkursläget för </w:t>
      </w:r>
      <w:r>
        <w:rPr>
          <w:rFonts w:ascii="Arial" w:hAnsi="Arial" w:cs="Arial"/>
          <w:sz w:val="22"/>
          <w:szCs w:val="22"/>
        </w:rPr>
        <w:t xml:space="preserve">det första </w:t>
      </w:r>
      <w:r w:rsidRPr="00AA6040">
        <w:rPr>
          <w:rFonts w:ascii="Arial" w:hAnsi="Arial" w:cs="Arial"/>
          <w:sz w:val="22"/>
          <w:szCs w:val="22"/>
        </w:rPr>
        <w:t>halvår</w:t>
      </w:r>
      <w:r>
        <w:rPr>
          <w:rFonts w:ascii="Arial" w:hAnsi="Arial" w:cs="Arial"/>
          <w:sz w:val="22"/>
          <w:szCs w:val="22"/>
        </w:rPr>
        <w:t>et 2013</w:t>
      </w:r>
      <w:r w:rsidRPr="00AA6040">
        <w:rPr>
          <w:rFonts w:ascii="Arial" w:hAnsi="Arial" w:cs="Arial"/>
          <w:sz w:val="22"/>
          <w:szCs w:val="22"/>
        </w:rPr>
        <w:t>, har en jämförelse gjorts mellan olika länder i Europa.</w:t>
      </w:r>
      <w:r w:rsidR="000F3620" w:rsidRPr="00AA6040">
        <w:rPr>
          <w:rFonts w:ascii="Arial" w:hAnsi="Arial" w:cs="Arial"/>
          <w:sz w:val="22"/>
          <w:szCs w:val="22"/>
        </w:rPr>
        <w:t xml:space="preserve"> </w:t>
      </w:r>
      <w:r w:rsidR="00F93CB1" w:rsidRPr="00AA6040">
        <w:rPr>
          <w:rFonts w:ascii="Arial" w:hAnsi="Arial" w:cs="Arial"/>
          <w:sz w:val="22"/>
          <w:szCs w:val="22"/>
        </w:rPr>
        <w:t xml:space="preserve">I topp ligger </w:t>
      </w:r>
      <w:r w:rsidR="007B0D52" w:rsidRPr="00AA6040">
        <w:rPr>
          <w:rFonts w:ascii="Arial" w:hAnsi="Arial" w:cs="Arial"/>
          <w:sz w:val="22"/>
          <w:szCs w:val="22"/>
        </w:rPr>
        <w:t xml:space="preserve">Storbritannien </w:t>
      </w:r>
      <w:r w:rsidR="001D34E0" w:rsidRPr="00AA6040">
        <w:rPr>
          <w:rFonts w:ascii="Arial" w:hAnsi="Arial" w:cs="Arial"/>
          <w:sz w:val="22"/>
          <w:szCs w:val="22"/>
        </w:rPr>
        <w:t xml:space="preserve">som ökade </w:t>
      </w:r>
      <w:r w:rsidR="00F34B14">
        <w:rPr>
          <w:rFonts w:ascii="Arial" w:hAnsi="Arial" w:cs="Arial"/>
          <w:sz w:val="22"/>
          <w:szCs w:val="22"/>
        </w:rPr>
        <w:t>med 14 procent</w:t>
      </w:r>
      <w:r w:rsidR="009676A8" w:rsidRPr="00AA6040">
        <w:rPr>
          <w:rFonts w:ascii="Arial" w:hAnsi="Arial" w:cs="Arial"/>
          <w:sz w:val="22"/>
          <w:szCs w:val="22"/>
        </w:rPr>
        <w:t xml:space="preserve"> årets första 6 månader</w:t>
      </w:r>
      <w:r w:rsidR="007B14E0" w:rsidRPr="00AA6040">
        <w:rPr>
          <w:rFonts w:ascii="Arial" w:hAnsi="Arial" w:cs="Arial"/>
          <w:sz w:val="22"/>
          <w:szCs w:val="22"/>
        </w:rPr>
        <w:t xml:space="preserve">, </w:t>
      </w:r>
      <w:r w:rsidR="007B0D52" w:rsidRPr="00AA6040">
        <w:rPr>
          <w:rFonts w:ascii="Arial" w:hAnsi="Arial" w:cs="Arial"/>
          <w:sz w:val="22"/>
          <w:szCs w:val="22"/>
        </w:rPr>
        <w:t xml:space="preserve">jämfört med samma period föregående år. </w:t>
      </w:r>
      <w:r w:rsidR="00F34B14">
        <w:rPr>
          <w:rFonts w:ascii="Arial" w:hAnsi="Arial" w:cs="Arial"/>
          <w:sz w:val="22"/>
          <w:szCs w:val="22"/>
        </w:rPr>
        <w:t xml:space="preserve">För Sverige betyder </w:t>
      </w:r>
      <w:r w:rsidR="00EF70CA" w:rsidRPr="00AA6040">
        <w:rPr>
          <w:rFonts w:ascii="Arial" w:hAnsi="Arial" w:cs="Arial"/>
          <w:sz w:val="22"/>
          <w:szCs w:val="22"/>
        </w:rPr>
        <w:t>ökningen</w:t>
      </w:r>
      <w:r w:rsidR="00E50703" w:rsidRPr="00AA6040">
        <w:rPr>
          <w:rFonts w:ascii="Arial" w:hAnsi="Arial" w:cs="Arial"/>
          <w:sz w:val="22"/>
          <w:szCs w:val="22"/>
        </w:rPr>
        <w:t xml:space="preserve"> på 10 procent att konkurserna</w:t>
      </w:r>
      <w:r w:rsidR="00F34B14">
        <w:rPr>
          <w:rFonts w:ascii="Arial" w:hAnsi="Arial" w:cs="Arial"/>
          <w:sz w:val="22"/>
          <w:szCs w:val="22"/>
        </w:rPr>
        <w:t xml:space="preserve"> nu ökat i samma höga takt</w:t>
      </w:r>
      <w:r w:rsidR="00E50703" w:rsidRPr="00AA6040">
        <w:rPr>
          <w:rFonts w:ascii="Arial" w:hAnsi="Arial" w:cs="Arial"/>
          <w:sz w:val="22"/>
          <w:szCs w:val="22"/>
        </w:rPr>
        <w:t xml:space="preserve"> två år i rad.</w:t>
      </w:r>
    </w:p>
    <w:p w:rsidR="00F93CB1" w:rsidRPr="009A025F" w:rsidRDefault="00F93CB1" w:rsidP="00C02B75">
      <w:pPr>
        <w:rPr>
          <w:rFonts w:ascii="Arial" w:hAnsi="Arial" w:cs="Arial"/>
          <w:sz w:val="22"/>
          <w:szCs w:val="22"/>
        </w:rPr>
      </w:pPr>
    </w:p>
    <w:p w:rsidR="00C02B75" w:rsidRPr="009A025F" w:rsidRDefault="00F34B14" w:rsidP="009A02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Konjunkturläget är</w:t>
      </w:r>
      <w:r w:rsidR="00F93CB1" w:rsidRPr="009A025F">
        <w:rPr>
          <w:rFonts w:ascii="Arial" w:hAnsi="Arial" w:cs="Arial"/>
          <w:sz w:val="22"/>
          <w:szCs w:val="22"/>
        </w:rPr>
        <w:t xml:space="preserve"> svårbedömt, eftersom vi ser både </w:t>
      </w:r>
      <w:r w:rsidR="007B14E0" w:rsidRPr="009A025F">
        <w:rPr>
          <w:rFonts w:ascii="Arial" w:hAnsi="Arial" w:cs="Arial"/>
          <w:sz w:val="22"/>
          <w:szCs w:val="22"/>
        </w:rPr>
        <w:t>positiva och negativa tecken i statistiken</w:t>
      </w:r>
      <w:r w:rsidR="00F93CB1" w:rsidRPr="009A025F">
        <w:rPr>
          <w:rFonts w:ascii="Arial" w:hAnsi="Arial" w:cs="Arial"/>
          <w:sz w:val="22"/>
          <w:szCs w:val="22"/>
        </w:rPr>
        <w:t xml:space="preserve">. </w:t>
      </w:r>
      <w:r w:rsidR="007B14E0" w:rsidRPr="009A025F">
        <w:rPr>
          <w:rFonts w:ascii="Arial" w:hAnsi="Arial" w:cs="Arial"/>
          <w:sz w:val="22"/>
          <w:szCs w:val="22"/>
        </w:rPr>
        <w:t xml:space="preserve">Storbritannien och Sverige står </w:t>
      </w:r>
      <w:r w:rsidR="009676A8">
        <w:rPr>
          <w:rFonts w:ascii="Arial" w:hAnsi="Arial" w:cs="Arial"/>
          <w:sz w:val="22"/>
          <w:szCs w:val="22"/>
        </w:rPr>
        <w:t xml:space="preserve">överlägset </w:t>
      </w:r>
      <w:r w:rsidR="007B14E0" w:rsidRPr="009A025F">
        <w:rPr>
          <w:rFonts w:ascii="Arial" w:hAnsi="Arial" w:cs="Arial"/>
          <w:sz w:val="22"/>
          <w:szCs w:val="22"/>
        </w:rPr>
        <w:t>för de största</w:t>
      </w:r>
      <w:r w:rsidR="00967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konkurs</w:t>
      </w:r>
      <w:r w:rsidR="007B14E0" w:rsidRPr="009A025F">
        <w:rPr>
          <w:rFonts w:ascii="Arial" w:hAnsi="Arial" w:cs="Arial"/>
          <w:sz w:val="22"/>
          <w:szCs w:val="22"/>
        </w:rPr>
        <w:t xml:space="preserve">ökningarna, samtidigt som </w:t>
      </w:r>
      <w:r w:rsidR="00C602A8" w:rsidRPr="009A025F">
        <w:rPr>
          <w:rFonts w:ascii="Arial" w:hAnsi="Arial" w:cs="Arial"/>
          <w:sz w:val="22"/>
          <w:szCs w:val="22"/>
        </w:rPr>
        <w:t xml:space="preserve">antalet </w:t>
      </w:r>
      <w:r w:rsidR="007B14E0" w:rsidRPr="009A025F">
        <w:rPr>
          <w:rFonts w:ascii="Arial" w:hAnsi="Arial" w:cs="Arial"/>
          <w:sz w:val="22"/>
          <w:szCs w:val="22"/>
        </w:rPr>
        <w:t>konkurse</w:t>
      </w:r>
      <w:r w:rsidR="00C602A8" w:rsidRPr="009A025F">
        <w:rPr>
          <w:rFonts w:ascii="Arial" w:hAnsi="Arial" w:cs="Arial"/>
          <w:sz w:val="22"/>
          <w:szCs w:val="22"/>
        </w:rPr>
        <w:t>r</w:t>
      </w:r>
      <w:r w:rsidR="007B14E0" w:rsidRPr="009A025F">
        <w:rPr>
          <w:rFonts w:ascii="Arial" w:hAnsi="Arial" w:cs="Arial"/>
          <w:sz w:val="22"/>
          <w:szCs w:val="22"/>
        </w:rPr>
        <w:t xml:space="preserve"> faktiskt minskar i flera andra länder. </w:t>
      </w:r>
      <w:r w:rsidR="008C6B31" w:rsidRPr="009A025F">
        <w:rPr>
          <w:rFonts w:ascii="Arial" w:hAnsi="Arial" w:cs="Arial"/>
          <w:sz w:val="22"/>
          <w:szCs w:val="22"/>
        </w:rPr>
        <w:t>Men a</w:t>
      </w:r>
      <w:r w:rsidR="00C602A8" w:rsidRPr="009A025F">
        <w:rPr>
          <w:rFonts w:ascii="Arial" w:hAnsi="Arial" w:cs="Arial"/>
          <w:sz w:val="22"/>
          <w:szCs w:val="22"/>
        </w:rPr>
        <w:t xml:space="preserve">tt </w:t>
      </w:r>
      <w:r w:rsidR="00281D11" w:rsidRPr="009A025F">
        <w:rPr>
          <w:rFonts w:ascii="Arial" w:hAnsi="Arial" w:cs="Arial"/>
          <w:sz w:val="22"/>
          <w:szCs w:val="22"/>
        </w:rPr>
        <w:t xml:space="preserve">utvecklingen skiljer sig mellan länder är inte unikt för </w:t>
      </w:r>
      <w:r w:rsidR="00406E51">
        <w:rPr>
          <w:rFonts w:ascii="Arial" w:hAnsi="Arial" w:cs="Arial"/>
          <w:sz w:val="22"/>
          <w:szCs w:val="22"/>
        </w:rPr>
        <w:t>2013</w:t>
      </w:r>
      <w:r w:rsidR="00281D11" w:rsidRPr="009A025F">
        <w:rPr>
          <w:rFonts w:ascii="Arial" w:hAnsi="Arial" w:cs="Arial"/>
          <w:sz w:val="22"/>
          <w:szCs w:val="22"/>
        </w:rPr>
        <w:t xml:space="preserve">. </w:t>
      </w:r>
      <w:r w:rsidR="00AD0EAA" w:rsidRPr="009A025F">
        <w:rPr>
          <w:rFonts w:ascii="Arial" w:hAnsi="Arial" w:cs="Arial"/>
          <w:sz w:val="22"/>
          <w:szCs w:val="22"/>
        </w:rPr>
        <w:t>Vår undersökning</w:t>
      </w:r>
      <w:r w:rsidR="00281D11" w:rsidRPr="009A025F">
        <w:rPr>
          <w:rFonts w:ascii="Arial" w:hAnsi="Arial" w:cs="Arial"/>
          <w:sz w:val="22"/>
          <w:szCs w:val="22"/>
        </w:rPr>
        <w:t xml:space="preserve"> </w:t>
      </w:r>
      <w:r w:rsidR="00335A45" w:rsidRPr="009A025F">
        <w:rPr>
          <w:rFonts w:ascii="Arial" w:hAnsi="Arial" w:cs="Arial"/>
          <w:sz w:val="22"/>
          <w:szCs w:val="22"/>
        </w:rPr>
        <w:t>omfattar konkursstatistik</w:t>
      </w:r>
      <w:r w:rsidR="00281D11" w:rsidRPr="009A025F">
        <w:rPr>
          <w:rFonts w:ascii="Arial" w:hAnsi="Arial" w:cs="Arial"/>
          <w:sz w:val="22"/>
          <w:szCs w:val="22"/>
        </w:rPr>
        <w:t xml:space="preserve"> f</w:t>
      </w:r>
      <w:r w:rsidR="00F93CB1" w:rsidRPr="009A025F">
        <w:rPr>
          <w:rFonts w:ascii="Arial" w:hAnsi="Arial" w:cs="Arial"/>
          <w:sz w:val="22"/>
          <w:szCs w:val="22"/>
        </w:rPr>
        <w:t>em år tillbaka i tiden</w:t>
      </w:r>
      <w:r>
        <w:rPr>
          <w:rFonts w:ascii="Arial" w:hAnsi="Arial" w:cs="Arial"/>
          <w:sz w:val="22"/>
          <w:szCs w:val="22"/>
        </w:rPr>
        <w:t xml:space="preserve"> och i</w:t>
      </w:r>
      <w:r w:rsidR="00F93CB1" w:rsidRPr="009A025F">
        <w:rPr>
          <w:rFonts w:ascii="Arial" w:hAnsi="Arial" w:cs="Arial"/>
          <w:sz w:val="22"/>
          <w:szCs w:val="22"/>
        </w:rPr>
        <w:t xml:space="preserve">nte heller tidigare har vi sett någon </w:t>
      </w:r>
      <w:r w:rsidR="00281D11" w:rsidRPr="009A025F">
        <w:rPr>
          <w:rFonts w:ascii="Arial" w:hAnsi="Arial" w:cs="Arial"/>
          <w:sz w:val="22"/>
          <w:szCs w:val="22"/>
        </w:rPr>
        <w:t xml:space="preserve">enhetlig </w:t>
      </w:r>
      <w:r w:rsidR="00F93CB1" w:rsidRPr="009A025F">
        <w:rPr>
          <w:rFonts w:ascii="Arial" w:hAnsi="Arial" w:cs="Arial"/>
          <w:sz w:val="22"/>
          <w:szCs w:val="22"/>
        </w:rPr>
        <w:t>trend för samtliga</w:t>
      </w:r>
      <w:r w:rsidR="00281D11" w:rsidRPr="009A025F">
        <w:rPr>
          <w:rFonts w:ascii="Arial" w:hAnsi="Arial" w:cs="Arial"/>
          <w:sz w:val="22"/>
          <w:szCs w:val="22"/>
        </w:rPr>
        <w:t xml:space="preserve"> länder, </w:t>
      </w:r>
      <w:r w:rsidR="001A5DC6" w:rsidRPr="009A025F">
        <w:rPr>
          <w:rFonts w:ascii="Arial" w:hAnsi="Arial" w:cs="Arial"/>
          <w:sz w:val="22"/>
          <w:szCs w:val="22"/>
        </w:rPr>
        <w:t xml:space="preserve">säger Krister Jonsson, Sverigechef på Creditsafe. </w:t>
      </w:r>
      <w:r w:rsidR="00C02B75" w:rsidRPr="009A025F">
        <w:rPr>
          <w:rFonts w:ascii="Arial" w:hAnsi="Arial" w:cs="Arial"/>
          <w:sz w:val="22"/>
          <w:szCs w:val="22"/>
        </w:rPr>
        <w:t xml:space="preserve"> </w:t>
      </w:r>
    </w:p>
    <w:p w:rsidR="00032C57" w:rsidRDefault="00C02B75" w:rsidP="00C02B75">
      <w:pPr>
        <w:rPr>
          <w:rFonts w:ascii="Arial" w:hAnsi="Arial" w:cs="Arial"/>
          <w:sz w:val="22"/>
          <w:szCs w:val="22"/>
        </w:rPr>
      </w:pPr>
      <w:r w:rsidRPr="00C02B75">
        <w:rPr>
          <w:rFonts w:ascii="Arial" w:hAnsi="Arial" w:cs="Arial"/>
          <w:sz w:val="22"/>
          <w:szCs w:val="22"/>
        </w:rPr>
        <w:t xml:space="preserve"> </w:t>
      </w:r>
      <w:r w:rsidR="00032C57" w:rsidRPr="00C02B75">
        <w:rPr>
          <w:rFonts w:ascii="Arial" w:hAnsi="Arial" w:cs="Arial"/>
          <w:sz w:val="22"/>
          <w:szCs w:val="22"/>
        </w:rPr>
        <w:t xml:space="preserve"> </w:t>
      </w:r>
    </w:p>
    <w:p w:rsidR="007B14E0" w:rsidRDefault="007B14E0" w:rsidP="00C02B75">
      <w:pPr>
        <w:rPr>
          <w:rFonts w:ascii="Arial" w:hAnsi="Arial" w:cs="Arial"/>
          <w:sz w:val="22"/>
          <w:szCs w:val="22"/>
        </w:rPr>
      </w:pPr>
      <w:r w:rsidRPr="007B14E0">
        <w:rPr>
          <w:rFonts w:ascii="Arial" w:hAnsi="Arial" w:cs="Arial"/>
          <w:b/>
          <w:sz w:val="22"/>
          <w:szCs w:val="22"/>
        </w:rPr>
        <w:t xml:space="preserve">Konkursutvecklingen bland de europeiska länderna </w:t>
      </w:r>
      <w:r>
        <w:rPr>
          <w:rFonts w:ascii="Arial" w:hAnsi="Arial" w:cs="Arial"/>
          <w:b/>
          <w:sz w:val="22"/>
          <w:szCs w:val="22"/>
        </w:rPr>
        <w:t xml:space="preserve">är </w:t>
      </w:r>
      <w:r w:rsidRPr="007B14E0">
        <w:rPr>
          <w:rFonts w:ascii="Arial" w:hAnsi="Arial" w:cs="Arial"/>
          <w:b/>
          <w:sz w:val="22"/>
          <w:szCs w:val="22"/>
        </w:rPr>
        <w:t>inte entydig</w:t>
      </w:r>
      <w:r w:rsidRPr="007B14E0">
        <w:rPr>
          <w:rFonts w:ascii="Arial" w:hAnsi="Arial" w:cs="Arial"/>
          <w:sz w:val="22"/>
          <w:szCs w:val="22"/>
        </w:rPr>
        <w:t xml:space="preserve"> </w:t>
      </w:r>
    </w:p>
    <w:p w:rsidR="00FD1D17" w:rsidRDefault="00AD0EAA" w:rsidP="00ED6B44">
      <w:pPr>
        <w:rPr>
          <w:rFonts w:ascii="Arial" w:hAnsi="Arial" w:cs="Arial"/>
          <w:sz w:val="22"/>
          <w:szCs w:val="22"/>
        </w:rPr>
      </w:pPr>
      <w:r w:rsidRPr="00A26AC0">
        <w:rPr>
          <w:rFonts w:ascii="Arial" w:hAnsi="Arial" w:cs="Arial"/>
          <w:sz w:val="22"/>
          <w:szCs w:val="22"/>
        </w:rPr>
        <w:t>Storbritannien st</w:t>
      </w:r>
      <w:r w:rsidR="00A26AC0" w:rsidRPr="00A26AC0">
        <w:rPr>
          <w:rFonts w:ascii="Arial" w:hAnsi="Arial" w:cs="Arial"/>
          <w:sz w:val="22"/>
          <w:szCs w:val="22"/>
        </w:rPr>
        <w:t>i</w:t>
      </w:r>
      <w:r w:rsidR="00A26AC0">
        <w:rPr>
          <w:rFonts w:ascii="Arial" w:hAnsi="Arial" w:cs="Arial"/>
          <w:sz w:val="22"/>
          <w:szCs w:val="22"/>
        </w:rPr>
        <w:t>cker ut negativt på flera sätt</w:t>
      </w:r>
      <w:r w:rsidR="009676A8">
        <w:rPr>
          <w:rFonts w:ascii="Arial" w:hAnsi="Arial" w:cs="Arial"/>
          <w:sz w:val="22"/>
          <w:szCs w:val="22"/>
        </w:rPr>
        <w:t>.</w:t>
      </w:r>
      <w:r w:rsidR="00A26AC0" w:rsidRPr="00A26AC0">
        <w:rPr>
          <w:rStyle w:val="hps"/>
          <w:rFonts w:ascii="Arial" w:hAnsi="Arial" w:cs="Arial"/>
          <w:sz w:val="22"/>
          <w:szCs w:val="22"/>
        </w:rPr>
        <w:t xml:space="preserve"> </w:t>
      </w:r>
      <w:r w:rsidRPr="00A26AC0">
        <w:rPr>
          <w:rFonts w:ascii="Arial" w:hAnsi="Arial" w:cs="Arial"/>
          <w:sz w:val="22"/>
          <w:szCs w:val="22"/>
        </w:rPr>
        <w:t>2011 ökade konkurserna med hela 177 procent vilket är den i särklass största ökninge</w:t>
      </w:r>
      <w:r>
        <w:rPr>
          <w:rFonts w:ascii="Arial" w:hAnsi="Arial" w:cs="Arial"/>
          <w:sz w:val="22"/>
          <w:szCs w:val="22"/>
        </w:rPr>
        <w:t>n</w:t>
      </w:r>
      <w:r w:rsidR="00103121">
        <w:rPr>
          <w:rFonts w:ascii="Arial" w:hAnsi="Arial" w:cs="Arial"/>
          <w:sz w:val="22"/>
          <w:szCs w:val="22"/>
        </w:rPr>
        <w:t xml:space="preserve"> i </w:t>
      </w:r>
      <w:r w:rsidR="00F93CB1">
        <w:rPr>
          <w:rFonts w:ascii="Arial" w:hAnsi="Arial" w:cs="Arial"/>
          <w:sz w:val="22"/>
          <w:szCs w:val="22"/>
        </w:rPr>
        <w:t xml:space="preserve">hela </w:t>
      </w:r>
      <w:r w:rsidR="00103121">
        <w:rPr>
          <w:rFonts w:ascii="Arial" w:hAnsi="Arial" w:cs="Arial"/>
          <w:sz w:val="22"/>
          <w:szCs w:val="22"/>
        </w:rPr>
        <w:t>undersökningen</w:t>
      </w:r>
      <w:r>
        <w:rPr>
          <w:rFonts w:ascii="Arial" w:hAnsi="Arial" w:cs="Arial"/>
          <w:sz w:val="22"/>
          <w:szCs w:val="22"/>
        </w:rPr>
        <w:t xml:space="preserve">. Anmärkningsvärt är också </w:t>
      </w:r>
      <w:r w:rsidR="00103121">
        <w:rPr>
          <w:rFonts w:ascii="Arial" w:hAnsi="Arial" w:cs="Arial"/>
          <w:sz w:val="22"/>
          <w:szCs w:val="22"/>
        </w:rPr>
        <w:t xml:space="preserve">att </w:t>
      </w:r>
      <w:r>
        <w:rPr>
          <w:rFonts w:ascii="Arial" w:hAnsi="Arial" w:cs="Arial"/>
          <w:sz w:val="22"/>
          <w:szCs w:val="22"/>
        </w:rPr>
        <w:t xml:space="preserve">landet för varje år </w:t>
      </w:r>
      <w:r w:rsidR="00203A52">
        <w:rPr>
          <w:rFonts w:ascii="Arial" w:hAnsi="Arial" w:cs="Arial"/>
          <w:sz w:val="22"/>
          <w:szCs w:val="22"/>
        </w:rPr>
        <w:t>sedan</w:t>
      </w:r>
      <w:r>
        <w:rPr>
          <w:rFonts w:ascii="Arial" w:hAnsi="Arial" w:cs="Arial"/>
          <w:sz w:val="22"/>
          <w:szCs w:val="22"/>
        </w:rPr>
        <w:t xml:space="preserve"> 2009 </w:t>
      </w:r>
      <w:r w:rsidR="00F93CB1">
        <w:rPr>
          <w:rFonts w:ascii="Arial" w:hAnsi="Arial" w:cs="Arial"/>
          <w:sz w:val="22"/>
          <w:szCs w:val="22"/>
        </w:rPr>
        <w:t xml:space="preserve">har </w:t>
      </w:r>
      <w:r>
        <w:rPr>
          <w:rFonts w:ascii="Arial" w:hAnsi="Arial" w:cs="Arial"/>
          <w:sz w:val="22"/>
          <w:szCs w:val="22"/>
        </w:rPr>
        <w:t>uppvisa</w:t>
      </w:r>
      <w:r w:rsidR="00F93CB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en ökning av antalet konkurser. Även i grannlandet Irla</w:t>
      </w:r>
      <w:r w:rsidR="001A38D2">
        <w:rPr>
          <w:rFonts w:ascii="Arial" w:hAnsi="Arial" w:cs="Arial"/>
          <w:sz w:val="22"/>
          <w:szCs w:val="22"/>
        </w:rPr>
        <w:t xml:space="preserve">nd har konkurserna ökat </w:t>
      </w:r>
      <w:r w:rsidR="009B615F">
        <w:rPr>
          <w:rFonts w:ascii="Arial" w:hAnsi="Arial" w:cs="Arial"/>
          <w:sz w:val="22"/>
          <w:szCs w:val="22"/>
        </w:rPr>
        <w:t xml:space="preserve">markant </w:t>
      </w:r>
      <w:r w:rsidR="00A26AC0">
        <w:rPr>
          <w:rFonts w:ascii="Arial" w:hAnsi="Arial" w:cs="Arial"/>
          <w:sz w:val="22"/>
          <w:szCs w:val="22"/>
        </w:rPr>
        <w:t xml:space="preserve">för </w:t>
      </w:r>
      <w:r w:rsidR="00F93CB1">
        <w:rPr>
          <w:rFonts w:ascii="Arial" w:hAnsi="Arial" w:cs="Arial"/>
          <w:sz w:val="22"/>
          <w:szCs w:val="22"/>
        </w:rPr>
        <w:t xml:space="preserve">varje år. </w:t>
      </w:r>
    </w:p>
    <w:p w:rsidR="00E901EB" w:rsidRDefault="00F93CB1" w:rsidP="00ED6B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A025F">
        <w:rPr>
          <w:rFonts w:ascii="Arial" w:hAnsi="Arial" w:cs="Arial"/>
          <w:sz w:val="22"/>
          <w:szCs w:val="22"/>
        </w:rPr>
        <w:t>Tyskland uppvisar en ökning på 2</w:t>
      </w:r>
      <w:r>
        <w:rPr>
          <w:rFonts w:ascii="Arial" w:hAnsi="Arial" w:cs="Arial"/>
          <w:sz w:val="22"/>
          <w:szCs w:val="22"/>
        </w:rPr>
        <w:t xml:space="preserve"> procent jämfört med samma period året innan. </w:t>
      </w:r>
      <w:r w:rsidR="008F780F">
        <w:rPr>
          <w:rFonts w:ascii="Arial" w:hAnsi="Arial" w:cs="Arial"/>
          <w:sz w:val="22"/>
          <w:szCs w:val="22"/>
        </w:rPr>
        <w:t xml:space="preserve">Nederländerna, </w:t>
      </w:r>
      <w:r w:rsidR="00AD0EAA">
        <w:rPr>
          <w:rFonts w:ascii="Arial" w:hAnsi="Arial" w:cs="Arial"/>
          <w:sz w:val="22"/>
          <w:szCs w:val="22"/>
        </w:rPr>
        <w:t xml:space="preserve">Frankrike och </w:t>
      </w:r>
      <w:r w:rsidR="008F780F">
        <w:rPr>
          <w:rFonts w:ascii="Arial" w:hAnsi="Arial" w:cs="Arial"/>
          <w:sz w:val="22"/>
          <w:szCs w:val="22"/>
        </w:rPr>
        <w:t>Belgien tillhör de l</w:t>
      </w:r>
      <w:r w:rsidR="00203A52">
        <w:rPr>
          <w:rFonts w:ascii="Arial" w:hAnsi="Arial" w:cs="Arial"/>
          <w:sz w:val="22"/>
          <w:szCs w:val="22"/>
        </w:rPr>
        <w:t>änder där konkurserna minskade</w:t>
      </w:r>
      <w:r w:rsidR="008F780F">
        <w:rPr>
          <w:rFonts w:ascii="Arial" w:hAnsi="Arial" w:cs="Arial"/>
          <w:sz w:val="22"/>
          <w:szCs w:val="22"/>
        </w:rPr>
        <w:t>. Störst minskning, 22 procent, hade Nederländerna.</w:t>
      </w:r>
      <w:r w:rsidR="00281D11">
        <w:rPr>
          <w:rFonts w:ascii="Arial" w:hAnsi="Arial" w:cs="Arial"/>
          <w:sz w:val="22"/>
          <w:szCs w:val="22"/>
        </w:rPr>
        <w:t xml:space="preserve"> </w:t>
      </w:r>
    </w:p>
    <w:p w:rsidR="00B93D83" w:rsidRDefault="00C602A8" w:rsidP="00B9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93CB1">
        <w:rPr>
          <w:rFonts w:ascii="Arial" w:hAnsi="Arial" w:cs="Arial"/>
          <w:sz w:val="22"/>
          <w:szCs w:val="22"/>
        </w:rPr>
        <w:t xml:space="preserve">Det mest </w:t>
      </w:r>
      <w:r w:rsidR="00D761E3">
        <w:rPr>
          <w:rFonts w:ascii="Arial" w:hAnsi="Arial" w:cs="Arial"/>
          <w:sz w:val="22"/>
          <w:szCs w:val="22"/>
        </w:rPr>
        <w:t>framträdande</w:t>
      </w:r>
      <w:r w:rsidR="00F93CB1">
        <w:rPr>
          <w:rFonts w:ascii="Arial" w:hAnsi="Arial" w:cs="Arial"/>
          <w:sz w:val="22"/>
          <w:szCs w:val="22"/>
        </w:rPr>
        <w:t xml:space="preserve"> nedgången finns i </w:t>
      </w:r>
      <w:r w:rsidR="00015D02">
        <w:rPr>
          <w:rFonts w:ascii="Arial" w:hAnsi="Arial" w:cs="Arial"/>
          <w:sz w:val="22"/>
          <w:szCs w:val="22"/>
        </w:rPr>
        <w:t>Frankrike</w:t>
      </w:r>
      <w:r w:rsidR="00F93CB1">
        <w:rPr>
          <w:rFonts w:ascii="Arial" w:hAnsi="Arial" w:cs="Arial"/>
          <w:sz w:val="22"/>
          <w:szCs w:val="22"/>
        </w:rPr>
        <w:t xml:space="preserve">, där </w:t>
      </w:r>
      <w:r w:rsidR="00015D02">
        <w:rPr>
          <w:rFonts w:ascii="Arial" w:hAnsi="Arial" w:cs="Arial"/>
          <w:sz w:val="22"/>
          <w:szCs w:val="22"/>
        </w:rPr>
        <w:t>konkur</w:t>
      </w:r>
      <w:r w:rsidR="00E9357D">
        <w:rPr>
          <w:rFonts w:ascii="Arial" w:hAnsi="Arial" w:cs="Arial"/>
          <w:sz w:val="22"/>
          <w:szCs w:val="22"/>
        </w:rPr>
        <w:t xml:space="preserve">serna </w:t>
      </w:r>
      <w:r w:rsidR="00F93CB1">
        <w:rPr>
          <w:rFonts w:ascii="Arial" w:hAnsi="Arial" w:cs="Arial"/>
          <w:sz w:val="22"/>
          <w:szCs w:val="22"/>
        </w:rPr>
        <w:t xml:space="preserve">har </w:t>
      </w:r>
      <w:r w:rsidR="00E9357D">
        <w:rPr>
          <w:rFonts w:ascii="Arial" w:hAnsi="Arial" w:cs="Arial"/>
          <w:sz w:val="22"/>
          <w:szCs w:val="22"/>
        </w:rPr>
        <w:t>minskat under tre år i följd</w:t>
      </w:r>
      <w:r w:rsidR="00015D02">
        <w:rPr>
          <w:rFonts w:ascii="Arial" w:hAnsi="Arial" w:cs="Arial"/>
          <w:sz w:val="22"/>
          <w:szCs w:val="22"/>
        </w:rPr>
        <w:t>.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015D02">
        <w:rPr>
          <w:rFonts w:ascii="Arial" w:hAnsi="Arial" w:cs="Arial"/>
          <w:sz w:val="22"/>
          <w:szCs w:val="22"/>
        </w:rPr>
        <w:t>En trend som går att urskilja är att Nederländerna och Belgien</w:t>
      </w:r>
      <w:r w:rsidR="00E9357D">
        <w:rPr>
          <w:rFonts w:ascii="Arial" w:hAnsi="Arial" w:cs="Arial"/>
          <w:sz w:val="22"/>
          <w:szCs w:val="22"/>
        </w:rPr>
        <w:t>,</w:t>
      </w:r>
      <w:r w:rsidR="00FD1D17">
        <w:rPr>
          <w:rFonts w:ascii="Arial" w:hAnsi="Arial" w:cs="Arial"/>
          <w:sz w:val="22"/>
          <w:szCs w:val="22"/>
        </w:rPr>
        <w:t xml:space="preserve"> från att ha uppvisat </w:t>
      </w:r>
      <w:r w:rsidR="00015D02">
        <w:rPr>
          <w:rFonts w:ascii="Arial" w:hAnsi="Arial" w:cs="Arial"/>
          <w:sz w:val="22"/>
          <w:szCs w:val="22"/>
        </w:rPr>
        <w:t>ökning</w:t>
      </w:r>
      <w:r w:rsidR="00FD1D17">
        <w:rPr>
          <w:rFonts w:ascii="Arial" w:hAnsi="Arial" w:cs="Arial"/>
          <w:sz w:val="22"/>
          <w:szCs w:val="22"/>
        </w:rPr>
        <w:t>ar</w:t>
      </w:r>
      <w:r w:rsidR="00015D02">
        <w:rPr>
          <w:rFonts w:ascii="Arial" w:hAnsi="Arial" w:cs="Arial"/>
          <w:sz w:val="22"/>
          <w:szCs w:val="22"/>
        </w:rPr>
        <w:t xml:space="preserve"> under tr</w:t>
      </w:r>
      <w:r w:rsidR="00F93CB1">
        <w:rPr>
          <w:rFonts w:ascii="Arial" w:hAnsi="Arial" w:cs="Arial"/>
          <w:sz w:val="22"/>
          <w:szCs w:val="22"/>
        </w:rPr>
        <w:t>e år</w:t>
      </w:r>
      <w:r w:rsidR="00E9357D">
        <w:rPr>
          <w:rFonts w:ascii="Arial" w:hAnsi="Arial" w:cs="Arial"/>
          <w:sz w:val="22"/>
          <w:szCs w:val="22"/>
        </w:rPr>
        <w:t>,</w:t>
      </w:r>
      <w:r w:rsidR="00CB4107">
        <w:rPr>
          <w:rFonts w:ascii="Arial" w:hAnsi="Arial" w:cs="Arial"/>
          <w:sz w:val="22"/>
          <w:szCs w:val="22"/>
        </w:rPr>
        <w:t xml:space="preserve"> nu </w:t>
      </w:r>
      <w:r w:rsidR="00F93CB1">
        <w:rPr>
          <w:rFonts w:ascii="Arial" w:hAnsi="Arial" w:cs="Arial"/>
          <w:sz w:val="22"/>
          <w:szCs w:val="22"/>
        </w:rPr>
        <w:t xml:space="preserve">har vänt och </w:t>
      </w:r>
      <w:r w:rsidR="00CB4107">
        <w:rPr>
          <w:rFonts w:ascii="Arial" w:hAnsi="Arial" w:cs="Arial"/>
          <w:sz w:val="22"/>
          <w:szCs w:val="22"/>
        </w:rPr>
        <w:t xml:space="preserve">visar </w:t>
      </w:r>
      <w:r w:rsidR="00FD1D17">
        <w:rPr>
          <w:rFonts w:ascii="Arial" w:hAnsi="Arial" w:cs="Arial"/>
          <w:sz w:val="22"/>
          <w:szCs w:val="22"/>
        </w:rPr>
        <w:t>konkurs</w:t>
      </w:r>
      <w:r w:rsidR="00CB4107">
        <w:rPr>
          <w:rFonts w:ascii="Arial" w:hAnsi="Arial" w:cs="Arial"/>
          <w:sz w:val="22"/>
          <w:szCs w:val="22"/>
        </w:rPr>
        <w:t>minskning</w:t>
      </w:r>
      <w:r w:rsidR="00FD1D17">
        <w:rPr>
          <w:rFonts w:ascii="Arial" w:hAnsi="Arial" w:cs="Arial"/>
          <w:sz w:val="22"/>
          <w:szCs w:val="22"/>
        </w:rPr>
        <w:t>ar</w:t>
      </w:r>
      <w:r w:rsidR="00CB4107">
        <w:rPr>
          <w:rFonts w:ascii="Arial" w:hAnsi="Arial" w:cs="Arial"/>
          <w:sz w:val="22"/>
          <w:szCs w:val="22"/>
        </w:rPr>
        <w:t xml:space="preserve">. </w:t>
      </w:r>
      <w:r w:rsidR="00B93D83">
        <w:rPr>
          <w:rFonts w:ascii="Arial" w:hAnsi="Arial" w:cs="Arial"/>
          <w:sz w:val="22"/>
          <w:szCs w:val="22"/>
        </w:rPr>
        <w:t xml:space="preserve">Sett över tid är Tyskland det land med minst variationer i konkursutvecklingen.   </w:t>
      </w:r>
    </w:p>
    <w:p w:rsidR="002A1442" w:rsidRDefault="002A1442" w:rsidP="002A1442"/>
    <w:p w:rsidR="00094255" w:rsidRPr="009676A8" w:rsidRDefault="00D62856" w:rsidP="00ED6B44">
      <w:pPr>
        <w:rPr>
          <w:rFonts w:ascii="Arial" w:hAnsi="Arial" w:cs="Arial"/>
          <w:b/>
          <w:noProof/>
          <w:sz w:val="22"/>
          <w:szCs w:val="22"/>
        </w:rPr>
      </w:pPr>
      <w:r w:rsidRPr="00114333">
        <w:rPr>
          <w:rFonts w:ascii="Arial" w:eastAsia="Times New Roman" w:hAnsi="Arial" w:cs="Arial"/>
          <w:b/>
          <w:sz w:val="22"/>
          <w:szCs w:val="22"/>
        </w:rPr>
        <w:t xml:space="preserve">För statistik </w:t>
      </w:r>
      <w:r>
        <w:rPr>
          <w:rFonts w:ascii="Arial" w:eastAsia="Times New Roman" w:hAnsi="Arial" w:cs="Arial"/>
          <w:b/>
          <w:sz w:val="22"/>
          <w:szCs w:val="22"/>
        </w:rPr>
        <w:t xml:space="preserve">över </w:t>
      </w:r>
      <w:r w:rsidR="00ED6B44">
        <w:rPr>
          <w:rFonts w:ascii="Arial" w:eastAsia="Times New Roman" w:hAnsi="Arial" w:cs="Arial"/>
          <w:b/>
          <w:sz w:val="22"/>
          <w:szCs w:val="22"/>
        </w:rPr>
        <w:t>konkurs</w:t>
      </w:r>
      <w:r w:rsidR="00A26AC0">
        <w:rPr>
          <w:rFonts w:ascii="Arial" w:eastAsia="Times New Roman" w:hAnsi="Arial" w:cs="Arial"/>
          <w:b/>
          <w:sz w:val="22"/>
          <w:szCs w:val="22"/>
        </w:rPr>
        <w:t>utvecklingen i Europa</w:t>
      </w:r>
      <w:r w:rsidR="007B0D52">
        <w:rPr>
          <w:rFonts w:ascii="Arial" w:eastAsia="Times New Roman" w:hAnsi="Arial" w:cs="Arial"/>
          <w:sz w:val="22"/>
          <w:szCs w:val="22"/>
        </w:rPr>
        <w:t>, se bifogad</w:t>
      </w:r>
      <w:r w:rsidRPr="00114333">
        <w:rPr>
          <w:rFonts w:ascii="Arial" w:eastAsia="Times New Roman" w:hAnsi="Arial" w:cs="Arial"/>
          <w:sz w:val="22"/>
          <w:szCs w:val="22"/>
        </w:rPr>
        <w:t xml:space="preserve"> fil som omfattar:</w:t>
      </w:r>
      <w:r w:rsidR="00C602A8">
        <w:rPr>
          <w:rFonts w:ascii="Arial" w:eastAsia="Times New Roman" w:hAnsi="Arial" w:cs="Arial"/>
          <w:sz w:val="22"/>
          <w:szCs w:val="22"/>
        </w:rPr>
        <w:br/>
      </w:r>
      <w:r w:rsidR="00A26AC0" w:rsidRPr="009676A8">
        <w:rPr>
          <w:rFonts w:ascii="Arial" w:eastAsia="Times New Roman" w:hAnsi="Arial" w:cs="Arial"/>
          <w:sz w:val="22"/>
          <w:szCs w:val="22"/>
        </w:rPr>
        <w:t xml:space="preserve">- </w:t>
      </w:r>
      <w:r w:rsidR="009676A8" w:rsidRPr="009676A8">
        <w:rPr>
          <w:rFonts w:ascii="Arial" w:hAnsi="Arial" w:cs="Arial"/>
          <w:bCs/>
          <w:noProof/>
          <w:sz w:val="22"/>
          <w:szCs w:val="22"/>
        </w:rPr>
        <w:t>Procentuell förändring av k</w:t>
      </w:r>
      <w:r w:rsidR="006D7388">
        <w:rPr>
          <w:rFonts w:ascii="Arial" w:hAnsi="Arial" w:cs="Arial"/>
          <w:bCs/>
          <w:noProof/>
          <w:sz w:val="22"/>
          <w:szCs w:val="22"/>
        </w:rPr>
        <w:t>onkurser under första halvåret</w:t>
      </w:r>
      <w:bookmarkStart w:id="0" w:name="_GoBack"/>
      <w:bookmarkEnd w:id="0"/>
      <w:r w:rsidR="009676A8" w:rsidRPr="009676A8">
        <w:rPr>
          <w:rFonts w:ascii="Arial" w:hAnsi="Arial" w:cs="Arial"/>
          <w:bCs/>
          <w:noProof/>
          <w:sz w:val="22"/>
          <w:szCs w:val="22"/>
        </w:rPr>
        <w:t xml:space="preserve"> 2013 jämfört med 2012</w:t>
      </w:r>
      <w:r w:rsidR="00A26AC0" w:rsidRPr="009676A8">
        <w:rPr>
          <w:rFonts w:ascii="Arial" w:eastAsia="Times New Roman" w:hAnsi="Arial" w:cs="Arial"/>
          <w:sz w:val="22"/>
          <w:szCs w:val="22"/>
        </w:rPr>
        <w:br/>
      </w:r>
      <w:r w:rsidRPr="009676A8">
        <w:rPr>
          <w:rFonts w:ascii="Arial" w:eastAsia="Times New Roman" w:hAnsi="Arial" w:cs="Arial"/>
          <w:sz w:val="22"/>
          <w:szCs w:val="22"/>
        </w:rPr>
        <w:t xml:space="preserve">- </w:t>
      </w:r>
      <w:r w:rsidR="00EF5F08" w:rsidRPr="009676A8">
        <w:rPr>
          <w:rFonts w:ascii="Arial" w:eastAsia="Times New Roman" w:hAnsi="Arial" w:cs="Arial"/>
          <w:sz w:val="22"/>
          <w:szCs w:val="22"/>
        </w:rPr>
        <w:t xml:space="preserve">Utvecklingen av konkurser i </w:t>
      </w:r>
      <w:r w:rsidR="00A2707F" w:rsidRPr="009676A8">
        <w:rPr>
          <w:rFonts w:ascii="Arial" w:eastAsia="Times New Roman" w:hAnsi="Arial" w:cs="Arial"/>
          <w:sz w:val="22"/>
          <w:szCs w:val="22"/>
        </w:rPr>
        <w:t>Storbritannien, Sverige, Tyskland, Frankrike, Nederländerna, Belgien, Irl</w:t>
      </w:r>
      <w:r w:rsidR="00A2707F">
        <w:rPr>
          <w:rFonts w:ascii="Arial" w:eastAsia="Times New Roman" w:hAnsi="Arial" w:cs="Arial"/>
          <w:sz w:val="22"/>
          <w:szCs w:val="22"/>
        </w:rPr>
        <w:t>and under första halvåret</w:t>
      </w:r>
      <w:r w:rsidR="00EF5F08">
        <w:rPr>
          <w:rFonts w:ascii="Arial" w:eastAsia="Times New Roman" w:hAnsi="Arial" w:cs="Arial"/>
          <w:sz w:val="22"/>
          <w:szCs w:val="22"/>
        </w:rPr>
        <w:t xml:space="preserve"> åren 2010-2013 </w:t>
      </w:r>
      <w:r>
        <w:rPr>
          <w:rFonts w:ascii="Arial" w:eastAsia="Times New Roman" w:hAnsi="Arial" w:cs="Arial"/>
          <w:sz w:val="22"/>
          <w:szCs w:val="22"/>
        </w:rPr>
        <w:br/>
      </w:r>
    </w:p>
    <w:p w:rsidR="00D62856" w:rsidRPr="00094255" w:rsidRDefault="006D7388" w:rsidP="00D628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676A8">
        <w:rPr>
          <w:rFonts w:ascii="Arial" w:hAnsi="Arial" w:cs="Arial"/>
          <w:b/>
          <w:bCs/>
          <w:sz w:val="20"/>
          <w:szCs w:val="20"/>
        </w:rPr>
        <w:t>För mer information:</w:t>
      </w:r>
      <w:r w:rsidR="00D62856" w:rsidRPr="00094255">
        <w:rPr>
          <w:rFonts w:ascii="Arial" w:hAnsi="Arial" w:cs="Arial"/>
          <w:b/>
          <w:bCs/>
          <w:sz w:val="20"/>
          <w:szCs w:val="20"/>
        </w:rPr>
        <w:br/>
      </w:r>
    </w:p>
    <w:p w:rsidR="00D62856" w:rsidRPr="00094255" w:rsidRDefault="00D62856" w:rsidP="00D62856">
      <w:pPr>
        <w:rPr>
          <w:rFonts w:ascii="Arial" w:hAnsi="Arial" w:cs="Arial"/>
          <w:bCs/>
          <w:sz w:val="20"/>
          <w:szCs w:val="20"/>
        </w:rPr>
      </w:pPr>
      <w:r w:rsidRPr="006D7388">
        <w:rPr>
          <w:rFonts w:ascii="Arial" w:hAnsi="Arial" w:cs="Arial"/>
          <w:b/>
          <w:bCs/>
          <w:sz w:val="20"/>
          <w:szCs w:val="20"/>
        </w:rPr>
        <w:t>Krister Jonsson</w:t>
      </w:r>
      <w:r w:rsidRPr="00094255">
        <w:rPr>
          <w:rFonts w:ascii="Arial" w:hAnsi="Arial" w:cs="Arial"/>
          <w:bCs/>
          <w:sz w:val="20"/>
          <w:szCs w:val="20"/>
        </w:rPr>
        <w:t>, Sverigechef Creditsafe</w:t>
      </w:r>
      <w:r w:rsidRPr="00094255">
        <w:rPr>
          <w:rFonts w:ascii="Arial" w:hAnsi="Arial" w:cs="Arial"/>
          <w:bCs/>
          <w:sz w:val="20"/>
          <w:szCs w:val="20"/>
        </w:rPr>
        <w:br/>
        <w:t xml:space="preserve">Telefon 031-725 50 33 eller via e-post </w:t>
      </w:r>
      <w:hyperlink r:id="rId9" w:history="1">
        <w:r w:rsidRPr="00094255">
          <w:rPr>
            <w:rStyle w:val="Hyperlnk"/>
            <w:rFonts w:ascii="Arial" w:hAnsi="Arial" w:cs="Arial"/>
            <w:bCs/>
            <w:sz w:val="20"/>
            <w:szCs w:val="20"/>
          </w:rPr>
          <w:t>krister.jonsson@creditsafe.se</w:t>
        </w:r>
      </w:hyperlink>
      <w:r w:rsidR="00AC71FF">
        <w:rPr>
          <w:sz w:val="20"/>
          <w:szCs w:val="20"/>
        </w:rPr>
        <w:br/>
      </w:r>
    </w:p>
    <w:p w:rsidR="00D62856" w:rsidRDefault="00D62856" w:rsidP="00D62856">
      <w:pPr>
        <w:rPr>
          <w:rStyle w:val="Hyperlnk"/>
          <w:rFonts w:ascii="Arial" w:hAnsi="Arial" w:cs="Arial"/>
          <w:bCs/>
          <w:sz w:val="20"/>
          <w:szCs w:val="20"/>
        </w:rPr>
      </w:pPr>
      <w:r w:rsidRPr="006D7388">
        <w:rPr>
          <w:rFonts w:ascii="Arial" w:hAnsi="Arial" w:cs="Arial"/>
          <w:b/>
          <w:bCs/>
          <w:sz w:val="20"/>
          <w:szCs w:val="20"/>
        </w:rPr>
        <w:t>Sandra Andersson</w:t>
      </w:r>
      <w:r w:rsidRPr="00094255">
        <w:rPr>
          <w:rFonts w:ascii="Arial" w:hAnsi="Arial" w:cs="Arial"/>
          <w:bCs/>
          <w:sz w:val="20"/>
          <w:szCs w:val="20"/>
        </w:rPr>
        <w:t>, Marknads</w:t>
      </w:r>
      <w:r w:rsidR="009676A8">
        <w:rPr>
          <w:rFonts w:ascii="Arial" w:hAnsi="Arial" w:cs="Arial"/>
          <w:bCs/>
          <w:sz w:val="20"/>
          <w:szCs w:val="20"/>
        </w:rPr>
        <w:t>ansvarig</w:t>
      </w:r>
      <w:r w:rsidRPr="00094255">
        <w:rPr>
          <w:rFonts w:ascii="Arial" w:hAnsi="Arial" w:cs="Arial"/>
          <w:bCs/>
          <w:sz w:val="20"/>
          <w:szCs w:val="20"/>
        </w:rPr>
        <w:t xml:space="preserve"> Creditsafe</w:t>
      </w:r>
      <w:r w:rsidRPr="00094255">
        <w:rPr>
          <w:rFonts w:ascii="Arial" w:hAnsi="Arial" w:cs="Arial"/>
          <w:bCs/>
          <w:sz w:val="20"/>
          <w:szCs w:val="20"/>
        </w:rPr>
        <w:br/>
        <w:t xml:space="preserve">Telefon 031-725 50 47 eller via e-post </w:t>
      </w:r>
      <w:hyperlink r:id="rId10" w:history="1">
        <w:r w:rsidRPr="00094255">
          <w:rPr>
            <w:rStyle w:val="Hyperlnk"/>
            <w:rFonts w:ascii="Arial" w:hAnsi="Arial" w:cs="Arial"/>
            <w:bCs/>
            <w:sz w:val="20"/>
            <w:szCs w:val="20"/>
          </w:rPr>
          <w:t>sandra.andersson@creditsafe.se</w:t>
        </w:r>
      </w:hyperlink>
      <w:r w:rsidR="006D7388">
        <w:rPr>
          <w:rStyle w:val="Hyperlnk"/>
          <w:rFonts w:ascii="Arial" w:hAnsi="Arial" w:cs="Arial"/>
          <w:bCs/>
          <w:sz w:val="20"/>
          <w:szCs w:val="20"/>
        </w:rPr>
        <w:br/>
      </w:r>
    </w:p>
    <w:p w:rsidR="006D7388" w:rsidRDefault="006D7388" w:rsidP="006D7388">
      <w:pPr>
        <w:rPr>
          <w:rFonts w:ascii="Arial" w:hAnsi="Arial" w:cs="Arial"/>
          <w:noProof/>
          <w:sz w:val="22"/>
          <w:szCs w:val="22"/>
        </w:rPr>
      </w:pPr>
    </w:p>
    <w:p w:rsidR="006D7388" w:rsidRDefault="006D7388" w:rsidP="006D7388">
      <w:pPr>
        <w:rPr>
          <w:rFonts w:ascii="Arial" w:hAnsi="Arial" w:cs="Arial"/>
          <w:b/>
          <w:bCs/>
          <w:noProof/>
          <w:sz w:val="32"/>
          <w:szCs w:val="36"/>
        </w:rPr>
      </w:pPr>
      <w:r>
        <w:rPr>
          <w:rFonts w:ascii="Arial" w:hAnsi="Arial" w:cs="Arial"/>
          <w:b/>
          <w:bCs/>
          <w:noProof/>
          <w:sz w:val="32"/>
          <w:szCs w:val="36"/>
        </w:rPr>
        <w:lastRenderedPageBreak/>
        <w:t>Procentuell förändring av konkurser under första</w:t>
      </w:r>
      <w:r>
        <w:rPr>
          <w:rFonts w:ascii="Arial" w:hAnsi="Arial" w:cs="Arial"/>
          <w:b/>
          <w:bCs/>
          <w:noProof/>
          <w:sz w:val="32"/>
          <w:szCs w:val="36"/>
        </w:rPr>
        <w:br/>
        <w:t>halvåret 2013 jämfört med 2012</w:t>
      </w:r>
    </w:p>
    <w:p w:rsidR="006D7388" w:rsidRDefault="006D7388" w:rsidP="006D7388">
      <w:pPr>
        <w:rPr>
          <w:rFonts w:ascii="Arial" w:hAnsi="Arial" w:cs="Arial"/>
          <w:noProof/>
          <w:szCs w:val="22"/>
        </w:rPr>
      </w:pPr>
    </w:p>
    <w:p w:rsidR="006D7388" w:rsidRDefault="006D7388" w:rsidP="006D738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2465" cy="3061970"/>
            <wp:effectExtent l="0" t="0" r="19685" b="24130"/>
            <wp:docPr id="27" name="Diagram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7388" w:rsidRDefault="006D7388" w:rsidP="006D7388">
      <w:pPr>
        <w:rPr>
          <w:rFonts w:ascii="Arial" w:hAnsi="Arial" w:cs="Arial"/>
          <w:noProof/>
          <w:sz w:val="22"/>
          <w:szCs w:val="22"/>
        </w:rPr>
      </w:pPr>
    </w:p>
    <w:p w:rsidR="006D7388" w:rsidRDefault="006D7388" w:rsidP="006D7388">
      <w:r>
        <w:rPr>
          <w:i/>
          <w:iCs/>
          <w:sz w:val="20"/>
          <w:szCs w:val="20"/>
        </w:rPr>
        <w:t xml:space="preserve">Diagrammet visar konkursutvecklingen uttryckt som årlig procentuell förändring jämfört med föregående år. Statistiken för varje år omfattar januari-juni. </w:t>
      </w:r>
      <w:r>
        <w:rPr>
          <w:i/>
          <w:iCs/>
          <w:sz w:val="20"/>
          <w:szCs w:val="20"/>
        </w:rPr>
        <w:br/>
      </w:r>
    </w:p>
    <w:p w:rsidR="006D7388" w:rsidRDefault="006D7388" w:rsidP="006D7388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D7388" w:rsidRDefault="006D7388" w:rsidP="006D7388">
      <w:pPr>
        <w:spacing w:line="276" w:lineRule="auto"/>
        <w:rPr>
          <w:rFonts w:ascii="Arial" w:hAnsi="Arial" w:cs="Arial"/>
          <w:i/>
          <w:noProof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6"/>
        </w:rPr>
        <w:t xml:space="preserve">Konkursutveckling i </w:t>
      </w:r>
      <w:r>
        <w:rPr>
          <w:rFonts w:ascii="Arial" w:eastAsia="Times New Roman" w:hAnsi="Arial" w:cs="Arial"/>
          <w:b/>
          <w:sz w:val="32"/>
          <w:szCs w:val="36"/>
        </w:rPr>
        <w:t xml:space="preserve">Sverige, Tyskland, Frankrike, Storbritannien, Irland, Nederländerna och Belgien </w:t>
      </w:r>
      <w:r>
        <w:rPr>
          <w:rFonts w:ascii="Arial" w:eastAsia="Times New Roman" w:hAnsi="Arial" w:cs="Arial"/>
          <w:b/>
          <w:sz w:val="32"/>
          <w:szCs w:val="36"/>
        </w:rPr>
        <w:br/>
        <w:t>under första halvåret 2010 till 2013.</w:t>
      </w:r>
      <w:r>
        <w:rPr>
          <w:rFonts w:ascii="Arial" w:eastAsia="Times New Roman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noProof/>
          <w:sz w:val="20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br/>
      </w:r>
    </w:p>
    <w:tbl>
      <w:tblPr>
        <w:tblStyle w:val="Ljusskuggning1"/>
        <w:tblW w:w="8145" w:type="dxa"/>
        <w:tblInd w:w="0" w:type="dxa"/>
        <w:tblLook w:val="04A0" w:firstRow="1" w:lastRow="0" w:firstColumn="1" w:lastColumn="0" w:noHBand="0" w:noVBand="1"/>
      </w:tblPr>
      <w:tblGrid>
        <w:gridCol w:w="2345"/>
        <w:gridCol w:w="1450"/>
        <w:gridCol w:w="1450"/>
        <w:gridCol w:w="1450"/>
        <w:gridCol w:w="1450"/>
      </w:tblGrid>
      <w:tr w:rsidR="006D7388" w:rsidTr="006D7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left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4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4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4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2013</w:t>
            </w:r>
          </w:p>
        </w:tc>
      </w:tr>
      <w:tr w:rsidR="006D7388" w:rsidTr="006D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Sverige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15%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10%</w:t>
            </w:r>
            <w:proofErr w:type="gramEnd"/>
          </w:p>
        </w:tc>
      </w:tr>
      <w:tr w:rsidR="006D7388" w:rsidTr="006D738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Tyskland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2%</w:t>
            </w:r>
            <w:proofErr w:type="gramEnd"/>
          </w:p>
        </w:tc>
      </w:tr>
      <w:tr w:rsidR="006D7388" w:rsidTr="006D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Frankrike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37%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24%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8%</w:t>
            </w:r>
            <w:proofErr w:type="gramEnd"/>
          </w:p>
        </w:tc>
      </w:tr>
      <w:tr w:rsidR="006D7388" w:rsidTr="006D738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Storbritannien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44%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177%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14%</w:t>
            </w:r>
            <w:proofErr w:type="gramEnd"/>
          </w:p>
        </w:tc>
      </w:tr>
      <w:tr w:rsidR="006D7388" w:rsidTr="006D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Irland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27%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31%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59%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4%</w:t>
            </w:r>
            <w:proofErr w:type="gramEnd"/>
          </w:p>
        </w:tc>
      </w:tr>
      <w:tr w:rsidR="006D7388" w:rsidTr="006D7388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Nederländerna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11%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25%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31%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22%</w:t>
            </w:r>
            <w:proofErr w:type="gramEnd"/>
          </w:p>
        </w:tc>
      </w:tr>
      <w:tr w:rsidR="006D7388" w:rsidTr="006D7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noWrap/>
            <w:vAlign w:val="center"/>
            <w:hideMark/>
          </w:tcPr>
          <w:p w:rsidR="006D7388" w:rsidRDefault="006D738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Belgien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13%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34%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63%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noWrap/>
            <w:vAlign w:val="center"/>
            <w:hideMark/>
          </w:tcPr>
          <w:p w:rsidR="006D7388" w:rsidRDefault="006D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highlight w:val="yellow"/>
              </w:rPr>
              <w:t>15%</w:t>
            </w:r>
            <w:proofErr w:type="gramEnd"/>
          </w:p>
        </w:tc>
      </w:tr>
    </w:tbl>
    <w:p w:rsidR="006D7388" w:rsidRPr="00094255" w:rsidRDefault="006D7388" w:rsidP="00D62856">
      <w:pPr>
        <w:rPr>
          <w:rFonts w:ascii="Arial" w:hAnsi="Arial" w:cs="Arial"/>
          <w:bCs/>
          <w:sz w:val="20"/>
          <w:szCs w:val="20"/>
        </w:rPr>
      </w:pPr>
    </w:p>
    <w:sectPr w:rsidR="006D7388" w:rsidRPr="00094255" w:rsidSect="00F630AD">
      <w:headerReference w:type="default" r:id="rId12"/>
      <w:footerReference w:type="default" r:id="rId13"/>
      <w:pgSz w:w="11900" w:h="16840"/>
      <w:pgMar w:top="2410" w:right="169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98" w:rsidRDefault="00407E98" w:rsidP="00553C46">
      <w:r>
        <w:separator/>
      </w:r>
    </w:p>
  </w:endnote>
  <w:endnote w:type="continuationSeparator" w:id="0">
    <w:p w:rsidR="00407E98" w:rsidRDefault="00407E98" w:rsidP="005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20" w:rsidRPr="009676A8" w:rsidRDefault="000F3620" w:rsidP="009676A8">
    <w:pPr>
      <w:pStyle w:val="Normalwebb"/>
      <w:rPr>
        <w:rFonts w:ascii="Arial" w:hAnsi="Arial" w:cs="Arial"/>
        <w:sz w:val="16"/>
        <w:szCs w:val="16"/>
      </w:rPr>
    </w:pPr>
    <w:r w:rsidRPr="009676A8">
      <w:rPr>
        <w:rStyle w:val="Stark"/>
        <w:rFonts w:ascii="Arial" w:hAnsi="Arial" w:cs="Arial"/>
        <w:i/>
        <w:iCs/>
        <w:sz w:val="16"/>
        <w:szCs w:val="16"/>
      </w:rPr>
      <w:t>Creditsafe är ett av Sveriges ledande affärs- och kreditupplysningsföretag</w:t>
    </w:r>
    <w:r w:rsidRPr="009676A8">
      <w:rPr>
        <w:rStyle w:val="Betoning"/>
        <w:rFonts w:ascii="Arial" w:hAnsi="Arial" w:cs="Arial"/>
        <w:sz w:val="16"/>
        <w:szCs w:val="16"/>
      </w:rPr>
      <w:t xml:space="preserve">. Vi arbetar globalt och är idag den mest använda leverantören av kreditupplysningar i Europa. Creditsafe i Sverige AB levererar kreditinformation via webben eller via integrerade kundanpassade lösningar.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98" w:rsidRDefault="00407E98" w:rsidP="00553C46">
      <w:r>
        <w:separator/>
      </w:r>
    </w:p>
  </w:footnote>
  <w:footnote w:type="continuationSeparator" w:id="0">
    <w:p w:rsidR="00407E98" w:rsidRDefault="00407E98" w:rsidP="005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20" w:rsidRPr="00650D8D" w:rsidRDefault="00437FAA" w:rsidP="00650D8D">
    <w:pPr>
      <w:pStyle w:val="Sidhuvud"/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-220980</wp:posOffset>
          </wp:positionV>
          <wp:extent cx="1790700" cy="590550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3620">
      <w:tab/>
    </w:r>
    <w:r w:rsidR="000F3620">
      <w:rPr>
        <w:rFonts w:ascii="Arial" w:hAnsi="Arial"/>
      </w:rPr>
      <w:t xml:space="preserve">Pressmeddelande </w:t>
    </w:r>
    <w:r w:rsidR="009676A8">
      <w:rPr>
        <w:rFonts w:ascii="Arial" w:hAnsi="Arial"/>
      </w:rPr>
      <w:t>4</w:t>
    </w:r>
    <w:r w:rsidR="000F3620" w:rsidRPr="00650D8D">
      <w:rPr>
        <w:rFonts w:ascii="Arial" w:hAnsi="Arial"/>
      </w:rPr>
      <w:t xml:space="preserve"> </w:t>
    </w:r>
    <w:r w:rsidR="000F3620">
      <w:rPr>
        <w:rFonts w:ascii="Arial" w:hAnsi="Arial"/>
      </w:rPr>
      <w:t xml:space="preserve">juli </w:t>
    </w:r>
    <w:r w:rsidR="000F3620" w:rsidRPr="00650D8D">
      <w:rPr>
        <w:rFonts w:ascii="Arial" w:hAnsi="Arial"/>
      </w:rPr>
      <w:t>2013</w:t>
    </w:r>
    <w:r w:rsidR="000F3620">
      <w:rPr>
        <w:rFonts w:ascii="Arial" w:hAnsi="Aria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54C"/>
    <w:multiLevelType w:val="hybridMultilevel"/>
    <w:tmpl w:val="3B7C5F7C"/>
    <w:lvl w:ilvl="0" w:tplc="54B4E48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F252A9B"/>
    <w:multiLevelType w:val="hybridMultilevel"/>
    <w:tmpl w:val="0EF654AE"/>
    <w:lvl w:ilvl="0" w:tplc="F0A0CE6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C73AD8"/>
    <w:multiLevelType w:val="hybridMultilevel"/>
    <w:tmpl w:val="5D608938"/>
    <w:lvl w:ilvl="0" w:tplc="3E246F3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41"/>
    <w:rsid w:val="000055FF"/>
    <w:rsid w:val="00015D02"/>
    <w:rsid w:val="00032C57"/>
    <w:rsid w:val="00034895"/>
    <w:rsid w:val="00035707"/>
    <w:rsid w:val="00072A32"/>
    <w:rsid w:val="00094255"/>
    <w:rsid w:val="000F3620"/>
    <w:rsid w:val="00102622"/>
    <w:rsid w:val="00103121"/>
    <w:rsid w:val="00114333"/>
    <w:rsid w:val="00195A3E"/>
    <w:rsid w:val="001A38D2"/>
    <w:rsid w:val="001A4A84"/>
    <w:rsid w:val="001A5DC6"/>
    <w:rsid w:val="001C11E8"/>
    <w:rsid w:val="001D34E0"/>
    <w:rsid w:val="001F3230"/>
    <w:rsid w:val="00203A52"/>
    <w:rsid w:val="00281D11"/>
    <w:rsid w:val="002A1442"/>
    <w:rsid w:val="002F098E"/>
    <w:rsid w:val="003017BC"/>
    <w:rsid w:val="00335A45"/>
    <w:rsid w:val="003441CD"/>
    <w:rsid w:val="00390666"/>
    <w:rsid w:val="00397FBB"/>
    <w:rsid w:val="003C4FE1"/>
    <w:rsid w:val="003F1F0A"/>
    <w:rsid w:val="00406E51"/>
    <w:rsid w:val="00407E98"/>
    <w:rsid w:val="00414E85"/>
    <w:rsid w:val="00437FAA"/>
    <w:rsid w:val="00452951"/>
    <w:rsid w:val="004D2915"/>
    <w:rsid w:val="00507DDF"/>
    <w:rsid w:val="00526A47"/>
    <w:rsid w:val="00553C46"/>
    <w:rsid w:val="005D2C62"/>
    <w:rsid w:val="005F4D8F"/>
    <w:rsid w:val="00602375"/>
    <w:rsid w:val="006053F3"/>
    <w:rsid w:val="0060623F"/>
    <w:rsid w:val="00650D8D"/>
    <w:rsid w:val="006917D7"/>
    <w:rsid w:val="00692B7B"/>
    <w:rsid w:val="006B05AA"/>
    <w:rsid w:val="006B067D"/>
    <w:rsid w:val="006D7388"/>
    <w:rsid w:val="006F329F"/>
    <w:rsid w:val="0075005B"/>
    <w:rsid w:val="007B0D52"/>
    <w:rsid w:val="007B14E0"/>
    <w:rsid w:val="007F1BC9"/>
    <w:rsid w:val="007F20E7"/>
    <w:rsid w:val="008C6B31"/>
    <w:rsid w:val="008F780F"/>
    <w:rsid w:val="00926957"/>
    <w:rsid w:val="009676A8"/>
    <w:rsid w:val="009678AB"/>
    <w:rsid w:val="009A025F"/>
    <w:rsid w:val="009B615F"/>
    <w:rsid w:val="009C4C3F"/>
    <w:rsid w:val="009D2DF6"/>
    <w:rsid w:val="00A206B0"/>
    <w:rsid w:val="00A26AC0"/>
    <w:rsid w:val="00A2707F"/>
    <w:rsid w:val="00A27B32"/>
    <w:rsid w:val="00A30374"/>
    <w:rsid w:val="00AA6040"/>
    <w:rsid w:val="00AB66BF"/>
    <w:rsid w:val="00AC71FF"/>
    <w:rsid w:val="00AD0EAA"/>
    <w:rsid w:val="00AF7F06"/>
    <w:rsid w:val="00B36C6E"/>
    <w:rsid w:val="00B40227"/>
    <w:rsid w:val="00B90A67"/>
    <w:rsid w:val="00B93D83"/>
    <w:rsid w:val="00B93E9C"/>
    <w:rsid w:val="00BA0DD6"/>
    <w:rsid w:val="00BB6071"/>
    <w:rsid w:val="00C02B75"/>
    <w:rsid w:val="00C602A8"/>
    <w:rsid w:val="00C66184"/>
    <w:rsid w:val="00C76A91"/>
    <w:rsid w:val="00CB4107"/>
    <w:rsid w:val="00D03990"/>
    <w:rsid w:val="00D37E0F"/>
    <w:rsid w:val="00D62856"/>
    <w:rsid w:val="00D761E3"/>
    <w:rsid w:val="00E10070"/>
    <w:rsid w:val="00E46415"/>
    <w:rsid w:val="00E475B3"/>
    <w:rsid w:val="00E50703"/>
    <w:rsid w:val="00E84400"/>
    <w:rsid w:val="00E901EB"/>
    <w:rsid w:val="00E9357D"/>
    <w:rsid w:val="00EA2351"/>
    <w:rsid w:val="00EB38BC"/>
    <w:rsid w:val="00ED55DD"/>
    <w:rsid w:val="00ED6B44"/>
    <w:rsid w:val="00EF5F08"/>
    <w:rsid w:val="00EF70CA"/>
    <w:rsid w:val="00F0650A"/>
    <w:rsid w:val="00F119ED"/>
    <w:rsid w:val="00F13441"/>
    <w:rsid w:val="00F217CC"/>
    <w:rsid w:val="00F34B14"/>
    <w:rsid w:val="00F53FA8"/>
    <w:rsid w:val="00F630AD"/>
    <w:rsid w:val="00F93CB1"/>
    <w:rsid w:val="00F96301"/>
    <w:rsid w:val="00FA6040"/>
    <w:rsid w:val="00FD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85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EF5F0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stycke">
    <w:name w:val="List Paragraph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A6040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3C46"/>
    <w:rPr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EF5F0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italic">
    <w:name w:val="italic"/>
    <w:basedOn w:val="Normal"/>
    <w:rsid w:val="00EF5F0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1">
    <w:name w:val="normal1"/>
    <w:basedOn w:val="Standardstycketeckensnitt"/>
    <w:rsid w:val="00032C5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hps">
    <w:name w:val="hps"/>
    <w:basedOn w:val="Standardstycketeckensnitt"/>
    <w:rsid w:val="00A26AC0"/>
  </w:style>
  <w:style w:type="table" w:customStyle="1" w:styleId="Ljusskuggning1">
    <w:name w:val="Ljus skuggning1"/>
    <w:basedOn w:val="Normaltabell"/>
    <w:uiPriority w:val="60"/>
    <w:rsid w:val="006D73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D73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85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EF5F0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stycke">
    <w:name w:val="List Paragraph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A6040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3C46"/>
    <w:rPr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EF5F0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italic">
    <w:name w:val="italic"/>
    <w:basedOn w:val="Normal"/>
    <w:rsid w:val="00EF5F0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1">
    <w:name w:val="normal1"/>
    <w:basedOn w:val="Standardstycketeckensnitt"/>
    <w:rsid w:val="00032C5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hps">
    <w:name w:val="hps"/>
    <w:basedOn w:val="Standardstycketeckensnitt"/>
    <w:rsid w:val="00A26AC0"/>
  </w:style>
  <w:style w:type="table" w:customStyle="1" w:styleId="Ljusskuggning1">
    <w:name w:val="Ljus skuggning1"/>
    <w:basedOn w:val="Normaltabell"/>
    <w:uiPriority w:val="60"/>
    <w:rsid w:val="006D73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6D73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ndra.andersson@creditsafe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er.jonsson@creditsaf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sses07.creditsafe.se\se-general$\_Market\PR\Konkursstatisik\Excel\Europ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220949654020516E-2"/>
          <c:y val="4.6780685137872688E-2"/>
          <c:w val="0.88844571701264619"/>
          <c:h val="0.90904732501919561"/>
        </c:manualLayout>
      </c:layout>
      <c:bar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Blad1!$B$21:$H$21</c:f>
            </c:multiLvlStrRef>
          </c:cat>
          <c:val>
            <c:numRef>
              <c:f>Blad1!$B$22:$H$22</c:f>
            </c:numRef>
          </c:val>
        </c:ser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accent2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-22%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-15%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[Europa.xls]Blad1!$B$21:$H$21</c:f>
              <c:strCache>
                <c:ptCount val="7"/>
                <c:pt idx="0">
                  <c:v>Sverige</c:v>
                </c:pt>
                <c:pt idx="1">
                  <c:v>Tyskland</c:v>
                </c:pt>
                <c:pt idx="2">
                  <c:v>Frankrike</c:v>
                </c:pt>
                <c:pt idx="3">
                  <c:v>Storbritannien</c:v>
                </c:pt>
                <c:pt idx="4">
                  <c:v>Irland</c:v>
                </c:pt>
                <c:pt idx="5">
                  <c:v>Nederländerna</c:v>
                </c:pt>
                <c:pt idx="6">
                  <c:v>Belgien</c:v>
                </c:pt>
              </c:strCache>
            </c:strRef>
          </c:cat>
          <c:val>
            <c:numRef>
              <c:f>[Europa.xls]Blad1!$B$22:$H$22</c:f>
              <c:numCache>
                <c:formatCode>0%</c:formatCode>
                <c:ptCount val="7"/>
                <c:pt idx="0">
                  <c:v>0.1</c:v>
                </c:pt>
                <c:pt idx="1">
                  <c:v>2.0000000000000011E-2</c:v>
                </c:pt>
                <c:pt idx="2">
                  <c:v>-8.0000000000000043E-2</c:v>
                </c:pt>
                <c:pt idx="3">
                  <c:v>0.14000000000000001</c:v>
                </c:pt>
                <c:pt idx="4">
                  <c:v>4.0000000000000022E-2</c:v>
                </c:pt>
                <c:pt idx="5">
                  <c:v>-0.22</c:v>
                </c:pt>
                <c:pt idx="6">
                  <c:v>-0.15000000000000013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16246784"/>
        <c:axId val="116248576"/>
      </c:barChart>
      <c:catAx>
        <c:axId val="1162467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sv-SE"/>
          </a:p>
        </c:txPr>
        <c:crossAx val="116248576"/>
        <c:crosses val="autoZero"/>
        <c:auto val="1"/>
        <c:lblAlgn val="ctr"/>
        <c:lblOffset val="100"/>
        <c:noMultiLvlLbl val="0"/>
      </c:catAx>
      <c:valAx>
        <c:axId val="1162485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624678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95EB-D552-43C1-AE42-079117E8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Links>
    <vt:vector size="12" baseType="variant">
      <vt:variant>
        <vt:i4>6357008</vt:i4>
      </vt:variant>
      <vt:variant>
        <vt:i4>3</vt:i4>
      </vt:variant>
      <vt:variant>
        <vt:i4>0</vt:i4>
      </vt:variant>
      <vt:variant>
        <vt:i4>5</vt:i4>
      </vt:variant>
      <vt:variant>
        <vt:lpwstr>mailto:sandra.andersson@creditsafe.se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mailto:krister.jonsson@creditsafe.se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2013-07-03T16:25:00Z</dcterms:created>
  <dcterms:modified xsi:type="dcterms:W3CDTF">2013-07-03T16:25:00Z</dcterms:modified>
</cp:coreProperties>
</file>