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F1689" w14:textId="303A8EB0" w:rsidR="007A3A2F" w:rsidRDefault="007A3A2F" w:rsidP="007A3A2F">
      <w:pPr>
        <w:pStyle w:val="titel"/>
        <w:rPr>
          <w:sz w:val="22"/>
          <w:szCs w:val="22"/>
        </w:rPr>
      </w:pPr>
      <w:r>
        <w:rPr>
          <w:sz w:val="22"/>
          <w:szCs w:val="22"/>
        </w:rPr>
        <w:t>GOETHEANUM</w:t>
      </w:r>
      <w:r>
        <w:rPr>
          <w:sz w:val="22"/>
          <w:szCs w:val="22"/>
        </w:rPr>
        <w:tab/>
      </w:r>
      <w:r w:rsidR="00B90BB3">
        <w:rPr>
          <w:sz w:val="22"/>
          <w:szCs w:val="22"/>
        </w:rPr>
        <w:t xml:space="preserve"> </w:t>
      </w:r>
      <w:r w:rsidR="00CF0D6D">
        <w:rPr>
          <w:sz w:val="22"/>
          <w:szCs w:val="22"/>
        </w:rPr>
        <w:t>C</w:t>
      </w:r>
      <w:r w:rsidR="00B90BB3">
        <w:rPr>
          <w:sz w:val="22"/>
          <w:szCs w:val="22"/>
        </w:rPr>
        <w:t>OMMUNI</w:t>
      </w:r>
      <w:r w:rsidR="00DD74B3">
        <w:rPr>
          <w:sz w:val="22"/>
          <w:szCs w:val="22"/>
        </w:rPr>
        <w:t>C</w:t>
      </w:r>
      <w:r w:rsidR="00B90BB3">
        <w:rPr>
          <w:sz w:val="22"/>
          <w:szCs w:val="22"/>
        </w:rPr>
        <w:t>ATION</w:t>
      </w:r>
    </w:p>
    <w:p w14:paraId="3B005831" w14:textId="77777777" w:rsidR="007A3A2F" w:rsidRDefault="007A3A2F" w:rsidP="007A3A2F">
      <w:pPr>
        <w:pStyle w:val="titel"/>
        <w:jc w:val="right"/>
        <w:rPr>
          <w:sz w:val="22"/>
          <w:szCs w:val="22"/>
        </w:rPr>
      </w:pPr>
    </w:p>
    <w:p w14:paraId="3C23E200" w14:textId="77777777" w:rsidR="00D11010" w:rsidRDefault="00D11010" w:rsidP="00D11010">
      <w:pPr>
        <w:pStyle w:val="titel"/>
        <w:jc w:val="right"/>
        <w:rPr>
          <w:sz w:val="22"/>
          <w:szCs w:val="22"/>
        </w:rPr>
      </w:pPr>
      <w:r>
        <w:rPr>
          <w:sz w:val="22"/>
          <w:szCs w:val="22"/>
        </w:rPr>
        <w:tab/>
        <w:t>Goetheanum, Dornach, Suisse, 11 décembre 2025</w:t>
      </w:r>
    </w:p>
    <w:p w14:paraId="47A1ECCC" w14:textId="77777777" w:rsidR="00D11010" w:rsidRDefault="00D11010" w:rsidP="00D11010">
      <w:pPr>
        <w:pStyle w:val="body"/>
      </w:pPr>
    </w:p>
    <w:p w14:paraId="2A061CF0" w14:textId="77777777" w:rsidR="00D11010" w:rsidRPr="00D11010" w:rsidRDefault="00D11010" w:rsidP="00D11010">
      <w:pPr>
        <w:pStyle w:val="titel"/>
        <w:spacing w:before="57"/>
        <w:rPr>
          <w:b/>
          <w:bCs/>
          <w:sz w:val="28"/>
          <w:szCs w:val="28"/>
        </w:rPr>
      </w:pPr>
      <w:r w:rsidRPr="00D11010">
        <w:rPr>
          <w:b/>
          <w:bCs/>
          <w:sz w:val="28"/>
          <w:szCs w:val="28"/>
        </w:rPr>
        <w:t xml:space="preserve">Des concombres résistants au stress, </w:t>
      </w:r>
      <w:r w:rsidRPr="00D11010">
        <w:rPr>
          <w:b/>
          <w:bCs/>
          <w:sz w:val="28"/>
          <w:szCs w:val="28"/>
        </w:rPr>
        <w:br/>
        <w:t>des vaches sereines avec des cornes</w:t>
      </w:r>
    </w:p>
    <w:p w14:paraId="4790D9F6" w14:textId="77777777" w:rsidR="00D11010" w:rsidRPr="00D11010" w:rsidRDefault="00D11010" w:rsidP="00D11010">
      <w:pPr>
        <w:pStyle w:val="titel"/>
        <w:spacing w:before="57"/>
        <w:rPr>
          <w:b/>
          <w:bCs/>
          <w:sz w:val="24"/>
          <w:szCs w:val="24"/>
        </w:rPr>
      </w:pPr>
      <w:r w:rsidRPr="00D11010">
        <w:rPr>
          <w:b/>
          <w:bCs/>
          <w:sz w:val="24"/>
          <w:szCs w:val="24"/>
        </w:rPr>
        <w:t xml:space="preserve">Des recherches révèlent que l‘agriculture biodynamique contribue </w:t>
      </w:r>
      <w:r w:rsidRPr="00D11010">
        <w:rPr>
          <w:b/>
          <w:bCs/>
          <w:sz w:val="24"/>
          <w:szCs w:val="24"/>
        </w:rPr>
        <w:br/>
        <w:t>à la qualité des aliments, au bien-être animal et à la fertilité des sols.</w:t>
      </w:r>
    </w:p>
    <w:p w14:paraId="1B0683BE" w14:textId="77777777" w:rsidR="00D11010" w:rsidRPr="00D11010" w:rsidRDefault="00D11010" w:rsidP="00D11010">
      <w:pPr>
        <w:pStyle w:val="body"/>
        <w:rPr>
          <w:b/>
          <w:bCs/>
        </w:rPr>
      </w:pPr>
    </w:p>
    <w:p w14:paraId="63F8CD8A" w14:textId="77777777" w:rsidR="00D11010" w:rsidRPr="00D11010" w:rsidRDefault="00D11010" w:rsidP="00D11010">
      <w:pPr>
        <w:pStyle w:val="body"/>
        <w:rPr>
          <w:rFonts w:ascii="Titillium" w:hAnsi="Titillium" w:cs="Titillium"/>
          <w:b/>
          <w:bCs/>
          <w:sz w:val="16"/>
          <w:szCs w:val="16"/>
        </w:rPr>
      </w:pPr>
      <w:r w:rsidRPr="00D11010">
        <w:rPr>
          <w:rFonts w:ascii="Titillium" w:hAnsi="Titillium" w:cs="Titillium"/>
          <w:b/>
          <w:bCs/>
          <w:sz w:val="16"/>
          <w:szCs w:val="16"/>
        </w:rPr>
        <w:t>L‘agriculture biodynamique contribue à la qualité des aliments, au bien-être animal et à la durabilité écologique. En témoigne la compilation d‘études que publie ‹ Living Farms ›, magazine de la section d‘agriculture du Goetheanum.</w:t>
      </w:r>
    </w:p>
    <w:p w14:paraId="5AF205D7" w14:textId="77777777" w:rsidR="00D11010" w:rsidRDefault="00D11010" w:rsidP="00D11010">
      <w:pPr>
        <w:pStyle w:val="body"/>
        <w:spacing w:before="170"/>
        <w:rPr>
          <w:rFonts w:ascii="Titillium" w:hAnsi="Titillium" w:cs="Titillium"/>
          <w:sz w:val="16"/>
          <w:szCs w:val="16"/>
        </w:rPr>
      </w:pPr>
      <w:r>
        <w:rPr>
          <w:rFonts w:ascii="Titillium" w:hAnsi="Titillium" w:cs="Titillium"/>
          <w:sz w:val="16"/>
          <w:szCs w:val="16"/>
        </w:rPr>
        <w:t xml:space="preserve">Un test de résistance montre la qualité particulière des concombres cultivés selon les principes de la biodynamie : 865 concombres issus de l‘agriculture conventionnelle, biologique et biodynamique ont été coupés en tranches, réassemblés et emballés dans un film alimentaire hermétique. Après deux semaines de stockage à 23,5 °C, les concombres biodynamiques ont montré une capacité de régénération particulièrement prononcée, notamment par la repousse des surfaces coupées. Collaboratrice du projet et assistante de recherche en médecine complémentaire translationnelle à l‘Université de Bâle (Suisse), Marjolein Doesburg-van Kleffens émet l‘hypothèse que « la biodynamie favorise une plus grande diversité microbienne ou certaines bactéries bénéfiques qui enrichissent le microbiome et le diversifient davantage ». La vérification de cette hypothèse nécessite des recherches supplémentaires. </w:t>
      </w:r>
    </w:p>
    <w:p w14:paraId="11D6F9BA" w14:textId="77777777" w:rsidR="00D11010" w:rsidRDefault="00D11010" w:rsidP="00D11010">
      <w:pPr>
        <w:pStyle w:val="body"/>
        <w:spacing w:before="170"/>
        <w:rPr>
          <w:rFonts w:ascii="Titillium" w:hAnsi="Titillium" w:cs="Titillium"/>
          <w:sz w:val="16"/>
          <w:szCs w:val="16"/>
        </w:rPr>
      </w:pPr>
      <w:r>
        <w:rPr>
          <w:rFonts w:ascii="Titillium" w:hAnsi="Titillium" w:cs="Titillium"/>
          <w:sz w:val="16"/>
          <w:szCs w:val="16"/>
        </w:rPr>
        <w:t>On voit dans les pâturages des vaches avec ou sans cornes. Or ces cornes sont plus qu‘une simple caractéristique physique : la vache à cornes nourrie au foin a un métabolisme plus calme, plus performant, ce qui se traduit par une température corporelle légèrement plus élevée et une fréquence cardiaque plus basse. Son lait est riche en acide alpha-linolénique et contient moins d‘acides gras à chaîne courte, signe d’un métabolisme équilibré. Parallèlement, des études montrent que les vaches écornées nourries de manière intensive présentent plus souvent des signes d‘inflammation. Les résultats révèlent clairement l’importance fonctionnelle des cornes au niveau du bien-être animal et leur rôle essentiel dans l‘organisme de la vache.</w:t>
      </w:r>
    </w:p>
    <w:p w14:paraId="7F370844" w14:textId="77777777" w:rsidR="00D11010" w:rsidRDefault="00D11010" w:rsidP="00D11010">
      <w:pPr>
        <w:pStyle w:val="body"/>
        <w:spacing w:before="170"/>
        <w:rPr>
          <w:rFonts w:ascii="Titillium" w:hAnsi="Titillium" w:cs="Titillium"/>
          <w:sz w:val="16"/>
          <w:szCs w:val="16"/>
        </w:rPr>
      </w:pPr>
      <w:r>
        <w:rPr>
          <w:rFonts w:ascii="Titillium" w:hAnsi="Titillium" w:cs="Titillium"/>
          <w:sz w:val="16"/>
          <w:szCs w:val="16"/>
        </w:rPr>
        <w:t>L‘essai DOK, essai à long terme mené depuis quarante-cinq ans à Therwil (Suisse) montre les effets positifs à long terme de la biodynamie sur la fertilité des sols. Responsable de l‘essai, Hans-Martin Krause souligne qu‘il a fallu vingt-deux ans d‘observation « avant de constater des différences significatives dans la teneur en carbone organique du sol à intensité de fertilisation égale » . Il résume ainsi les résultats obtenus jusqu‘à présent : « C’est dans les parcelles en biodynamie que nous mesurons la biomasse microbienne la plus élevée, la teneur en carbone organique la plus haute et, des microbes du sol au nombre et à la diversité des insectes, une plus grande biodiversité ». Des sols vivants, riches en humus, sont la base de la stabilité climatique, de la santé des plantes et de la résilience à long terme de l‘agriculture.</w:t>
      </w:r>
    </w:p>
    <w:p w14:paraId="7D4525A4" w14:textId="77777777" w:rsidR="00D11010" w:rsidRDefault="00D11010" w:rsidP="00D11010">
      <w:pPr>
        <w:pStyle w:val="body"/>
        <w:spacing w:before="170"/>
        <w:rPr>
          <w:rFonts w:ascii="Titillium" w:hAnsi="Titillium" w:cs="Titillium"/>
          <w:sz w:val="16"/>
          <w:szCs w:val="16"/>
        </w:rPr>
      </w:pPr>
      <w:r>
        <w:rPr>
          <w:rFonts w:ascii="Titillium" w:hAnsi="Titillium" w:cs="Titillium"/>
          <w:sz w:val="16"/>
          <w:szCs w:val="16"/>
        </w:rPr>
        <w:t>Le magazine ‹ Living Farms › n° 2, 2025 explique comment la recherche biodynamique jette les bases scientifiques d‘une agriculture qui concilie les besoins écologiques, animaux, économiques et sociaux.</w:t>
      </w:r>
    </w:p>
    <w:p w14:paraId="60C1F80A" w14:textId="77777777" w:rsidR="00D11010" w:rsidRDefault="00D11010" w:rsidP="00D11010">
      <w:pPr>
        <w:pStyle w:val="body"/>
        <w:jc w:val="right"/>
        <w:rPr>
          <w:rFonts w:ascii="Titillium" w:hAnsi="Titillium" w:cs="Titillium"/>
          <w:sz w:val="16"/>
          <w:szCs w:val="16"/>
        </w:rPr>
      </w:pPr>
      <w:r>
        <w:rPr>
          <w:rFonts w:ascii="Titillium" w:hAnsi="Titillium" w:cs="Titillium"/>
          <w:sz w:val="16"/>
          <w:szCs w:val="16"/>
        </w:rPr>
        <w:t xml:space="preserve">(2906 caractères/Anna Storchenegger et Sebastian Jüngel; </w:t>
      </w:r>
      <w:r>
        <w:rPr>
          <w:rFonts w:ascii="Titillium" w:hAnsi="Titillium" w:cs="Titillium"/>
          <w:sz w:val="16"/>
          <w:szCs w:val="16"/>
        </w:rPr>
        <w:br/>
        <w:t>traduction :  Jean Pierre Ablard)</w:t>
      </w:r>
    </w:p>
    <w:p w14:paraId="0C559464" w14:textId="77777777" w:rsidR="00D11010" w:rsidRDefault="00D11010" w:rsidP="00D11010">
      <w:pPr>
        <w:pStyle w:val="body"/>
        <w:spacing w:before="57"/>
        <w:rPr>
          <w:rFonts w:ascii="Titillium" w:hAnsi="Titillium" w:cs="Titillium"/>
          <w:sz w:val="14"/>
          <w:szCs w:val="14"/>
        </w:rPr>
      </w:pPr>
      <w:r>
        <w:rPr>
          <w:rFonts w:ascii="Titillium Bd" w:hAnsi="Titillium Bd" w:cs="Titillium Bd"/>
          <w:b/>
          <w:bCs/>
          <w:sz w:val="14"/>
          <w:szCs w:val="14"/>
        </w:rPr>
        <w:t>Magazine</w:t>
      </w:r>
      <w:r>
        <w:rPr>
          <w:rFonts w:ascii="Titillium" w:hAnsi="Titillium" w:cs="Titillium"/>
          <w:sz w:val="14"/>
          <w:szCs w:val="14"/>
        </w:rPr>
        <w:t xml:space="preserve"> ‹ Living Farms › n° 2,2025, version imprimée et en ligne </w:t>
      </w:r>
      <w:r>
        <w:rPr>
          <w:rFonts w:ascii="Titillium Bd" w:hAnsi="Titillium Bd" w:cs="Titillium Bd"/>
          <w:b/>
          <w:bCs/>
          <w:sz w:val="14"/>
          <w:szCs w:val="14"/>
        </w:rPr>
        <w:t>Web (en anglais)</w:t>
      </w:r>
      <w:r>
        <w:rPr>
          <w:rFonts w:ascii="Titillium" w:hAnsi="Titillium" w:cs="Titillium"/>
          <w:sz w:val="14"/>
          <w:szCs w:val="14"/>
        </w:rPr>
        <w:t xml:space="preserve"> www.sektion-landwirtschaft.org/fileadmin/landwirtschaft/Dateien_zum_downloaden/2502_web_EN.pdf</w:t>
      </w:r>
    </w:p>
    <w:p w14:paraId="4A2A845D" w14:textId="77777777" w:rsidR="00D11010" w:rsidRDefault="00D11010" w:rsidP="00D11010">
      <w:pPr>
        <w:pStyle w:val="body"/>
        <w:spacing w:before="57"/>
        <w:rPr>
          <w:rFonts w:ascii="Titillium" w:hAnsi="Titillium" w:cs="Titillium"/>
          <w:sz w:val="14"/>
          <w:szCs w:val="14"/>
        </w:rPr>
      </w:pPr>
      <w:r>
        <w:rPr>
          <w:rFonts w:ascii="Titillium Bd" w:hAnsi="Titillium Bd" w:cs="Titillium Bd"/>
          <w:b/>
          <w:bCs/>
          <w:sz w:val="14"/>
          <w:szCs w:val="14"/>
        </w:rPr>
        <w:t xml:space="preserve">Étude sur les concombres (en anglais) </w:t>
      </w:r>
      <w:r>
        <w:rPr>
          <w:rFonts w:ascii="Titillium" w:hAnsi="Titillium" w:cs="Titillium"/>
          <w:sz w:val="14"/>
          <w:szCs w:val="14"/>
        </w:rPr>
        <w:t xml:space="preserve">Marjolein Doesburg-van Kleffens, Jens-Otto Andersen, Carsten Gründemann et Jürgen Fritz : Effects of cultivation systems on the antimicrobial, colour retainment and slice healing properties of consumer ready market samples of cucumber (Cucumis sativus L.) </w:t>
      </w:r>
      <w:r>
        <w:rPr>
          <w:rFonts w:ascii="Titillium Bd" w:hAnsi="Titillium Bd" w:cs="Titillium Bd"/>
          <w:b/>
          <w:bCs/>
          <w:sz w:val="14"/>
          <w:szCs w:val="14"/>
        </w:rPr>
        <w:t xml:space="preserve">Web </w:t>
      </w:r>
      <w:r>
        <w:rPr>
          <w:rFonts w:ascii="Titillium" w:hAnsi="Titillium" w:cs="Titillium"/>
          <w:sz w:val="14"/>
          <w:szCs w:val="14"/>
        </w:rPr>
        <w:t>www.sciencedirect.com/science/article/pii/S2772502225000642?via%3Dihub (2025)</w:t>
      </w:r>
    </w:p>
    <w:p w14:paraId="5C24BAED" w14:textId="77777777" w:rsidR="00D11010" w:rsidRDefault="00D11010" w:rsidP="00D11010">
      <w:pPr>
        <w:pStyle w:val="body"/>
        <w:spacing w:before="57"/>
        <w:rPr>
          <w:rFonts w:ascii="Titillium" w:hAnsi="Titillium" w:cs="Titillium"/>
          <w:sz w:val="14"/>
          <w:szCs w:val="14"/>
        </w:rPr>
      </w:pPr>
      <w:r>
        <w:rPr>
          <w:rFonts w:ascii="Titillium Bd" w:hAnsi="Titillium Bd" w:cs="Titillium Bd"/>
          <w:b/>
          <w:bCs/>
          <w:sz w:val="14"/>
          <w:szCs w:val="14"/>
        </w:rPr>
        <w:t>Cornes de vache 1 (en allemand)</w:t>
      </w:r>
      <w:r>
        <w:rPr>
          <w:rFonts w:ascii="Titillium" w:hAnsi="Titillium" w:cs="Titillium"/>
          <w:sz w:val="14"/>
          <w:szCs w:val="14"/>
        </w:rPr>
        <w:t xml:space="preserve"> Jenifer Wohlers, Peter Stolz : Milch, Qualität und Hörner. Neue Erkenntnis durch FAS-Messungen in ‹ Lebendige Erde › n° 4, 2022 </w:t>
      </w:r>
      <w:r>
        <w:rPr>
          <w:rFonts w:ascii="Titillium Bd" w:hAnsi="Titillium Bd" w:cs="Titillium Bd"/>
          <w:b/>
          <w:bCs/>
          <w:sz w:val="14"/>
          <w:szCs w:val="14"/>
        </w:rPr>
        <w:t xml:space="preserve">Web </w:t>
      </w:r>
      <w:r>
        <w:rPr>
          <w:rFonts w:ascii="Titillium" w:hAnsi="Titillium" w:cs="Titillium"/>
          <w:sz w:val="14"/>
          <w:szCs w:val="14"/>
        </w:rPr>
        <w:t xml:space="preserve">www.lebendigeerde.de/fileadmin/lebendigeerde/pdf/2022/Forschung_2022-4.pdf </w:t>
      </w:r>
      <w:r>
        <w:rPr>
          <w:rFonts w:ascii="Titillium" w:hAnsi="Titillium" w:cs="Titillium"/>
          <w:sz w:val="14"/>
          <w:szCs w:val="14"/>
        </w:rPr>
        <w:br/>
      </w:r>
      <w:r>
        <w:rPr>
          <w:rFonts w:ascii="Titillium Bd" w:hAnsi="Titillium Bd" w:cs="Titillium Bd"/>
          <w:b/>
          <w:bCs/>
          <w:sz w:val="14"/>
          <w:szCs w:val="14"/>
        </w:rPr>
        <w:t>Cornes de vache 2 (en allemand)</w:t>
      </w:r>
      <w:r>
        <w:rPr>
          <w:rFonts w:ascii="Titillium" w:hAnsi="Titillium" w:cs="Titillium"/>
          <w:sz w:val="14"/>
          <w:szCs w:val="14"/>
        </w:rPr>
        <w:t xml:space="preserve"> Groupe d‘élevage bovin de l‘Association pour l‘agriculture biodynamique en Suisse, en collaboration avec l‘Institut de recherche pour l‘agriculture biologique </w:t>
      </w:r>
      <w:r>
        <w:rPr>
          <w:rFonts w:ascii="Titillium Bd" w:hAnsi="Titillium Bd" w:cs="Titillium Bd"/>
          <w:b/>
          <w:bCs/>
          <w:sz w:val="14"/>
          <w:szCs w:val="14"/>
        </w:rPr>
        <w:t xml:space="preserve">Web </w:t>
      </w:r>
      <w:r>
        <w:rPr>
          <w:rFonts w:ascii="Titillium" w:hAnsi="Titillium" w:cs="Titillium"/>
          <w:sz w:val="14"/>
          <w:szCs w:val="14"/>
        </w:rPr>
        <w:t>www.fibl.org/fileadmin/documents/shop/1662-kuhhorn.pdf (2016)</w:t>
      </w:r>
    </w:p>
    <w:p w14:paraId="0823F975" w14:textId="77777777" w:rsidR="00D11010" w:rsidRDefault="00D11010" w:rsidP="00D11010">
      <w:pPr>
        <w:pStyle w:val="body"/>
        <w:spacing w:before="57"/>
        <w:rPr>
          <w:rFonts w:ascii="Titillium" w:hAnsi="Titillium" w:cs="Titillium"/>
          <w:sz w:val="14"/>
          <w:szCs w:val="14"/>
        </w:rPr>
      </w:pPr>
      <w:r>
        <w:rPr>
          <w:rFonts w:ascii="Titillium Bd" w:hAnsi="Titillium Bd" w:cs="Titillium Bd"/>
          <w:b/>
          <w:bCs/>
          <w:sz w:val="14"/>
          <w:szCs w:val="14"/>
        </w:rPr>
        <w:t>Essai DOK (en allemand)</w:t>
      </w:r>
      <w:r>
        <w:rPr>
          <w:rFonts w:ascii="Titillium" w:hAnsi="Titillium" w:cs="Titillium"/>
          <w:sz w:val="14"/>
          <w:szCs w:val="14"/>
        </w:rPr>
        <w:t xml:space="preserve"> Andreas Fliessbach, Hans-Martin Krause, Klaus Jarosch, Jochen Mayer, Astrid Oberson et Paul Mäder : L‘essai DOK. Comparaison entre les systèmes de culture biologiques et conventionnels sur 45 ans </w:t>
      </w:r>
      <w:r>
        <w:rPr>
          <w:rFonts w:ascii="Titillium Bd" w:hAnsi="Titillium Bd" w:cs="Titillium Bd"/>
          <w:b/>
          <w:bCs/>
          <w:sz w:val="14"/>
          <w:szCs w:val="14"/>
        </w:rPr>
        <w:t xml:space="preserve">Web </w:t>
      </w:r>
      <w:r>
        <w:rPr>
          <w:rFonts w:ascii="Titillium" w:hAnsi="Titillium" w:cs="Titillium"/>
          <w:sz w:val="14"/>
          <w:szCs w:val="14"/>
        </w:rPr>
        <w:t>www.fibl.org/de/shop/1260-dok-dossier (2024)</w:t>
      </w:r>
    </w:p>
    <w:p w14:paraId="17442226" w14:textId="6725AB6F" w:rsidR="006E7E7B" w:rsidRDefault="00D11010" w:rsidP="00D11010">
      <w:r>
        <w:rPr>
          <w:rFonts w:ascii="Titillium Bd" w:hAnsi="Titillium Bd" w:cs="Titillium Bd"/>
          <w:b/>
          <w:bCs/>
          <w:sz w:val="14"/>
          <w:szCs w:val="14"/>
        </w:rPr>
        <w:t xml:space="preserve">Personne contact </w:t>
      </w:r>
      <w:r>
        <w:rPr>
          <w:rFonts w:ascii="Titillium" w:hAnsi="Titillium" w:cs="Titillium"/>
          <w:sz w:val="14"/>
          <w:szCs w:val="14"/>
        </w:rPr>
        <w:t>Anna Storchenegger : anna.storchenegger@goetheanum.ch</w:t>
      </w:r>
    </w:p>
    <w:sectPr w:rsidR="006E7E7B" w:rsidSect="006F57DB">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230BBF"/>
    <w:rsid w:val="006E7E7B"/>
    <w:rsid w:val="006F57DB"/>
    <w:rsid w:val="007A3A2F"/>
    <w:rsid w:val="00B90BB3"/>
    <w:rsid w:val="00CF0D6D"/>
    <w:rsid w:val="00D11010"/>
    <w:rsid w:val="00D44712"/>
    <w:rsid w:val="00DD74B3"/>
    <w:rsid w:val="00EC40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1EF1F593"/>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641</Words>
  <Characters>4044</Characters>
  <Application>Microsoft Office Word</Application>
  <DocSecurity>0</DocSecurity>
  <Lines>33</Lines>
  <Paragraphs>9</Paragraphs>
  <ScaleCrop>false</ScaleCrop>
  <Company/>
  <LinksUpToDate>false</LinksUpToDate>
  <CharactersWithSpaces>4676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21</cp:revision>
  <dcterms:created xsi:type="dcterms:W3CDTF">2020-10-31T17:28:00Z</dcterms:created>
  <dcterms:modified xsi:type="dcterms:W3CDTF">2025-12-11T16:18:00Z</dcterms:modified>
</cp:coreProperties>
</file>