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8A65" w14:textId="77777777" w:rsidR="009A4B01" w:rsidRDefault="009A4B01">
      <w:pPr>
        <w:spacing w:after="0" w:line="240" w:lineRule="auto"/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</w:p>
    <w:p w14:paraId="0A4E128C" w14:textId="77777777" w:rsidR="009A4B01" w:rsidRDefault="009A4B01">
      <w:pPr>
        <w:spacing w:after="0" w:line="240" w:lineRule="auto"/>
        <w:jc w:val="both"/>
        <w:rPr>
          <w:rFonts w:ascii="Visa Dialect Regular" w:hAnsi="Visa Dialect Regular"/>
          <w:b/>
          <w:bCs/>
          <w:sz w:val="20"/>
          <w:szCs w:val="20"/>
          <w:lang w:val="it-IT"/>
        </w:rPr>
      </w:pPr>
    </w:p>
    <w:p w14:paraId="702A2DC5" w14:textId="77777777" w:rsidR="009A4B01" w:rsidRPr="006D3D7A" w:rsidRDefault="006D3D7A">
      <w:pPr>
        <w:spacing w:after="0" w:line="240" w:lineRule="auto"/>
        <w:jc w:val="both"/>
        <w:rPr>
          <w:lang w:val="it-IT"/>
        </w:rPr>
      </w:pPr>
      <w:r>
        <w:rPr>
          <w:rFonts w:ascii="Visa Dialect Regular" w:hAnsi="Visa Dialect Regular"/>
          <w:b/>
          <w:bCs/>
          <w:sz w:val="20"/>
          <w:szCs w:val="20"/>
          <w:lang w:val="it-IT"/>
        </w:rPr>
        <w:t>LE INIZIATIVE IN VISTA DI MILANO CORTINA 2026</w:t>
      </w:r>
    </w:p>
    <w:p w14:paraId="1D2ABF27" w14:textId="77777777" w:rsidR="009A4B01" w:rsidRPr="006D3D7A" w:rsidRDefault="006D3D7A">
      <w:pPr>
        <w:spacing w:after="0" w:line="240" w:lineRule="auto"/>
        <w:jc w:val="both"/>
        <w:rPr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 xml:space="preserve">La riqualificazione dell’area tra via Pietro Borsieri e via Guglielmo Pepe si inserisce tra i </w:t>
      </w:r>
      <w:r>
        <w:rPr>
          <w:rFonts w:ascii="Visa Dialect Regular" w:hAnsi="Visa Dialect Regular"/>
          <w:b/>
          <w:bCs/>
          <w:sz w:val="20"/>
          <w:szCs w:val="20"/>
          <w:lang w:val="it-IT"/>
        </w:rPr>
        <w:t>progetti di Visa</w:t>
      </w:r>
      <w:r>
        <w:rPr>
          <w:rFonts w:ascii="Visa Dialect Regular" w:hAnsi="Visa Dialect Regular"/>
          <w:sz w:val="20"/>
          <w:szCs w:val="20"/>
          <w:lang w:val="it-IT"/>
        </w:rPr>
        <w:t xml:space="preserve"> volti a creare un forte coinvolgimento del Paese con Milano Cortina 2026, </w:t>
      </w:r>
      <w:r>
        <w:rPr>
          <w:rFonts w:ascii="Visa Dialect Regular" w:hAnsi="Visa Dialect Regular"/>
          <w:sz w:val="20"/>
          <w:szCs w:val="20"/>
          <w:lang w:val="it-IT"/>
        </w:rPr>
        <w:t xml:space="preserve">tramite iniziative che spaziano dal sostegno alle imprese e ai territori, alla promozione dell’inclusione sociale e sportiva. </w:t>
      </w:r>
    </w:p>
    <w:p w14:paraId="0BF3F3E4" w14:textId="77777777" w:rsidR="009A4B01" w:rsidRDefault="009A4B01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28E03890" w14:textId="77777777" w:rsidR="009A4B01" w:rsidRPr="006D3D7A" w:rsidRDefault="006D3D7A">
      <w:pPr>
        <w:spacing w:after="0" w:line="240" w:lineRule="auto"/>
        <w:jc w:val="both"/>
        <w:rPr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>Secondo uno studio condotto da Ipsos per Visa</w:t>
      </w:r>
      <w:r>
        <w:rPr>
          <w:rStyle w:val="Rimandonotaapidipagina"/>
          <w:rFonts w:ascii="Visa Dialect Regular" w:hAnsi="Visa Dialect Regular"/>
          <w:sz w:val="20"/>
          <w:szCs w:val="20"/>
          <w:lang w:val="it-IT"/>
        </w:rPr>
        <w:footnoteReference w:id="1"/>
      </w:r>
      <w:r>
        <w:rPr>
          <w:rFonts w:ascii="Visa Dialect Regular" w:hAnsi="Visa Dialect Regular"/>
          <w:sz w:val="20"/>
          <w:szCs w:val="20"/>
          <w:lang w:val="it-IT"/>
        </w:rPr>
        <w:t xml:space="preserve">, </w:t>
      </w:r>
      <w:r>
        <w:rPr>
          <w:rFonts w:ascii="Visa Dialect Regular" w:hAnsi="Visa Dialect Regular"/>
          <w:b/>
          <w:bCs/>
          <w:sz w:val="20"/>
          <w:szCs w:val="20"/>
          <w:lang w:val="it-IT"/>
        </w:rPr>
        <w:t>il 95% delle PMI</w:t>
      </w:r>
      <w:r>
        <w:rPr>
          <w:rFonts w:ascii="Visa Dialect Regular" w:hAnsi="Visa Dialect Regular"/>
          <w:sz w:val="20"/>
          <w:szCs w:val="20"/>
          <w:lang w:val="it-IT"/>
        </w:rPr>
        <w:t xml:space="preserve"> delle regioni che ospiteranno i Giochi prevede un impatto economico positivo dall’evento: un’occasione che Visa intende valorizzare favorendo le attività locali attraverso pagamenti digitali semplici, veloci e sicuri. In questa direzione si inserisce l’edizione italiana di </w:t>
      </w:r>
      <w:proofErr w:type="spellStart"/>
      <w:r>
        <w:rPr>
          <w:rFonts w:ascii="Visa Dialect Regular" w:hAnsi="Visa Dialect Regular"/>
          <w:b/>
          <w:bCs/>
          <w:sz w:val="20"/>
          <w:szCs w:val="20"/>
          <w:lang w:val="it-IT"/>
        </w:rPr>
        <w:t>She’s</w:t>
      </w:r>
      <w:proofErr w:type="spellEnd"/>
      <w:r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Next 2025</w:t>
      </w:r>
      <w:r>
        <w:rPr>
          <w:rFonts w:ascii="Visa Dialect Regular" w:hAnsi="Visa Dialect Regular"/>
          <w:sz w:val="20"/>
          <w:szCs w:val="20"/>
          <w:lang w:val="it-IT"/>
        </w:rPr>
        <w:t xml:space="preserve">, il programma di Visa a supporto dell’imprenditoria femminile, che in vista di Milano Cortina 2026 ha posto un focus speciale su sport e sociale. </w:t>
      </w:r>
    </w:p>
    <w:p w14:paraId="3CE6B1C6" w14:textId="77777777" w:rsidR="009A4B01" w:rsidRDefault="009A4B01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793EBB03" w14:textId="77777777" w:rsidR="009A4B01" w:rsidRPr="006D3D7A" w:rsidRDefault="006D3D7A">
      <w:pPr>
        <w:spacing w:after="0" w:line="240" w:lineRule="auto"/>
        <w:jc w:val="both"/>
        <w:rPr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 xml:space="preserve">Per agevolare l’accoglienza dei milioni di visitatori attesi, inoltre, Visa è impegnata nell’estendere i </w:t>
      </w:r>
      <w:r>
        <w:rPr>
          <w:rFonts w:ascii="Visa Dialect Regular" w:hAnsi="Visa Dialect Regular"/>
          <w:b/>
          <w:bCs/>
          <w:sz w:val="20"/>
          <w:szCs w:val="20"/>
          <w:lang w:val="it-IT"/>
        </w:rPr>
        <w:t>pagamenti contactless</w:t>
      </w:r>
      <w:r>
        <w:rPr>
          <w:rFonts w:ascii="Visa Dialect Regular" w:hAnsi="Visa Dialect Regular"/>
          <w:sz w:val="20"/>
          <w:szCs w:val="20"/>
          <w:lang w:val="it-IT"/>
        </w:rPr>
        <w:t xml:space="preserve"> sui principali servizi di trasporto pubblico delle aree dei Giochi: già attiva in 14 province in Lombardia, Veneto e Trentino-Alto Adige, l’infrastruttura di pagamento è in fase di espansione e produrrà benefici concreti e una legacy positiva per il territorio anche in futuro.</w:t>
      </w:r>
    </w:p>
    <w:p w14:paraId="76996A3B" w14:textId="77777777" w:rsidR="009A4B01" w:rsidRDefault="009A4B01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768D5B48" w14:textId="77777777" w:rsidR="009A4B01" w:rsidRPr="006D3D7A" w:rsidRDefault="006D3D7A">
      <w:pPr>
        <w:spacing w:after="0" w:line="240" w:lineRule="auto"/>
        <w:jc w:val="both"/>
        <w:rPr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 xml:space="preserve">Accanto alle iniziative rivolte alle imprese e alla comunità, Visa nel 2025 ha confermato il proprio legame con lo sport e i consumatori nel cammino verso Milano Cortina 2026. Da un lato, organizzando incontri pubblici insieme agli atleti del </w:t>
      </w:r>
      <w:r>
        <w:rPr>
          <w:rFonts w:ascii="Visa Dialect Regular" w:hAnsi="Visa Dialect Regular"/>
          <w:b/>
          <w:bCs/>
          <w:sz w:val="20"/>
          <w:szCs w:val="20"/>
          <w:lang w:val="it-IT"/>
        </w:rPr>
        <w:t>Team Visa</w:t>
      </w:r>
      <w:r>
        <w:rPr>
          <w:rFonts w:ascii="Visa Dialect Regular" w:hAnsi="Visa Dialect Regular"/>
          <w:sz w:val="20"/>
          <w:szCs w:val="20"/>
          <w:lang w:val="it-IT"/>
        </w:rPr>
        <w:t>, il programma che fornisce agli atleti e alle atlete a livello globale gli strumenti e le risorse per raggiungere i loro obiettivi dentro e fuori dal campo; dall’altro, lanciando la campagna “</w:t>
      </w:r>
      <w:proofErr w:type="spellStart"/>
      <w:r>
        <w:rPr>
          <w:rFonts w:ascii="Visa Dialect Regular" w:hAnsi="Visa Dialect Regular"/>
          <w:b/>
          <w:bCs/>
          <w:sz w:val="20"/>
          <w:szCs w:val="20"/>
          <w:lang w:val="it-IT"/>
        </w:rPr>
        <w:t>Everywhere</w:t>
      </w:r>
      <w:proofErr w:type="spellEnd"/>
      <w:r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Visa Dialect Regular" w:hAnsi="Visa Dialect Regular"/>
          <w:b/>
          <w:bCs/>
          <w:sz w:val="20"/>
          <w:szCs w:val="20"/>
          <w:lang w:val="it-IT"/>
        </w:rPr>
        <w:t>you</w:t>
      </w:r>
      <w:proofErr w:type="spellEnd"/>
      <w:r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Fonts w:ascii="Visa Dialect Regular" w:hAnsi="Visa Dialect Regular"/>
          <w:b/>
          <w:bCs/>
          <w:sz w:val="20"/>
          <w:szCs w:val="20"/>
          <w:lang w:val="it-IT"/>
        </w:rPr>
        <w:t>want</w:t>
      </w:r>
      <w:proofErr w:type="spellEnd"/>
      <w:r>
        <w:rPr>
          <w:rFonts w:ascii="Visa Dialect Regular" w:hAnsi="Visa Dialect Regular"/>
          <w:b/>
          <w:bCs/>
          <w:sz w:val="20"/>
          <w:szCs w:val="20"/>
          <w:lang w:val="it-IT"/>
        </w:rPr>
        <w:t xml:space="preserve"> to be”</w:t>
      </w:r>
      <w:r>
        <w:rPr>
          <w:rFonts w:ascii="Visa Dialect Regular" w:hAnsi="Visa Dialect Regular"/>
          <w:sz w:val="20"/>
          <w:szCs w:val="20"/>
          <w:lang w:val="it-IT"/>
        </w:rPr>
        <w:t xml:space="preserve">, che vede tra i suoi protagonisti la regina del pop </w:t>
      </w:r>
      <w:r>
        <w:rPr>
          <w:rFonts w:ascii="Visa Dialect Regular" w:hAnsi="Visa Dialect Regular"/>
          <w:b/>
          <w:bCs/>
          <w:sz w:val="20"/>
          <w:szCs w:val="20"/>
          <w:lang w:val="it-IT"/>
        </w:rPr>
        <w:t>Annalisa</w:t>
      </w:r>
      <w:r>
        <w:rPr>
          <w:rFonts w:ascii="Visa Dialect Regular" w:hAnsi="Visa Dialect Regular"/>
          <w:sz w:val="20"/>
          <w:szCs w:val="20"/>
          <w:lang w:val="it-IT"/>
        </w:rPr>
        <w:t xml:space="preserve"> nel celebrare il potere dei “piccoli passi” per ispirare tutte e tutti a inseguire i propri sogni. </w:t>
      </w:r>
    </w:p>
    <w:p w14:paraId="27F3D11E" w14:textId="77777777" w:rsidR="009A4B01" w:rsidRDefault="009A4B01">
      <w:pPr>
        <w:spacing w:after="0" w:line="240" w:lineRule="auto"/>
        <w:jc w:val="both"/>
        <w:rPr>
          <w:rFonts w:ascii="Visa Dialect Regular" w:hAnsi="Visa Dialect Regular"/>
          <w:sz w:val="20"/>
          <w:szCs w:val="20"/>
          <w:lang w:val="it-IT"/>
        </w:rPr>
      </w:pPr>
    </w:p>
    <w:p w14:paraId="4FAA3E65" w14:textId="77777777" w:rsidR="009A4B01" w:rsidRPr="006D3D7A" w:rsidRDefault="006D3D7A">
      <w:pPr>
        <w:spacing w:after="0" w:line="240" w:lineRule="auto"/>
        <w:jc w:val="both"/>
        <w:rPr>
          <w:lang w:val="it-IT"/>
        </w:rPr>
      </w:pPr>
      <w:r>
        <w:rPr>
          <w:rFonts w:ascii="Visa Dialect Regular" w:hAnsi="Visa Dialect Regular"/>
          <w:sz w:val="20"/>
          <w:szCs w:val="20"/>
          <w:lang w:val="it-IT"/>
        </w:rPr>
        <w:t xml:space="preserve">Nei prossimi mesi, Visa presenterà </w:t>
      </w:r>
      <w:r>
        <w:rPr>
          <w:rFonts w:ascii="Visa Dialect Regular" w:hAnsi="Visa Dialect Regular"/>
          <w:b/>
          <w:bCs/>
          <w:sz w:val="20"/>
          <w:szCs w:val="20"/>
          <w:lang w:val="it-IT"/>
        </w:rPr>
        <w:t>ulteriori iniziative</w:t>
      </w:r>
      <w:r>
        <w:rPr>
          <w:rFonts w:ascii="Visa Dialect Regular" w:hAnsi="Visa Dialect Regular"/>
          <w:sz w:val="20"/>
          <w:szCs w:val="20"/>
          <w:lang w:val="it-IT"/>
        </w:rPr>
        <w:t xml:space="preserve"> volte a rendere il viaggio verso Milano Cortina 2026 sempre più coinvolgente e innovativo. </w:t>
      </w:r>
    </w:p>
    <w:p w14:paraId="51288201" w14:textId="77777777" w:rsidR="009A4B01" w:rsidRDefault="009A4B01">
      <w:pPr>
        <w:pStyle w:val="Nessunaspaziatura"/>
        <w:jc w:val="both"/>
      </w:pPr>
    </w:p>
    <w:sectPr w:rsidR="009A4B01">
      <w:headerReference w:type="default" r:id="rId6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5035" w14:textId="77777777" w:rsidR="006D3D7A" w:rsidRDefault="006D3D7A">
      <w:pPr>
        <w:spacing w:after="0" w:line="240" w:lineRule="auto"/>
      </w:pPr>
      <w:r>
        <w:separator/>
      </w:r>
    </w:p>
  </w:endnote>
  <w:endnote w:type="continuationSeparator" w:id="0">
    <w:p w14:paraId="5F527AF1" w14:textId="77777777" w:rsidR="006D3D7A" w:rsidRDefault="006D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a Dialect Regular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C8C6B" w14:textId="77777777" w:rsidR="006D3D7A" w:rsidRDefault="006D3D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85B438" w14:textId="77777777" w:rsidR="006D3D7A" w:rsidRDefault="006D3D7A">
      <w:pPr>
        <w:spacing w:after="0" w:line="240" w:lineRule="auto"/>
      </w:pPr>
      <w:r>
        <w:continuationSeparator/>
      </w:r>
    </w:p>
  </w:footnote>
  <w:footnote w:id="1">
    <w:p w14:paraId="61E837FD" w14:textId="77777777" w:rsidR="009A4B01" w:rsidRPr="006D3D7A" w:rsidRDefault="006D3D7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Commissionata da Visa e realizzata da Ipsos, la ricerca è stata realizzata attraverso 300 interviste telefoniche (metodologia CATI) condotte tra il 3 e il 18 febbraio 2025. Il campione comprende aziende localizzate sia nei territori ospitanti (Milano, Cortina d'Ampezzo, Bormio, Livigno, Anterselva, Predazzo, Tesero, Verona) sia in aree limitrofe non direttamente coinvolte nell'evento.</w:t>
      </w:r>
    </w:p>
    <w:p w14:paraId="24B8D96D" w14:textId="77777777" w:rsidR="006D3D7A" w:rsidRPr="006D3D7A" w:rsidRDefault="006D3D7A">
      <w:pPr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4062" w14:textId="77777777" w:rsidR="006D3D7A" w:rsidRDefault="006D3D7A">
    <w:pPr>
      <w:pStyle w:val="Intestazione"/>
      <w:jc w:val="right"/>
    </w:pPr>
    <w:r>
      <w:rPr>
        <w:noProof/>
      </w:rPr>
      <w:drawing>
        <wp:inline distT="0" distB="0" distL="0" distR="0" wp14:anchorId="59506E41" wp14:editId="7DA29983">
          <wp:extent cx="2371725" cy="926460"/>
          <wp:effectExtent l="0" t="0" r="9525" b="6990"/>
          <wp:docPr id="1295375780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9264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4B01"/>
    <w:rsid w:val="003A2C10"/>
    <w:rsid w:val="006D3D7A"/>
    <w:rsid w:val="009A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7D89"/>
  <w15:docId w15:val="{39AF501F-8F55-41A8-86C8-178DB66D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0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kern w:val="3"/>
      <w:sz w:val="40"/>
      <w:szCs w:val="40"/>
      <w:lang w:val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kern w:val="3"/>
      <w:sz w:val="32"/>
      <w:szCs w:val="32"/>
      <w:lang w:val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kern w:val="3"/>
      <w:sz w:val="28"/>
      <w:szCs w:val="28"/>
      <w:lang w:val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  <w:kern w:val="3"/>
      <w:lang w:val="it-IT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  <w:kern w:val="3"/>
      <w:lang w:val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3"/>
      <w:lang w:val="it-IT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  <w:kern w:val="3"/>
      <w:lang w:val="it-IT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  <w:kern w:val="3"/>
      <w:lang w:val="it-IT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  <w:kern w:val="3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kern w:val="3"/>
      <w:sz w:val="28"/>
      <w:szCs w:val="28"/>
      <w:lang w:val="it-IT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  <w:kern w:val="3"/>
      <w:lang w:val="it-IT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  <w:rPr>
      <w:kern w:val="3"/>
      <w:lang w:val="it-IT"/>
    </w:r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  <w:kern w:val="3"/>
      <w:lang w:val="it-IT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Nessunaspaziatura">
    <w:name w:val="No Spacing"/>
    <w:pPr>
      <w:suppressAutoHyphens/>
      <w:spacing w:after="0" w:line="240" w:lineRule="auto"/>
    </w:p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kern w:val="0"/>
      <w:sz w:val="20"/>
      <w:szCs w:val="20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kern w:val="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luisa guzzella</dc:creator>
  <dc:description/>
  <cp:lastModifiedBy>elena luisa guzzella</cp:lastModifiedBy>
  <cp:revision>2</cp:revision>
  <dcterms:created xsi:type="dcterms:W3CDTF">2025-09-23T12:40:00Z</dcterms:created>
  <dcterms:modified xsi:type="dcterms:W3CDTF">2025-09-23T12:40:00Z</dcterms:modified>
</cp:coreProperties>
</file>