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B677F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9281B">
        <w:rPr>
          <w:rFonts w:ascii="Arial" w:hAnsi="Arial" w:cs="Arial"/>
          <w:b/>
          <w:bCs/>
          <w:cap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4B33BB7" wp14:editId="7B06CF64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0E66C0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88B801" w14:textId="44AB8DDC" w:rsidR="007447EE" w:rsidRPr="0089281B" w:rsidRDefault="00C43A47" w:rsidP="00C43A47">
      <w:pPr>
        <w:tabs>
          <w:tab w:val="left" w:pos="2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</w:p>
    <w:p w14:paraId="4007D98D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14:paraId="0831D23D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7A5B23BB" w14:textId="77777777" w:rsidR="007447EE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7445519A" w14:textId="77777777" w:rsidR="005B316D" w:rsidRPr="0089281B" w:rsidRDefault="005B316D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3277"/>
      </w:tblGrid>
      <w:tr w:rsidR="005B316D" w:rsidRPr="0089281B" w14:paraId="41FFBEB1" w14:textId="77777777" w:rsidTr="005B316D">
        <w:trPr>
          <w:gridAfter w:val="1"/>
          <w:wAfter w:w="3277" w:type="dxa"/>
        </w:trPr>
        <w:tc>
          <w:tcPr>
            <w:tcW w:w="1579" w:type="dxa"/>
          </w:tcPr>
          <w:p w14:paraId="1576B845" w14:textId="77777777" w:rsidR="005B316D" w:rsidRPr="0089281B" w:rsidRDefault="005B316D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3277" w:type="dxa"/>
          </w:tcPr>
          <w:p w14:paraId="227FAD59" w14:textId="77777777" w:rsidR="005B316D" w:rsidRDefault="005B316D" w:rsidP="00EB57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 w:rsidRPr="00953F7E">
              <w:rPr>
                <w:rFonts w:ascii="Arial" w:hAnsi="Arial" w:cs="Arial"/>
                <w:bCs/>
                <w:lang w:val="de-DE"/>
              </w:rPr>
              <w:t>Gabriela Bechynská</w:t>
            </w:r>
          </w:p>
          <w:p w14:paraId="65E3292C" w14:textId="1729F9AA" w:rsidR="005B316D" w:rsidRPr="00953F7E" w:rsidRDefault="003D2DA6" w:rsidP="00EB57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de-DE"/>
              </w:rPr>
            </w:pPr>
            <w:r>
              <w:fldChar w:fldCharType="begin"/>
            </w:r>
            <w:r w:rsidRPr="003D2DA6">
              <w:rPr>
                <w:lang w:val="de-DE"/>
              </w:rPr>
              <w:instrText xml:space="preserve"> HYPERLINK "mailto:gabriela.bechynska@mdlz.com" </w:instrText>
            </w:r>
            <w:r>
              <w:fldChar w:fldCharType="separate"/>
            </w:r>
            <w:r w:rsidR="005B316D" w:rsidRPr="00953F7E">
              <w:rPr>
                <w:rStyle w:val="Hyperlink"/>
                <w:rFonts w:ascii="Arial" w:hAnsi="Arial" w:cs="Arial"/>
                <w:bCs/>
                <w:lang w:val="de-DE"/>
              </w:rPr>
              <w:t>gabriela.bechynska@mdlz.com</w:t>
            </w:r>
            <w:r>
              <w:rPr>
                <w:rStyle w:val="Hyperlink"/>
                <w:rFonts w:ascii="Arial" w:hAnsi="Arial" w:cs="Arial"/>
                <w:bCs/>
                <w:lang w:val="de-DE"/>
              </w:rPr>
              <w:fldChar w:fldCharType="end"/>
            </w:r>
          </w:p>
          <w:p w14:paraId="1347BBE3" w14:textId="20F4EEEF" w:rsidR="005B316D" w:rsidRPr="002137DE" w:rsidRDefault="005B316D" w:rsidP="00EB57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  <w:r w:rsidRPr="002137DE">
              <w:rPr>
                <w:rFonts w:ascii="Arial" w:hAnsi="Arial" w:cs="Arial"/>
                <w:bCs/>
                <w:lang w:val="de-DE"/>
              </w:rPr>
              <w:t>775 038</w:t>
            </w:r>
            <w:r>
              <w:rPr>
                <w:rFonts w:ascii="Arial" w:hAnsi="Arial" w:cs="Arial"/>
                <w:bCs/>
                <w:lang w:val="de-DE"/>
              </w:rPr>
              <w:t> </w:t>
            </w:r>
            <w:r w:rsidRPr="002137DE">
              <w:rPr>
                <w:rFonts w:ascii="Arial" w:hAnsi="Arial" w:cs="Arial"/>
                <w:bCs/>
                <w:lang w:val="de-DE"/>
              </w:rPr>
              <w:t>045</w:t>
            </w:r>
          </w:p>
        </w:tc>
      </w:tr>
      <w:tr w:rsidR="00F8523E" w:rsidRPr="0089281B" w14:paraId="0201406D" w14:textId="77777777" w:rsidTr="005B316D">
        <w:trPr>
          <w:trHeight w:val="70"/>
        </w:trPr>
        <w:tc>
          <w:tcPr>
            <w:tcW w:w="1579" w:type="dxa"/>
          </w:tcPr>
          <w:p w14:paraId="0B43743B" w14:textId="48DAC02D" w:rsidR="00F8523E" w:rsidRPr="002137DE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lang w:val="de-DE"/>
              </w:rPr>
            </w:pPr>
          </w:p>
        </w:tc>
        <w:tc>
          <w:tcPr>
            <w:tcW w:w="3277" w:type="dxa"/>
          </w:tcPr>
          <w:p w14:paraId="35CEAC70" w14:textId="77777777" w:rsidR="00F8523E" w:rsidRPr="002137DE" w:rsidRDefault="00F8523E" w:rsidP="0040394F">
            <w:pPr>
              <w:rPr>
                <w:rFonts w:ascii="Arial" w:hAnsi="Arial" w:cs="Arial"/>
                <w:color w:val="1F497D"/>
                <w:sz w:val="20"/>
                <w:szCs w:val="20"/>
                <w:lang w:val="de-DE"/>
              </w:rPr>
            </w:pPr>
          </w:p>
        </w:tc>
        <w:tc>
          <w:tcPr>
            <w:tcW w:w="3277" w:type="dxa"/>
          </w:tcPr>
          <w:p w14:paraId="54BA1695" w14:textId="77777777" w:rsidR="00F8523E" w:rsidRPr="002137DE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</w:tbl>
    <w:p w14:paraId="055516C0" w14:textId="52198E83" w:rsidR="007447EE" w:rsidRPr="007252C9" w:rsidRDefault="004117A7" w:rsidP="005B316D">
      <w:pPr>
        <w:spacing w:after="120"/>
        <w:jc w:val="center"/>
        <w:rPr>
          <w:rFonts w:ascii="Arial" w:hAnsi="Arial" w:cs="Arial"/>
          <w:b/>
          <w:color w:val="4F2170"/>
          <w:sz w:val="32"/>
          <w:szCs w:val="36"/>
        </w:rPr>
      </w:pPr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 xml:space="preserve">Čokoláda Milka se přidává ke </w:t>
      </w:r>
      <w:proofErr w:type="spellStart"/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>Cocoa</w:t>
      </w:r>
      <w:proofErr w:type="spellEnd"/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 xml:space="preserve"> </w:t>
      </w:r>
      <w:proofErr w:type="spellStart"/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>Life</w:t>
      </w:r>
      <w:proofErr w:type="spellEnd"/>
      <w:r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>,</w:t>
      </w:r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br/>
      </w:r>
      <w:r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>p</w:t>
      </w:r>
      <w:r w:rsidRPr="007A54B7">
        <w:rPr>
          <w:rFonts w:ascii="Arial" w:eastAsia="Calibri" w:hAnsi="Arial" w:cs="Arial"/>
          <w:b/>
          <w:bCs/>
          <w:color w:val="4F2170"/>
          <w:sz w:val="36"/>
          <w:szCs w:val="36"/>
          <w:lang w:eastAsia="zh-CN"/>
        </w:rPr>
        <w:t>rogramu pro udržitelné pěstování kakaa</w:t>
      </w:r>
      <w:r w:rsidRPr="00647032">
        <w:rPr>
          <w:rFonts w:ascii="Arial" w:hAnsi="Arial" w:cs="Arial"/>
          <w:b/>
          <w:color w:val="4F2170"/>
          <w:sz w:val="36"/>
          <w:szCs w:val="36"/>
        </w:rPr>
        <w:t xml:space="preserve"> </w:t>
      </w:r>
    </w:p>
    <w:p w14:paraId="4DDE4ADD" w14:textId="6EBCEA65" w:rsidR="004117A7" w:rsidRDefault="004117A7" w:rsidP="0082367F">
      <w:pPr>
        <w:ind w:left="360"/>
        <w:jc w:val="center"/>
        <w:rPr>
          <w:rFonts w:ascii="Arial" w:eastAsia="Calibri" w:hAnsi="Arial" w:cs="Arial"/>
          <w:b/>
          <w:bCs/>
          <w:color w:val="4F2170"/>
          <w:szCs w:val="36"/>
          <w:lang w:eastAsia="zh-CN"/>
        </w:rPr>
      </w:pPr>
      <w:r w:rsidRPr="004117A7">
        <w:rPr>
          <w:rFonts w:ascii="Arial" w:hAnsi="Arial" w:cs="Arial"/>
          <w:b/>
          <w:color w:val="4F2170"/>
          <w:sz w:val="24"/>
        </w:rPr>
        <w:t xml:space="preserve">Tabulkové čokolády Milka ponesou od srpna na svém balení logo programu </w:t>
      </w:r>
      <w:proofErr w:type="spellStart"/>
      <w:r w:rsidRPr="004117A7">
        <w:rPr>
          <w:rFonts w:ascii="Arial" w:hAnsi="Arial" w:cs="Arial"/>
          <w:b/>
          <w:color w:val="4F2170"/>
          <w:sz w:val="24"/>
        </w:rPr>
        <w:t>Cocoa</w:t>
      </w:r>
      <w:proofErr w:type="spellEnd"/>
      <w:r w:rsidRPr="004117A7">
        <w:rPr>
          <w:rFonts w:ascii="Arial" w:hAnsi="Arial" w:cs="Arial"/>
          <w:b/>
          <w:color w:val="4F2170"/>
          <w:sz w:val="24"/>
        </w:rPr>
        <w:t xml:space="preserve"> </w:t>
      </w:r>
      <w:proofErr w:type="spellStart"/>
      <w:r w:rsidRPr="004117A7">
        <w:rPr>
          <w:rFonts w:ascii="Arial" w:hAnsi="Arial" w:cs="Arial"/>
          <w:b/>
          <w:color w:val="4F2170"/>
          <w:sz w:val="24"/>
        </w:rPr>
        <w:t>Life</w:t>
      </w:r>
      <w:proofErr w:type="spellEnd"/>
      <w:r w:rsidRPr="004117A7">
        <w:rPr>
          <w:rFonts w:ascii="Arial" w:hAnsi="Arial" w:cs="Arial"/>
          <w:b/>
          <w:color w:val="4F2170"/>
          <w:sz w:val="24"/>
        </w:rPr>
        <w:t xml:space="preserve">, celé evropské čokoládové portfolio </w:t>
      </w:r>
      <w:r w:rsidR="00D51ABC">
        <w:rPr>
          <w:rFonts w:ascii="Arial" w:hAnsi="Arial" w:cs="Arial"/>
          <w:b/>
          <w:color w:val="4F2170"/>
          <w:sz w:val="24"/>
        </w:rPr>
        <w:t xml:space="preserve">značky </w:t>
      </w:r>
      <w:r w:rsidR="00D51ABC" w:rsidRPr="004117A7">
        <w:rPr>
          <w:rFonts w:ascii="Arial" w:hAnsi="Arial" w:cs="Arial"/>
          <w:b/>
          <w:color w:val="4F2170"/>
          <w:sz w:val="24"/>
        </w:rPr>
        <w:t xml:space="preserve">Milka </w:t>
      </w:r>
      <w:r w:rsidR="00EE5777">
        <w:rPr>
          <w:rFonts w:ascii="Arial" w:hAnsi="Arial" w:cs="Arial"/>
          <w:b/>
          <w:color w:val="4F2170"/>
          <w:sz w:val="24"/>
        </w:rPr>
        <w:br/>
      </w:r>
      <w:r w:rsidRPr="004117A7">
        <w:rPr>
          <w:rFonts w:ascii="Arial" w:hAnsi="Arial" w:cs="Arial"/>
          <w:b/>
          <w:color w:val="4F2170"/>
          <w:sz w:val="24"/>
        </w:rPr>
        <w:t xml:space="preserve">bude </w:t>
      </w:r>
      <w:r w:rsidR="00EE5777">
        <w:rPr>
          <w:rFonts w:ascii="Arial" w:hAnsi="Arial" w:cs="Arial"/>
          <w:b/>
          <w:color w:val="4F2170"/>
          <w:sz w:val="24"/>
        </w:rPr>
        <w:t xml:space="preserve">jeho </w:t>
      </w:r>
      <w:r w:rsidRPr="004117A7">
        <w:rPr>
          <w:rFonts w:ascii="Arial" w:hAnsi="Arial" w:cs="Arial"/>
          <w:b/>
          <w:color w:val="4F2170"/>
          <w:sz w:val="24"/>
        </w:rPr>
        <w:t>součástí ke konci roku 2019</w:t>
      </w:r>
      <w:r w:rsidRPr="00945514">
        <w:rPr>
          <w:rFonts w:ascii="Arial" w:eastAsia="Calibri" w:hAnsi="Arial" w:cs="Arial"/>
          <w:b/>
          <w:bCs/>
          <w:color w:val="4F2170"/>
          <w:szCs w:val="36"/>
          <w:lang w:eastAsia="zh-CN"/>
        </w:rPr>
        <w:t xml:space="preserve"> </w:t>
      </w:r>
    </w:p>
    <w:p w14:paraId="5D77F1BF" w14:textId="3EE4B8E3" w:rsidR="00043D73" w:rsidRPr="00043D73" w:rsidRDefault="00CF4343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647032">
        <w:rPr>
          <w:rFonts w:ascii="Arial" w:hAnsi="Arial" w:cs="Arial"/>
          <w:sz w:val="20"/>
          <w:szCs w:val="20"/>
        </w:rPr>
        <w:t xml:space="preserve">Praha </w:t>
      </w:r>
      <w:r w:rsidR="000176B5">
        <w:rPr>
          <w:rFonts w:ascii="Arial" w:hAnsi="Arial" w:cs="Arial"/>
          <w:sz w:val="20"/>
          <w:szCs w:val="20"/>
        </w:rPr>
        <w:t>9</w:t>
      </w:r>
      <w:r w:rsidR="00043D73" w:rsidRPr="000176B5">
        <w:rPr>
          <w:rFonts w:ascii="Arial" w:hAnsi="Arial" w:cs="Arial"/>
          <w:sz w:val="20"/>
          <w:szCs w:val="20"/>
        </w:rPr>
        <w:t>.</w:t>
      </w:r>
      <w:r w:rsidR="00043D73" w:rsidRPr="00043D73">
        <w:rPr>
          <w:rFonts w:ascii="Arial" w:hAnsi="Arial" w:cs="Arial"/>
          <w:sz w:val="20"/>
          <w:szCs w:val="20"/>
        </w:rPr>
        <w:t xml:space="preserve"> května 2018 – Společnost </w:t>
      </w:r>
      <w:proofErr w:type="spellStart"/>
      <w:r w:rsidR="00043D73" w:rsidRPr="00043D73">
        <w:rPr>
          <w:rFonts w:ascii="Arial" w:hAnsi="Arial" w:cs="Arial"/>
          <w:sz w:val="20"/>
          <w:szCs w:val="20"/>
        </w:rPr>
        <w:t>Mondelez</w:t>
      </w:r>
      <w:proofErr w:type="spellEnd"/>
      <w:r w:rsidR="00043D73"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D73" w:rsidRPr="00043D73">
        <w:rPr>
          <w:rFonts w:ascii="Arial" w:hAnsi="Arial" w:cs="Arial"/>
          <w:sz w:val="20"/>
          <w:szCs w:val="20"/>
        </w:rPr>
        <w:t>Europe</w:t>
      </w:r>
      <w:proofErr w:type="spellEnd"/>
      <w:r w:rsidR="00043D73" w:rsidRPr="00043D73">
        <w:rPr>
          <w:rFonts w:ascii="Arial" w:hAnsi="Arial" w:cs="Arial"/>
          <w:sz w:val="20"/>
          <w:szCs w:val="20"/>
        </w:rPr>
        <w:t xml:space="preserve"> dnes oznámila, že se její klíčová značka čokolády Milka připojí ke </w:t>
      </w:r>
      <w:proofErr w:type="spellStart"/>
      <w:r w:rsidR="00043D73" w:rsidRPr="00043D73">
        <w:rPr>
          <w:rFonts w:ascii="Arial" w:hAnsi="Arial" w:cs="Arial"/>
          <w:sz w:val="20"/>
          <w:szCs w:val="20"/>
        </w:rPr>
        <w:t>Cocoa</w:t>
      </w:r>
      <w:proofErr w:type="spellEnd"/>
      <w:r w:rsidR="00043D73"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3D73" w:rsidRPr="00043D73">
        <w:rPr>
          <w:rFonts w:ascii="Arial" w:hAnsi="Arial" w:cs="Arial"/>
          <w:sz w:val="20"/>
          <w:szCs w:val="20"/>
        </w:rPr>
        <w:t>Life</w:t>
      </w:r>
      <w:proofErr w:type="spellEnd"/>
      <w:r w:rsidR="00043D73" w:rsidRPr="00043D73">
        <w:rPr>
          <w:rFonts w:ascii="Arial" w:hAnsi="Arial" w:cs="Arial"/>
          <w:sz w:val="20"/>
          <w:szCs w:val="20"/>
        </w:rPr>
        <w:t>, programu pro udržitelné pěstování kakaa. Tento krok je součástí příslibu společnosti používat ve svých produktech pouze kakao získané udržitelným způsobem.</w:t>
      </w:r>
    </w:p>
    <w:p w14:paraId="6420E39B" w14:textId="6F558066" w:rsidR="00043D73" w:rsidRPr="00043D73" w:rsidRDefault="00043D73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43D73">
        <w:rPr>
          <w:rFonts w:ascii="Arial" w:hAnsi="Arial" w:cs="Arial"/>
          <w:sz w:val="20"/>
          <w:szCs w:val="20"/>
        </w:rPr>
        <w:t xml:space="preserve"> Tabulkové čokolády Milka budou mít v celé Evropě nový obal s logem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Life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od srpna 2018. Do konce roku 2019 společnost očekává, že do programu vstoupí celé evropské portfolio čokoládových produktů této značky. Milka se tak připojí k dalším značkám Mondelēz International, které obsahují kakao z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Life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. Jde o Cadbury </w:t>
      </w:r>
      <w:proofErr w:type="spellStart"/>
      <w:r w:rsidRPr="00043D73">
        <w:rPr>
          <w:rFonts w:ascii="Arial" w:hAnsi="Arial" w:cs="Arial"/>
          <w:sz w:val="20"/>
          <w:szCs w:val="20"/>
        </w:rPr>
        <w:t>Dairy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Milk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ve Velké Británii a Irsku, </w:t>
      </w:r>
      <w:proofErr w:type="spellStart"/>
      <w:r w:rsidRPr="00043D73">
        <w:rPr>
          <w:rFonts w:ascii="Arial" w:hAnsi="Arial" w:cs="Arial"/>
          <w:sz w:val="20"/>
          <w:szCs w:val="20"/>
        </w:rPr>
        <w:t>Côte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d'Or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v</w:t>
      </w:r>
      <w:r w:rsidR="00E8448D">
        <w:rPr>
          <w:rFonts w:ascii="Arial" w:hAnsi="Arial" w:cs="Arial"/>
          <w:sz w:val="20"/>
          <w:szCs w:val="20"/>
        </w:rPr>
        <w:t> </w:t>
      </w:r>
      <w:r w:rsidRPr="00043D73">
        <w:rPr>
          <w:rFonts w:ascii="Arial" w:hAnsi="Arial" w:cs="Arial"/>
          <w:sz w:val="20"/>
          <w:szCs w:val="20"/>
        </w:rPr>
        <w:t xml:space="preserve">Belgii a Francii, </w:t>
      </w:r>
      <w:proofErr w:type="spellStart"/>
      <w:r w:rsidRPr="00043D73">
        <w:rPr>
          <w:rFonts w:ascii="Arial" w:hAnsi="Arial" w:cs="Arial"/>
          <w:sz w:val="20"/>
          <w:szCs w:val="20"/>
        </w:rPr>
        <w:t>Freia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43D73">
        <w:rPr>
          <w:rFonts w:ascii="Arial" w:hAnsi="Arial" w:cs="Arial"/>
          <w:sz w:val="20"/>
          <w:szCs w:val="20"/>
        </w:rPr>
        <w:t>Marabou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v severoevropských zemích a sušenky </w:t>
      </w:r>
      <w:proofErr w:type="spellStart"/>
      <w:r w:rsidRPr="00043D73">
        <w:rPr>
          <w:rFonts w:ascii="Arial" w:hAnsi="Arial" w:cs="Arial"/>
          <w:sz w:val="20"/>
          <w:szCs w:val="20"/>
        </w:rPr>
        <w:t>Oreo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v celé Evropě.</w:t>
      </w:r>
    </w:p>
    <w:p w14:paraId="176C0180" w14:textId="25AFE607" w:rsidR="00043D73" w:rsidRPr="00043D73" w:rsidRDefault="00043D73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43D73">
        <w:rPr>
          <w:rFonts w:ascii="Arial" w:hAnsi="Arial" w:cs="Arial"/>
          <w:sz w:val="20"/>
          <w:szCs w:val="20"/>
        </w:rPr>
        <w:t xml:space="preserve">„Milka je naše největší značka čokolády v Evropě, její připojení k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</w:t>
      </w:r>
      <w:r w:rsidR="00D51ABC">
        <w:rPr>
          <w:rFonts w:ascii="Arial" w:hAnsi="Arial" w:cs="Arial"/>
          <w:sz w:val="20"/>
          <w:szCs w:val="20"/>
        </w:rPr>
        <w:t>a</w:t>
      </w:r>
      <w:proofErr w:type="spellEnd"/>
      <w:r w:rsidR="00D51A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ABC">
        <w:rPr>
          <w:rFonts w:ascii="Arial" w:hAnsi="Arial" w:cs="Arial"/>
          <w:sz w:val="20"/>
          <w:szCs w:val="20"/>
        </w:rPr>
        <w:t>Life</w:t>
      </w:r>
      <w:proofErr w:type="spellEnd"/>
      <w:r w:rsidR="00D51ABC">
        <w:rPr>
          <w:rFonts w:ascii="Arial" w:hAnsi="Arial" w:cs="Arial"/>
          <w:sz w:val="20"/>
          <w:szCs w:val="20"/>
        </w:rPr>
        <w:t xml:space="preserve"> je pro nás klíčový krok,“</w:t>
      </w:r>
      <w:r w:rsidRPr="00043D73">
        <w:rPr>
          <w:rFonts w:ascii="Arial" w:hAnsi="Arial" w:cs="Arial"/>
          <w:sz w:val="20"/>
          <w:szCs w:val="20"/>
        </w:rPr>
        <w:t xml:space="preserve"> uvedl Hubert Weber, výkonný viceprezident a preziden</w:t>
      </w:r>
      <w:r w:rsidR="00D51ABC">
        <w:rPr>
          <w:rFonts w:ascii="Arial" w:hAnsi="Arial" w:cs="Arial"/>
          <w:sz w:val="20"/>
          <w:szCs w:val="20"/>
        </w:rPr>
        <w:t xml:space="preserve">t společnosti </w:t>
      </w:r>
      <w:proofErr w:type="spellStart"/>
      <w:r w:rsidR="00D51ABC">
        <w:rPr>
          <w:rFonts w:ascii="Arial" w:hAnsi="Arial" w:cs="Arial"/>
          <w:sz w:val="20"/>
          <w:szCs w:val="20"/>
        </w:rPr>
        <w:t>Mondelez</w:t>
      </w:r>
      <w:proofErr w:type="spellEnd"/>
      <w:r w:rsidR="00D51A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1ABC">
        <w:rPr>
          <w:rFonts w:ascii="Arial" w:hAnsi="Arial" w:cs="Arial"/>
          <w:sz w:val="20"/>
          <w:szCs w:val="20"/>
        </w:rPr>
        <w:t>Europe</w:t>
      </w:r>
      <w:proofErr w:type="spellEnd"/>
      <w:r w:rsidR="00D51ABC">
        <w:rPr>
          <w:rFonts w:ascii="Arial" w:hAnsi="Arial" w:cs="Arial"/>
          <w:sz w:val="20"/>
          <w:szCs w:val="20"/>
        </w:rPr>
        <w:t>. „</w:t>
      </w:r>
      <w:r w:rsidRPr="00043D73">
        <w:rPr>
          <w:rFonts w:ascii="Arial" w:hAnsi="Arial" w:cs="Arial"/>
          <w:sz w:val="20"/>
          <w:szCs w:val="20"/>
        </w:rPr>
        <w:t>Program je velmi úspěšný, a my tímto dále směřujeme k našemu cíli do roku 2022 zasáhnout komunitu čítající 200 tisíc zemědělců a jejich rodin a zlepšit životní</w:t>
      </w:r>
      <w:r w:rsidR="00D51ABC">
        <w:rPr>
          <w:rFonts w:ascii="Arial" w:hAnsi="Arial" w:cs="Arial"/>
          <w:sz w:val="20"/>
          <w:szCs w:val="20"/>
        </w:rPr>
        <w:t xml:space="preserve"> podmínky jednoho milionu lidí.“</w:t>
      </w:r>
    </w:p>
    <w:p w14:paraId="1423870D" w14:textId="653A778C" w:rsidR="00043D73" w:rsidRPr="00043D73" w:rsidRDefault="00043D73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43D73">
        <w:rPr>
          <w:rFonts w:ascii="Arial" w:hAnsi="Arial" w:cs="Arial"/>
          <w:sz w:val="20"/>
          <w:szCs w:val="20"/>
        </w:rPr>
        <w:t xml:space="preserve">Posláním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Life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je vytvořit silný dodavatelský řetězec kakaa, podporovat komunity pěstitelů této komodity, podílet se na řešení odlesňování a budování odolnosti vůči změně klimatu v šesti zemích, kde se kakao pěstuje: v Ghaně, Pobřeží slonoviny, Indonésii, Dominikánské republice, Indii a</w:t>
      </w:r>
      <w:r w:rsidR="00E8448D">
        <w:rPr>
          <w:rFonts w:ascii="Arial" w:hAnsi="Arial" w:cs="Arial"/>
          <w:sz w:val="20"/>
          <w:szCs w:val="20"/>
        </w:rPr>
        <w:t> </w:t>
      </w:r>
      <w:r w:rsidRPr="00043D73">
        <w:rPr>
          <w:rFonts w:ascii="Arial" w:hAnsi="Arial" w:cs="Arial"/>
          <w:sz w:val="20"/>
          <w:szCs w:val="20"/>
        </w:rPr>
        <w:t xml:space="preserve">Brazílii. Na konci roku 2017 se do programu zapojilo 120 500 zemědělců ve více než tisíci komunitách. </w:t>
      </w:r>
      <w:r w:rsidR="000176B5">
        <w:rPr>
          <w:rFonts w:ascii="Arial" w:hAnsi="Arial" w:cs="Arial"/>
          <w:sz w:val="20"/>
          <w:szCs w:val="20"/>
        </w:rPr>
        <w:t xml:space="preserve">Pěstitelé se dostali </w:t>
      </w:r>
      <w:r w:rsidRPr="00043D73">
        <w:rPr>
          <w:rFonts w:ascii="Arial" w:hAnsi="Arial" w:cs="Arial"/>
          <w:sz w:val="20"/>
          <w:szCs w:val="20"/>
        </w:rPr>
        <w:t xml:space="preserve">k více než jednomu milionu stromů tvořících stín v rámci globálního úsilí zabránit klimatickým změnám. Díky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Life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společnost získává 35 % kakaa udržitelným způsobem, což představuje nárůst o 14 procent ve srovnání s rokem 2016. Nezávislé ověření ukázalo, že v indonéských komunitách zapojených do programu </w:t>
      </w:r>
      <w:proofErr w:type="spellStart"/>
      <w:r w:rsidRPr="00043D73">
        <w:rPr>
          <w:rFonts w:ascii="Arial" w:hAnsi="Arial" w:cs="Arial"/>
          <w:sz w:val="20"/>
          <w:szCs w:val="20"/>
        </w:rPr>
        <w:t>Cocoa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3D73">
        <w:rPr>
          <w:rFonts w:ascii="Arial" w:hAnsi="Arial" w:cs="Arial"/>
          <w:sz w:val="20"/>
          <w:szCs w:val="20"/>
        </w:rPr>
        <w:t>Life</w:t>
      </w:r>
      <w:proofErr w:type="spellEnd"/>
      <w:r w:rsidRPr="00043D73">
        <w:rPr>
          <w:rFonts w:ascii="Arial" w:hAnsi="Arial" w:cs="Arial"/>
          <w:sz w:val="20"/>
          <w:szCs w:val="20"/>
        </w:rPr>
        <w:t xml:space="preserve"> se roční příjmy zemědělců zvýšily o 37 procent a výnos kakaa o 10 procent.</w:t>
      </w:r>
    </w:p>
    <w:p w14:paraId="60E55453" w14:textId="367BA144" w:rsidR="00043D73" w:rsidRPr="00043D73" w:rsidRDefault="00D51ABC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43D73" w:rsidRPr="00043D73">
        <w:rPr>
          <w:rFonts w:ascii="Arial" w:hAnsi="Arial" w:cs="Arial"/>
          <w:sz w:val="20"/>
          <w:szCs w:val="20"/>
        </w:rPr>
        <w:t>Jako jeden z největších výrobců čokolády na světě zasahujeme miliony spotř</w:t>
      </w:r>
      <w:r>
        <w:rPr>
          <w:rFonts w:ascii="Arial" w:hAnsi="Arial" w:cs="Arial"/>
          <w:sz w:val="20"/>
          <w:szCs w:val="20"/>
        </w:rPr>
        <w:t>ebitelů se značkami jako Milka,“</w:t>
      </w:r>
      <w:r w:rsidR="00043D73" w:rsidRPr="00043D73">
        <w:rPr>
          <w:rFonts w:ascii="Arial" w:hAnsi="Arial" w:cs="Arial"/>
          <w:sz w:val="20"/>
          <w:szCs w:val="20"/>
        </w:rPr>
        <w:t xml:space="preserve"> řekl Hubert Weber. </w:t>
      </w:r>
      <w:r>
        <w:rPr>
          <w:rFonts w:ascii="Arial" w:hAnsi="Arial" w:cs="Arial"/>
          <w:sz w:val="20"/>
          <w:szCs w:val="20"/>
        </w:rPr>
        <w:t>„</w:t>
      </w:r>
      <w:r w:rsidR="00043D73" w:rsidRPr="00043D73">
        <w:rPr>
          <w:rFonts w:ascii="Arial" w:hAnsi="Arial" w:cs="Arial"/>
          <w:sz w:val="20"/>
          <w:szCs w:val="20"/>
        </w:rPr>
        <w:t xml:space="preserve">Rádi této síly využijeme k řízení pozitivní změny pro komunity, na kterých </w:t>
      </w:r>
      <w:r w:rsidR="00043D73" w:rsidRPr="00043D73">
        <w:rPr>
          <w:rFonts w:ascii="Arial" w:hAnsi="Arial" w:cs="Arial"/>
          <w:sz w:val="20"/>
          <w:szCs w:val="20"/>
        </w:rPr>
        <w:lastRenderedPageBreak/>
        <w:t xml:space="preserve">jsme závislí, a vytvoříme s pěstiteli naší nejdůležitější komodity dlouhodobě silné vztahy. Nyní více než kdy jindy se naši spotřebitelé starají o své potraviny a chtějí vědět, </w:t>
      </w:r>
      <w:r>
        <w:rPr>
          <w:rFonts w:ascii="Arial" w:hAnsi="Arial" w:cs="Arial"/>
          <w:sz w:val="20"/>
          <w:szCs w:val="20"/>
        </w:rPr>
        <w:t xml:space="preserve">že to, co jedí, je udržitelné.“ </w:t>
      </w:r>
    </w:p>
    <w:p w14:paraId="323A9D89" w14:textId="19FA200D" w:rsidR="00043D73" w:rsidRPr="00D51ABC" w:rsidRDefault="00043D73" w:rsidP="000176B5">
      <w:pPr>
        <w:spacing w:line="360" w:lineRule="auto"/>
        <w:contextualSpacing/>
        <w:rPr>
          <w:rFonts w:ascii="Arial" w:hAnsi="Arial" w:cs="Arial"/>
          <w:b/>
          <w:color w:val="4F2170"/>
          <w:sz w:val="24"/>
        </w:rPr>
      </w:pPr>
      <w:bookmarkStart w:id="0" w:name="_GoBack"/>
      <w:bookmarkEnd w:id="0"/>
      <w:r w:rsidRPr="00D51ABC">
        <w:rPr>
          <w:rFonts w:ascii="Arial" w:hAnsi="Arial" w:cs="Arial"/>
          <w:b/>
          <w:color w:val="4F2170"/>
          <w:sz w:val="24"/>
        </w:rPr>
        <w:t xml:space="preserve">O programu </w:t>
      </w:r>
      <w:proofErr w:type="spellStart"/>
      <w:r w:rsidRPr="00D51ABC">
        <w:rPr>
          <w:rFonts w:ascii="Arial" w:hAnsi="Arial" w:cs="Arial"/>
          <w:b/>
          <w:color w:val="4F2170"/>
          <w:sz w:val="24"/>
        </w:rPr>
        <w:t>Cocoa</w:t>
      </w:r>
      <w:proofErr w:type="spellEnd"/>
      <w:r w:rsidRPr="00D51ABC">
        <w:rPr>
          <w:rFonts w:ascii="Arial" w:hAnsi="Arial" w:cs="Arial"/>
          <w:b/>
          <w:color w:val="4F2170"/>
          <w:sz w:val="24"/>
        </w:rPr>
        <w:t xml:space="preserve"> </w:t>
      </w:r>
      <w:proofErr w:type="spellStart"/>
      <w:r w:rsidRPr="00D51ABC">
        <w:rPr>
          <w:rFonts w:ascii="Arial" w:hAnsi="Arial" w:cs="Arial"/>
          <w:b/>
          <w:color w:val="4F2170"/>
          <w:sz w:val="24"/>
        </w:rPr>
        <w:t>Life</w:t>
      </w:r>
      <w:proofErr w:type="spellEnd"/>
      <w:r w:rsidRPr="00D51ABC">
        <w:rPr>
          <w:rFonts w:ascii="Arial" w:hAnsi="Arial" w:cs="Arial"/>
          <w:b/>
          <w:color w:val="4F2170"/>
          <w:sz w:val="24"/>
        </w:rPr>
        <w:t xml:space="preserve"> </w:t>
      </w:r>
    </w:p>
    <w:p w14:paraId="2D59ACFE" w14:textId="644917E1" w:rsidR="005B316D" w:rsidRPr="00647032" w:rsidRDefault="000176B5" w:rsidP="000176B5">
      <w:pPr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0176B5">
        <w:rPr>
          <w:rFonts w:ascii="Arial" w:hAnsi="Arial" w:cs="Arial"/>
          <w:sz w:val="20"/>
          <w:szCs w:val="20"/>
        </w:rPr>
        <w:t xml:space="preserve">Cílem programu </w:t>
      </w:r>
      <w:proofErr w:type="spellStart"/>
      <w:r w:rsidRPr="000176B5">
        <w:rPr>
          <w:rFonts w:ascii="Arial" w:hAnsi="Arial" w:cs="Arial"/>
          <w:sz w:val="20"/>
          <w:szCs w:val="20"/>
        </w:rPr>
        <w:t>Cocoa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76B5">
        <w:rPr>
          <w:rFonts w:ascii="Arial" w:hAnsi="Arial" w:cs="Arial"/>
          <w:sz w:val="20"/>
          <w:szCs w:val="20"/>
        </w:rPr>
        <w:t>Life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 je podporovat soběstačnost a prosperitu komunit pěstitelů kakaa. Oslovuje přes 200 tisíc pěstitelů v šesti zemích a do roku 2022 přinese prospěch více než milionu lidí. Cílem společnosti Mondelēz International je zajistit veškerou svoji spotřebu kakaa z udržitelných zdrojů, především prostřednictvím programu </w:t>
      </w:r>
      <w:proofErr w:type="spellStart"/>
      <w:r w:rsidRPr="000176B5">
        <w:rPr>
          <w:rFonts w:ascii="Arial" w:hAnsi="Arial" w:cs="Arial"/>
          <w:sz w:val="20"/>
          <w:szCs w:val="20"/>
        </w:rPr>
        <w:t>Cocoa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76B5">
        <w:rPr>
          <w:rFonts w:ascii="Arial" w:hAnsi="Arial" w:cs="Arial"/>
          <w:sz w:val="20"/>
          <w:szCs w:val="20"/>
        </w:rPr>
        <w:t>Life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. Program spolupracuje s pěstiteli, neziskovými organizacemi i státními institucemi a je součástí strategie </w:t>
      </w:r>
      <w:proofErr w:type="spellStart"/>
      <w:r w:rsidRPr="000176B5">
        <w:rPr>
          <w:rFonts w:ascii="Arial" w:hAnsi="Arial" w:cs="Arial"/>
          <w:sz w:val="20"/>
          <w:szCs w:val="20"/>
        </w:rPr>
        <w:t>Impact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76B5">
        <w:rPr>
          <w:rFonts w:ascii="Arial" w:hAnsi="Arial" w:cs="Arial"/>
          <w:sz w:val="20"/>
          <w:szCs w:val="20"/>
        </w:rPr>
        <w:t>For</w:t>
      </w:r>
      <w:proofErr w:type="spellEnd"/>
      <w:r w:rsidRPr="000176B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176B5">
        <w:rPr>
          <w:rFonts w:ascii="Arial" w:hAnsi="Arial" w:cs="Arial"/>
          <w:sz w:val="20"/>
          <w:szCs w:val="20"/>
        </w:rPr>
        <w:t>Growth</w:t>
      </w:r>
      <w:proofErr w:type="spellEnd"/>
      <w:r w:rsidRPr="000176B5">
        <w:rPr>
          <w:rFonts w:ascii="Arial" w:hAnsi="Arial" w:cs="Arial"/>
          <w:sz w:val="20"/>
          <w:szCs w:val="20"/>
        </w:rPr>
        <w:t>, v níž se společnost Mondelēz International zavazuje dosahovat obchodního růstu pozitivními změnami ve světě.</w:t>
      </w:r>
      <w:r w:rsidRPr="009051E9">
        <w:rPr>
          <w:rFonts w:ascii="Arial" w:hAnsi="Arial" w:cs="Arial"/>
        </w:rPr>
        <w:t xml:space="preserve"> </w:t>
      </w:r>
      <w:r w:rsidR="005B316D" w:rsidRPr="00647032">
        <w:rPr>
          <w:rFonts w:ascii="Arial" w:hAnsi="Arial" w:cs="Arial"/>
          <w:sz w:val="20"/>
          <w:szCs w:val="20"/>
        </w:rPr>
        <w:t>Více o</w:t>
      </w:r>
      <w:r w:rsidR="00B37660">
        <w:rPr>
          <w:rFonts w:ascii="Arial" w:hAnsi="Arial" w:cs="Arial"/>
          <w:sz w:val="20"/>
          <w:szCs w:val="20"/>
        </w:rPr>
        <w:t> </w:t>
      </w:r>
      <w:r w:rsidR="005B316D" w:rsidRPr="00647032">
        <w:rPr>
          <w:rFonts w:ascii="Arial" w:hAnsi="Arial" w:cs="Arial"/>
          <w:sz w:val="20"/>
          <w:szCs w:val="20"/>
        </w:rPr>
        <w:t xml:space="preserve">programu </w:t>
      </w:r>
      <w:proofErr w:type="spellStart"/>
      <w:r w:rsidR="005B316D" w:rsidRPr="00647032">
        <w:rPr>
          <w:rFonts w:ascii="Arial" w:hAnsi="Arial" w:cs="Arial"/>
          <w:sz w:val="20"/>
          <w:szCs w:val="20"/>
        </w:rPr>
        <w:t>Cocoa</w:t>
      </w:r>
      <w:proofErr w:type="spellEnd"/>
      <w:r w:rsidR="005B316D" w:rsidRPr="006470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316D" w:rsidRPr="00647032">
        <w:rPr>
          <w:rFonts w:ascii="Arial" w:hAnsi="Arial" w:cs="Arial"/>
          <w:sz w:val="20"/>
          <w:szCs w:val="20"/>
        </w:rPr>
        <w:t>Life</w:t>
      </w:r>
      <w:proofErr w:type="spellEnd"/>
      <w:r w:rsidR="005B316D" w:rsidRPr="00647032">
        <w:rPr>
          <w:rFonts w:ascii="Arial" w:hAnsi="Arial" w:cs="Arial"/>
          <w:sz w:val="20"/>
          <w:szCs w:val="20"/>
        </w:rPr>
        <w:t xml:space="preserve"> najdete na: </w:t>
      </w:r>
      <w:hyperlink r:id="rId9" w:history="1">
        <w:r w:rsidR="00043D73" w:rsidRPr="00912DD4">
          <w:rPr>
            <w:rStyle w:val="Hyperlink"/>
            <w:rFonts w:ascii="Arial" w:hAnsi="Arial" w:cs="Arial"/>
            <w:sz w:val="20"/>
            <w:szCs w:val="20"/>
          </w:rPr>
          <w:t>www.cocoalife.org</w:t>
        </w:r>
      </w:hyperlink>
      <w:r w:rsidR="005B316D" w:rsidRPr="00647032">
        <w:rPr>
          <w:rFonts w:ascii="Arial" w:hAnsi="Arial" w:cs="Arial"/>
          <w:sz w:val="20"/>
          <w:szCs w:val="20"/>
        </w:rPr>
        <w:t xml:space="preserve"> </w:t>
      </w:r>
    </w:p>
    <w:p w14:paraId="5F2A2D34" w14:textId="671FBE91" w:rsidR="00647032" w:rsidRDefault="00B70DFB" w:rsidP="000176B5">
      <w:pPr>
        <w:spacing w:after="0" w:line="360" w:lineRule="auto"/>
        <w:ind w:firstLine="360"/>
        <w:rPr>
          <w:rStyle w:val="Hyperlink"/>
          <w:rFonts w:ascii="Arial" w:hAnsi="Arial" w:cs="Arial"/>
          <w:sz w:val="20"/>
          <w:szCs w:val="20"/>
        </w:rPr>
      </w:pPr>
      <w:r w:rsidRPr="00647032">
        <w:rPr>
          <w:rFonts w:ascii="Arial" w:hAnsi="Arial" w:cs="Arial"/>
          <w:sz w:val="20"/>
          <w:szCs w:val="20"/>
        </w:rPr>
        <w:t xml:space="preserve">Tiskové zprávy společnosti Mondelez International v České republice a na Slovensku najdete zde: </w:t>
      </w:r>
      <w:hyperlink r:id="rId10" w:history="1">
        <w:r w:rsidRPr="00647032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</w:p>
    <w:p w14:paraId="47DEBF9B" w14:textId="77777777" w:rsidR="00043D73" w:rsidRDefault="00043D73" w:rsidP="000176B5">
      <w:pPr>
        <w:spacing w:after="0" w:line="360" w:lineRule="auto"/>
        <w:ind w:firstLine="360"/>
        <w:rPr>
          <w:rFonts w:ascii="Arial" w:eastAsia="Calibri" w:hAnsi="Arial" w:cs="Arial"/>
          <w:b/>
          <w:color w:val="4F2170"/>
          <w:szCs w:val="36"/>
        </w:rPr>
      </w:pPr>
    </w:p>
    <w:p w14:paraId="7858264F" w14:textId="45295EE4" w:rsidR="007447EE" w:rsidRPr="0089281B" w:rsidRDefault="007447EE" w:rsidP="000176B5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t>O společnosti Mondelez Czech Republic s.r.o.</w:t>
      </w:r>
    </w:p>
    <w:p w14:paraId="1053DE9B" w14:textId="77777777" w:rsidR="005B316D" w:rsidRDefault="005B316D" w:rsidP="000176B5">
      <w:pPr>
        <w:spacing w:after="0" w:line="360" w:lineRule="auto"/>
        <w:ind w:firstLine="720"/>
        <w:rPr>
          <w:rFonts w:ascii="Arial" w:hAnsi="Arial" w:cs="Arial"/>
          <w:sz w:val="20"/>
        </w:rPr>
      </w:pPr>
    </w:p>
    <w:p w14:paraId="68C29278" w14:textId="6F88FC72" w:rsidR="007447EE" w:rsidRDefault="007447EE" w:rsidP="000176B5">
      <w:pPr>
        <w:spacing w:after="0" w:line="360" w:lineRule="auto"/>
        <w:ind w:firstLine="720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Společnost Mondelez Czech Republic s.r.o. je součástí skupiny společností Mondelēz International, která je předním světovým výrobcem čokolády, sušenek, žvýkaček a bonbonů. </w:t>
      </w:r>
      <w:r w:rsidR="00D91AA8"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>současné době zaměstnává téměř 100 tisíc zaměstnanců a své výrobky prodává ve 16</w:t>
      </w:r>
      <w:r w:rsidR="00043D73">
        <w:rPr>
          <w:rFonts w:ascii="Arial" w:hAnsi="Arial" w:cs="Arial"/>
          <w:sz w:val="20"/>
        </w:rPr>
        <w:t>0</w:t>
      </w:r>
      <w:r w:rsidRPr="0089281B">
        <w:rPr>
          <w:rFonts w:ascii="Arial" w:hAnsi="Arial" w:cs="Arial"/>
          <w:sz w:val="20"/>
        </w:rPr>
        <w:t xml:space="preserve">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4783A"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1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2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3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14:paraId="0B79E37C" w14:textId="77777777" w:rsidR="00D91AA8" w:rsidRPr="0089281B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5E18B003" w14:textId="77777777" w:rsidR="007447EE" w:rsidRPr="0089281B" w:rsidRDefault="007447EE" w:rsidP="007447E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  <w:lang w:val="en-US" w:eastAsia="en-US"/>
        </w:rPr>
        <w:drawing>
          <wp:inline distT="0" distB="0" distL="0" distR="0" wp14:anchorId="4F4F2F74" wp14:editId="2BDC665C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5441E" w14:textId="77777777" w:rsidR="00744EF2" w:rsidRPr="0089281B" w:rsidRDefault="00744EF2"/>
    <w:sectPr w:rsidR="00744EF2" w:rsidRPr="0089281B" w:rsidSect="0040394F"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94D6A" w14:textId="77777777" w:rsidR="005D775F" w:rsidRDefault="005D775F">
      <w:pPr>
        <w:spacing w:after="0" w:line="240" w:lineRule="auto"/>
      </w:pPr>
      <w:r>
        <w:separator/>
      </w:r>
    </w:p>
  </w:endnote>
  <w:endnote w:type="continuationSeparator" w:id="0">
    <w:p w14:paraId="485BF022" w14:textId="77777777" w:rsidR="005D775F" w:rsidRDefault="005D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1F9" w14:textId="77777777"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8CAA5" w14:textId="77777777" w:rsidR="005D775F" w:rsidRDefault="005D775F">
      <w:pPr>
        <w:spacing w:after="0" w:line="240" w:lineRule="auto"/>
      </w:pPr>
      <w:r>
        <w:separator/>
      </w:r>
    </w:p>
  </w:footnote>
  <w:footnote w:type="continuationSeparator" w:id="0">
    <w:p w14:paraId="11C6F3CB" w14:textId="77777777" w:rsidR="005D775F" w:rsidRDefault="005D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EE"/>
    <w:rsid w:val="00003CE4"/>
    <w:rsid w:val="00006301"/>
    <w:rsid w:val="00012559"/>
    <w:rsid w:val="000176B5"/>
    <w:rsid w:val="00043D73"/>
    <w:rsid w:val="0005480F"/>
    <w:rsid w:val="000721C9"/>
    <w:rsid w:val="00072D73"/>
    <w:rsid w:val="000739C3"/>
    <w:rsid w:val="00074A68"/>
    <w:rsid w:val="000865C4"/>
    <w:rsid w:val="00092EDE"/>
    <w:rsid w:val="000D2BFB"/>
    <w:rsid w:val="000F007F"/>
    <w:rsid w:val="00101CB8"/>
    <w:rsid w:val="001122E1"/>
    <w:rsid w:val="00122FA6"/>
    <w:rsid w:val="001233BD"/>
    <w:rsid w:val="00133033"/>
    <w:rsid w:val="0014752A"/>
    <w:rsid w:val="00152933"/>
    <w:rsid w:val="001668F6"/>
    <w:rsid w:val="00183F47"/>
    <w:rsid w:val="00187B0D"/>
    <w:rsid w:val="001929C6"/>
    <w:rsid w:val="00195A67"/>
    <w:rsid w:val="001A29CE"/>
    <w:rsid w:val="001B3D0A"/>
    <w:rsid w:val="001B6C19"/>
    <w:rsid w:val="001D25EF"/>
    <w:rsid w:val="001D78DA"/>
    <w:rsid w:val="001E17D9"/>
    <w:rsid w:val="001E53F8"/>
    <w:rsid w:val="001F7277"/>
    <w:rsid w:val="002137DE"/>
    <w:rsid w:val="0022307D"/>
    <w:rsid w:val="00226F5D"/>
    <w:rsid w:val="00233ADC"/>
    <w:rsid w:val="00240D8D"/>
    <w:rsid w:val="00244900"/>
    <w:rsid w:val="00245D5D"/>
    <w:rsid w:val="002521FC"/>
    <w:rsid w:val="00256076"/>
    <w:rsid w:val="002845BF"/>
    <w:rsid w:val="00290235"/>
    <w:rsid w:val="00292153"/>
    <w:rsid w:val="002954EA"/>
    <w:rsid w:val="002A11D9"/>
    <w:rsid w:val="002A32F7"/>
    <w:rsid w:val="002B7EEF"/>
    <w:rsid w:val="002D221E"/>
    <w:rsid w:val="002D69C9"/>
    <w:rsid w:val="00300443"/>
    <w:rsid w:val="00306E93"/>
    <w:rsid w:val="00310D56"/>
    <w:rsid w:val="00335405"/>
    <w:rsid w:val="00343039"/>
    <w:rsid w:val="003565E5"/>
    <w:rsid w:val="003667F1"/>
    <w:rsid w:val="00375BB0"/>
    <w:rsid w:val="00381511"/>
    <w:rsid w:val="00383564"/>
    <w:rsid w:val="00396496"/>
    <w:rsid w:val="003A69E7"/>
    <w:rsid w:val="003B2C0E"/>
    <w:rsid w:val="003C3736"/>
    <w:rsid w:val="003D2DA6"/>
    <w:rsid w:val="003E3B64"/>
    <w:rsid w:val="0040394F"/>
    <w:rsid w:val="004117A7"/>
    <w:rsid w:val="00427DF1"/>
    <w:rsid w:val="004552A8"/>
    <w:rsid w:val="00461601"/>
    <w:rsid w:val="00464CB6"/>
    <w:rsid w:val="00471D8E"/>
    <w:rsid w:val="00472DB7"/>
    <w:rsid w:val="00475238"/>
    <w:rsid w:val="00486636"/>
    <w:rsid w:val="0049283E"/>
    <w:rsid w:val="004A510E"/>
    <w:rsid w:val="004C6D02"/>
    <w:rsid w:val="004C7A9B"/>
    <w:rsid w:val="004D66DD"/>
    <w:rsid w:val="004F6E49"/>
    <w:rsid w:val="004F72BB"/>
    <w:rsid w:val="00504E1B"/>
    <w:rsid w:val="00522987"/>
    <w:rsid w:val="00535792"/>
    <w:rsid w:val="005456D4"/>
    <w:rsid w:val="005523AE"/>
    <w:rsid w:val="0056434F"/>
    <w:rsid w:val="00564576"/>
    <w:rsid w:val="005935A0"/>
    <w:rsid w:val="005A1F7C"/>
    <w:rsid w:val="005B316D"/>
    <w:rsid w:val="005D4A12"/>
    <w:rsid w:val="005D53E8"/>
    <w:rsid w:val="005D775F"/>
    <w:rsid w:val="005E2AFA"/>
    <w:rsid w:val="006079B5"/>
    <w:rsid w:val="00644AD8"/>
    <w:rsid w:val="0064505D"/>
    <w:rsid w:val="00647032"/>
    <w:rsid w:val="00661ED6"/>
    <w:rsid w:val="00677AD3"/>
    <w:rsid w:val="00687E1F"/>
    <w:rsid w:val="00696EC1"/>
    <w:rsid w:val="006A643E"/>
    <w:rsid w:val="006B7662"/>
    <w:rsid w:val="006C6371"/>
    <w:rsid w:val="006D65F4"/>
    <w:rsid w:val="006D7498"/>
    <w:rsid w:val="006E1274"/>
    <w:rsid w:val="006E47D6"/>
    <w:rsid w:val="006E6417"/>
    <w:rsid w:val="00700DDA"/>
    <w:rsid w:val="007052B4"/>
    <w:rsid w:val="007066CC"/>
    <w:rsid w:val="00714240"/>
    <w:rsid w:val="007164D2"/>
    <w:rsid w:val="007252C9"/>
    <w:rsid w:val="00730399"/>
    <w:rsid w:val="00732B2C"/>
    <w:rsid w:val="007447EE"/>
    <w:rsid w:val="00744EF2"/>
    <w:rsid w:val="00771070"/>
    <w:rsid w:val="00776B76"/>
    <w:rsid w:val="00792347"/>
    <w:rsid w:val="007D6E06"/>
    <w:rsid w:val="00811015"/>
    <w:rsid w:val="008128C8"/>
    <w:rsid w:val="0082367F"/>
    <w:rsid w:val="0083786B"/>
    <w:rsid w:val="00840630"/>
    <w:rsid w:val="0085637E"/>
    <w:rsid w:val="00866430"/>
    <w:rsid w:val="008832CC"/>
    <w:rsid w:val="00885705"/>
    <w:rsid w:val="0089281B"/>
    <w:rsid w:val="00895046"/>
    <w:rsid w:val="008A6501"/>
    <w:rsid w:val="008B7107"/>
    <w:rsid w:val="008C183A"/>
    <w:rsid w:val="008C31FA"/>
    <w:rsid w:val="008D3ABD"/>
    <w:rsid w:val="00924F11"/>
    <w:rsid w:val="0094783A"/>
    <w:rsid w:val="00953F7E"/>
    <w:rsid w:val="0095727E"/>
    <w:rsid w:val="00975F27"/>
    <w:rsid w:val="0099479A"/>
    <w:rsid w:val="00994961"/>
    <w:rsid w:val="0099598F"/>
    <w:rsid w:val="009D5AC1"/>
    <w:rsid w:val="009E5D09"/>
    <w:rsid w:val="00A06B7A"/>
    <w:rsid w:val="00A12318"/>
    <w:rsid w:val="00A14D2D"/>
    <w:rsid w:val="00A16F9F"/>
    <w:rsid w:val="00A4089F"/>
    <w:rsid w:val="00A55DC0"/>
    <w:rsid w:val="00A62023"/>
    <w:rsid w:val="00A7137C"/>
    <w:rsid w:val="00A84724"/>
    <w:rsid w:val="00AA365B"/>
    <w:rsid w:val="00AC17AC"/>
    <w:rsid w:val="00AD0242"/>
    <w:rsid w:val="00AE3165"/>
    <w:rsid w:val="00B01AD8"/>
    <w:rsid w:val="00B06967"/>
    <w:rsid w:val="00B2563F"/>
    <w:rsid w:val="00B31CD1"/>
    <w:rsid w:val="00B37660"/>
    <w:rsid w:val="00B5029B"/>
    <w:rsid w:val="00B52FCF"/>
    <w:rsid w:val="00B6281B"/>
    <w:rsid w:val="00B676F3"/>
    <w:rsid w:val="00B70DFB"/>
    <w:rsid w:val="00B7404E"/>
    <w:rsid w:val="00B8564E"/>
    <w:rsid w:val="00B902D2"/>
    <w:rsid w:val="00B960B5"/>
    <w:rsid w:val="00B96A3F"/>
    <w:rsid w:val="00BA3703"/>
    <w:rsid w:val="00BA510A"/>
    <w:rsid w:val="00BB2263"/>
    <w:rsid w:val="00BD4512"/>
    <w:rsid w:val="00BE731D"/>
    <w:rsid w:val="00BF6025"/>
    <w:rsid w:val="00C06833"/>
    <w:rsid w:val="00C14155"/>
    <w:rsid w:val="00C33793"/>
    <w:rsid w:val="00C43A47"/>
    <w:rsid w:val="00C6683F"/>
    <w:rsid w:val="00C81B84"/>
    <w:rsid w:val="00C81C07"/>
    <w:rsid w:val="00C8712B"/>
    <w:rsid w:val="00CC3E9C"/>
    <w:rsid w:val="00CC73B1"/>
    <w:rsid w:val="00CD6925"/>
    <w:rsid w:val="00CF4343"/>
    <w:rsid w:val="00D02021"/>
    <w:rsid w:val="00D06424"/>
    <w:rsid w:val="00D12ECE"/>
    <w:rsid w:val="00D22927"/>
    <w:rsid w:val="00D458E3"/>
    <w:rsid w:val="00D51563"/>
    <w:rsid w:val="00D51ABC"/>
    <w:rsid w:val="00D536BE"/>
    <w:rsid w:val="00D6346D"/>
    <w:rsid w:val="00D74644"/>
    <w:rsid w:val="00D87143"/>
    <w:rsid w:val="00D91612"/>
    <w:rsid w:val="00D91AA8"/>
    <w:rsid w:val="00DA6B5D"/>
    <w:rsid w:val="00DC1236"/>
    <w:rsid w:val="00DD2ADB"/>
    <w:rsid w:val="00DE73DA"/>
    <w:rsid w:val="00E266FF"/>
    <w:rsid w:val="00E3521D"/>
    <w:rsid w:val="00E50FB5"/>
    <w:rsid w:val="00E53577"/>
    <w:rsid w:val="00E71B48"/>
    <w:rsid w:val="00E8448D"/>
    <w:rsid w:val="00EA0A19"/>
    <w:rsid w:val="00EA67C3"/>
    <w:rsid w:val="00EB15A7"/>
    <w:rsid w:val="00EB579D"/>
    <w:rsid w:val="00EC2A31"/>
    <w:rsid w:val="00EC5641"/>
    <w:rsid w:val="00EC5818"/>
    <w:rsid w:val="00EE0650"/>
    <w:rsid w:val="00EE5777"/>
    <w:rsid w:val="00F47229"/>
    <w:rsid w:val="00F8523E"/>
    <w:rsid w:val="00FA2DF1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2D88"/>
  <w15:docId w15:val="{8ABF50CD-8A81-434E-9878-E96B286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paragraph" w:styleId="EndnoteText">
    <w:name w:val="endnote text"/>
    <w:basedOn w:val="Normal"/>
    <w:link w:val="EndnoteTextChar"/>
    <w:uiPriority w:val="99"/>
    <w:semiHidden/>
    <w:unhideWhenUsed/>
    <w:rsid w:val="00D515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15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51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witter.com/MDL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mondelezinternation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delezinternationa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ynewsdesk.com/cz/mondelez-cz-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coalife.or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408B-1E15-444E-A6C3-8DA32B4F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8</cp:revision>
  <cp:lastPrinted>2016-08-29T10:06:00Z</cp:lastPrinted>
  <dcterms:created xsi:type="dcterms:W3CDTF">2018-05-03T07:26:00Z</dcterms:created>
  <dcterms:modified xsi:type="dcterms:W3CDTF">2019-02-04T09:29:00Z</dcterms:modified>
</cp:coreProperties>
</file>