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E5F2" w14:textId="77777777" w:rsidR="00D443F7" w:rsidRPr="00D443F7" w:rsidRDefault="00D443F7" w:rsidP="00C80FD2">
      <w:pPr>
        <w:rPr>
          <w:b/>
        </w:rPr>
      </w:pPr>
      <w:r w:rsidRPr="00D443F7">
        <w:tab/>
      </w:r>
      <w:r w:rsidRPr="00D443F7">
        <w:tab/>
      </w:r>
      <w:r w:rsidRPr="00D443F7">
        <w:tab/>
      </w:r>
      <w:r w:rsidRPr="00D443F7">
        <w:tab/>
      </w:r>
      <w:r w:rsidRPr="00D443F7">
        <w:tab/>
      </w:r>
      <w:r w:rsidRPr="00D443F7">
        <w:tab/>
      </w:r>
      <w:r w:rsidRPr="00D443F7">
        <w:rPr>
          <w:b/>
        </w:rPr>
        <w:t>10-05-2017</w:t>
      </w:r>
    </w:p>
    <w:p w14:paraId="53A66036" w14:textId="6AB608FB" w:rsidR="00C80FD2" w:rsidRPr="002E6A44" w:rsidRDefault="00C80FD2" w:rsidP="00C80FD2">
      <w:pPr>
        <w:rPr>
          <w:color w:val="FF0000"/>
          <w:sz w:val="26"/>
          <w:szCs w:val="26"/>
        </w:rPr>
      </w:pPr>
      <w:r w:rsidRPr="00C80FD2">
        <w:rPr>
          <w:b/>
          <w:sz w:val="26"/>
          <w:szCs w:val="26"/>
        </w:rPr>
        <w:t>Forebyggelse fungerer:</w:t>
      </w:r>
      <w:r w:rsidRPr="00C80FD2">
        <w:rPr>
          <w:sz w:val="26"/>
          <w:szCs w:val="26"/>
        </w:rPr>
        <w:t xml:space="preserve"> </w:t>
      </w:r>
      <w:r w:rsidRPr="00C80FD2">
        <w:rPr>
          <w:b/>
          <w:sz w:val="26"/>
          <w:szCs w:val="26"/>
        </w:rPr>
        <w:t xml:space="preserve">Ungerådgivningen headspace kan spare </w:t>
      </w:r>
      <w:r w:rsidR="003A4F5D">
        <w:rPr>
          <w:b/>
          <w:sz w:val="26"/>
          <w:szCs w:val="26"/>
        </w:rPr>
        <w:t>det offentlige</w:t>
      </w:r>
      <w:r w:rsidR="00A857E8">
        <w:rPr>
          <w:b/>
          <w:sz w:val="26"/>
          <w:szCs w:val="26"/>
        </w:rPr>
        <w:t xml:space="preserve"> </w:t>
      </w:r>
      <w:r w:rsidRPr="00C80FD2">
        <w:rPr>
          <w:b/>
          <w:sz w:val="26"/>
          <w:szCs w:val="26"/>
        </w:rPr>
        <w:t>for millioner</w:t>
      </w:r>
      <w:r w:rsidR="002E6A44">
        <w:rPr>
          <w:b/>
          <w:sz w:val="26"/>
          <w:szCs w:val="26"/>
        </w:rPr>
        <w:t xml:space="preserve"> </w:t>
      </w:r>
    </w:p>
    <w:p w14:paraId="30C5D5A7" w14:textId="1816ABC7" w:rsidR="00C80FD2" w:rsidRPr="00C80FD2" w:rsidRDefault="00F74514">
      <w:pPr>
        <w:rPr>
          <w:b/>
          <w:i/>
        </w:rPr>
      </w:pPr>
      <w:r w:rsidRPr="00C80FD2">
        <w:rPr>
          <w:b/>
          <w:i/>
        </w:rPr>
        <w:t>N</w:t>
      </w:r>
      <w:r w:rsidR="00C80FD2" w:rsidRPr="00C80FD2">
        <w:rPr>
          <w:b/>
          <w:i/>
        </w:rPr>
        <w:t>y rapport, der analyserer rådgivningstilbuddet</w:t>
      </w:r>
      <w:r w:rsidR="002E6A44">
        <w:rPr>
          <w:b/>
          <w:i/>
        </w:rPr>
        <w:t xml:space="preserve"> headspace, fastslår, at </w:t>
      </w:r>
      <w:r w:rsidR="002E6A44" w:rsidRPr="00FF7B03">
        <w:rPr>
          <w:b/>
          <w:i/>
        </w:rPr>
        <w:t>tidlig</w:t>
      </w:r>
      <w:r w:rsidR="00C80FD2" w:rsidRPr="00FF7B03">
        <w:rPr>
          <w:b/>
          <w:i/>
        </w:rPr>
        <w:t xml:space="preserve"> forebyggelse </w:t>
      </w:r>
      <w:r w:rsidR="00973F24" w:rsidRPr="00FF7B03">
        <w:rPr>
          <w:b/>
          <w:i/>
        </w:rPr>
        <w:t xml:space="preserve">betaler </w:t>
      </w:r>
      <w:r w:rsidR="00C80FD2" w:rsidRPr="00FF7B03">
        <w:rPr>
          <w:b/>
          <w:i/>
        </w:rPr>
        <w:t>sig</w:t>
      </w:r>
      <w:r w:rsidR="00C80FD2" w:rsidRPr="00C80FD2">
        <w:rPr>
          <w:b/>
          <w:i/>
        </w:rPr>
        <w:t xml:space="preserve">. Især når det kommer til at fastholde unge i uddannelse, reducere ledighed og mindske udgifterne til sundhedsvæsnet. </w:t>
      </w:r>
      <w:r w:rsidR="0021233A">
        <w:rPr>
          <w:b/>
          <w:i/>
        </w:rPr>
        <w:t>Poul Nyrup Rasmussen</w:t>
      </w:r>
      <w:r w:rsidR="00D33513">
        <w:rPr>
          <w:b/>
          <w:i/>
        </w:rPr>
        <w:t>, der er protektor for headspace,</w:t>
      </w:r>
      <w:r w:rsidR="0021233A">
        <w:rPr>
          <w:b/>
          <w:i/>
        </w:rPr>
        <w:t xml:space="preserve"> </w:t>
      </w:r>
      <w:r w:rsidR="003A4F5D">
        <w:rPr>
          <w:b/>
          <w:i/>
        </w:rPr>
        <w:t>omtale</w:t>
      </w:r>
      <w:r w:rsidR="00DC3A9A">
        <w:rPr>
          <w:b/>
          <w:i/>
        </w:rPr>
        <w:t>r</w:t>
      </w:r>
      <w:r w:rsidR="003A4F5D">
        <w:rPr>
          <w:b/>
          <w:i/>
        </w:rPr>
        <w:t xml:space="preserve"> </w:t>
      </w:r>
      <w:r w:rsidR="0021233A">
        <w:rPr>
          <w:b/>
          <w:i/>
        </w:rPr>
        <w:t>rapporten på KL</w:t>
      </w:r>
      <w:r w:rsidR="0021233A" w:rsidRPr="0021233A">
        <w:rPr>
          <w:b/>
          <w:i/>
        </w:rPr>
        <w:t xml:space="preserve">'s social og sundhedspolitiske forum </w:t>
      </w:r>
      <w:r w:rsidR="0021233A">
        <w:rPr>
          <w:b/>
          <w:i/>
        </w:rPr>
        <w:t>i dag.</w:t>
      </w:r>
    </w:p>
    <w:p w14:paraId="5B7B8C9D" w14:textId="4980F89E" w:rsidR="00D31238" w:rsidRPr="0021233A" w:rsidRDefault="003A4F5D" w:rsidP="00D31238">
      <w:r>
        <w:t>F</w:t>
      </w:r>
      <w:r w:rsidR="00C80FD2" w:rsidRPr="00FF7B03">
        <w:t>orebyggelse betaler</w:t>
      </w:r>
      <w:r w:rsidR="00973F24" w:rsidRPr="00FF7B03">
        <w:t xml:space="preserve"> sig</w:t>
      </w:r>
      <w:r w:rsidR="00C80FD2" w:rsidRPr="00FF7B03">
        <w:t xml:space="preserve">. </w:t>
      </w:r>
      <w:r>
        <w:t>D</w:t>
      </w:r>
      <w:r w:rsidR="00C80FD2" w:rsidRPr="0021233A">
        <w:t xml:space="preserve">et </w:t>
      </w:r>
      <w:r>
        <w:t xml:space="preserve">viser </w:t>
      </w:r>
      <w:r w:rsidR="00C80FD2" w:rsidRPr="0021233A">
        <w:t>en ny rapport fra den ø</w:t>
      </w:r>
      <w:r w:rsidR="0021233A">
        <w:t>konomisk</w:t>
      </w:r>
      <w:r>
        <w:t xml:space="preserve">e konsulentvirksomhed Incentive, der konkluderer, at rådgivningstilbuddet headspace kan spare samfundet for millioner. </w:t>
      </w:r>
    </w:p>
    <w:p w14:paraId="2DCE463E" w14:textId="0B7C4F08" w:rsidR="0021233A" w:rsidRPr="0021233A" w:rsidRDefault="00FF7B03" w:rsidP="00D31238">
      <w:r>
        <w:t>Når det komme</w:t>
      </w:r>
      <w:r w:rsidR="00C87AA9">
        <w:t>r</w:t>
      </w:r>
      <w:r>
        <w:t xml:space="preserve"> til </w:t>
      </w:r>
      <w:r w:rsidRPr="00FF7B03">
        <w:t xml:space="preserve">de </w:t>
      </w:r>
      <w:r w:rsidR="00973F24" w:rsidRPr="00FF7B03">
        <w:t>unge</w:t>
      </w:r>
      <w:r w:rsidR="006A1773" w:rsidRPr="00FF7B03">
        <w:t>s</w:t>
      </w:r>
      <w:r w:rsidR="00973F24" w:rsidRPr="00FF7B03">
        <w:t xml:space="preserve"> brug</w:t>
      </w:r>
      <w:r w:rsidR="00D31238" w:rsidRPr="00FF7B03">
        <w:t xml:space="preserve"> af egen</w:t>
      </w:r>
      <w:r w:rsidR="006A1773" w:rsidRPr="00FF7B03">
        <w:t xml:space="preserve"> læge, speciallæge, psykologer samt </w:t>
      </w:r>
      <w:r w:rsidR="00D31238" w:rsidRPr="00FF7B03">
        <w:t>indlæggelser og behandling</w:t>
      </w:r>
      <w:r w:rsidR="00275057" w:rsidRPr="00FF7B03">
        <w:t>er</w:t>
      </w:r>
      <w:r w:rsidR="00D31238" w:rsidRPr="00FF7B03">
        <w:t xml:space="preserve"> i psykiatrien</w:t>
      </w:r>
      <w:r w:rsidR="00C87AA9">
        <w:t>,</w:t>
      </w:r>
      <w:r w:rsidR="00D31238" w:rsidRPr="00FF7B03">
        <w:t xml:space="preserve"> vurderer Incentive, at der er et stort besparingspotentiale ved at oprette og drive et headspace</w:t>
      </w:r>
      <w:r w:rsidR="00275057" w:rsidRPr="00FF7B03">
        <w:t>. Men</w:t>
      </w:r>
      <w:r w:rsidR="00D31238" w:rsidRPr="00FF7B03">
        <w:t xml:space="preserve"> især når det komme</w:t>
      </w:r>
      <w:r w:rsidR="00C87AA9">
        <w:t>r</w:t>
      </w:r>
      <w:r w:rsidR="00D31238" w:rsidRPr="00FF7B03">
        <w:t xml:space="preserve"> til at fastholde unge i uddannelse og arbejde</w:t>
      </w:r>
      <w:r w:rsidR="00C87AA9">
        <w:t>,</w:t>
      </w:r>
      <w:r w:rsidR="00275057" w:rsidRPr="00FF7B03">
        <w:t xml:space="preserve"> er pengene til et headspace</w:t>
      </w:r>
      <w:r w:rsidR="00C87AA9">
        <w:t>-</w:t>
      </w:r>
      <w:r w:rsidR="00275057" w:rsidRPr="00FF7B03">
        <w:t>center givet godt ud</w:t>
      </w:r>
      <w:r w:rsidR="00D31238" w:rsidRPr="00FF7B03">
        <w:t>.</w:t>
      </w:r>
      <w:r w:rsidR="00D31238" w:rsidRPr="00FF7B03">
        <w:br/>
      </w:r>
      <w:r w:rsidR="00D31238" w:rsidRPr="0021233A">
        <w:br/>
        <w:t xml:space="preserve">Samlet set kan </w:t>
      </w:r>
      <w:r w:rsidR="00D6642C">
        <w:t xml:space="preserve">hvert </w:t>
      </w:r>
      <w:r w:rsidR="00D31238" w:rsidRPr="0021233A">
        <w:t>headspace</w:t>
      </w:r>
      <w:r w:rsidR="008F30F6">
        <w:t xml:space="preserve">-center </w:t>
      </w:r>
      <w:r w:rsidR="00D6642C">
        <w:t>i dag</w:t>
      </w:r>
      <w:r w:rsidR="00D31238" w:rsidRPr="0021233A">
        <w:t xml:space="preserve"> bidrage til årlige besparelser på mellem</w:t>
      </w:r>
      <w:r w:rsidR="00D31238" w:rsidRPr="006D0892">
        <w:rPr>
          <w:color w:val="FF0000"/>
        </w:rPr>
        <w:t xml:space="preserve"> </w:t>
      </w:r>
      <w:r w:rsidR="00DC3A9A">
        <w:t>2-</w:t>
      </w:r>
      <w:r w:rsidR="00D31238" w:rsidRPr="0021233A">
        <w:t xml:space="preserve">3,4 millioner kroner, </w:t>
      </w:r>
      <w:r w:rsidR="00D31238" w:rsidRPr="00FF7B03">
        <w:t xml:space="preserve">og da det </w:t>
      </w:r>
      <w:r w:rsidR="00275057" w:rsidRPr="00FF7B03">
        <w:t xml:space="preserve">i gennemsnit </w:t>
      </w:r>
      <w:r w:rsidR="00D31238" w:rsidRPr="00FF7B03">
        <w:t xml:space="preserve">koster omkring </w:t>
      </w:r>
      <w:r w:rsidR="00D31238" w:rsidRPr="0021233A">
        <w:t>1,8 mi</w:t>
      </w:r>
      <w:r w:rsidR="005D746C">
        <w:t>llioner</w:t>
      </w:r>
      <w:r w:rsidR="00D31238" w:rsidRPr="0021233A">
        <w:t xml:space="preserve"> kr</w:t>
      </w:r>
      <w:r w:rsidR="005D746C">
        <w:t>oner</w:t>
      </w:r>
      <w:r w:rsidR="00D31238" w:rsidRPr="0021233A">
        <w:t xml:space="preserve"> at oprette og drive et center om året, kan der være mange penge at spare.</w:t>
      </w:r>
      <w:r w:rsidR="00D31238" w:rsidRPr="0021233A">
        <w:br/>
      </w:r>
      <w:r w:rsidR="00D31238" w:rsidRPr="0021233A">
        <w:br/>
        <w:t>”Denne her analyse viser, at det betale</w:t>
      </w:r>
      <w:r w:rsidR="005D746C">
        <w:t>r</w:t>
      </w:r>
      <w:r w:rsidR="00D31238" w:rsidRPr="0021233A">
        <w:t xml:space="preserve"> sig at investere i den tidlige forebyggende indsats, som vi leverer i headspace</w:t>
      </w:r>
      <w:r w:rsidR="00D6642C">
        <w:t xml:space="preserve">, hvor </w:t>
      </w:r>
      <w:r w:rsidR="00D31238" w:rsidRPr="0021233A">
        <w:t xml:space="preserve">vi </w:t>
      </w:r>
      <w:r w:rsidR="00D6642C">
        <w:t xml:space="preserve">indtil </w:t>
      </w:r>
      <w:r w:rsidR="00D31238" w:rsidRPr="0021233A">
        <w:t xml:space="preserve">nu har hjulpet og været i kontakt </w:t>
      </w:r>
      <w:r w:rsidR="00D31238" w:rsidRPr="00FF7B03">
        <w:t xml:space="preserve">med </w:t>
      </w:r>
      <w:r w:rsidR="00D6642C">
        <w:t>godt</w:t>
      </w:r>
      <w:r w:rsidR="00D6642C" w:rsidRPr="00FF7B03">
        <w:t xml:space="preserve"> </w:t>
      </w:r>
      <w:r w:rsidR="0021233A" w:rsidRPr="00FF7B03">
        <w:t>27.000</w:t>
      </w:r>
      <w:r w:rsidR="0091723C" w:rsidRPr="00FF7B03">
        <w:t xml:space="preserve"> unge</w:t>
      </w:r>
      <w:r w:rsidR="0021233A" w:rsidRPr="00FF7B03">
        <w:t>.</w:t>
      </w:r>
      <w:r w:rsidR="00D31238" w:rsidRPr="00FF7B03">
        <w:t xml:space="preserve"> </w:t>
      </w:r>
      <w:r w:rsidR="0021233A" w:rsidRPr="00FF7B03">
        <w:t>A</w:t>
      </w:r>
      <w:r w:rsidR="00D31238" w:rsidRPr="00FF7B03">
        <w:t xml:space="preserve">t </w:t>
      </w:r>
      <w:r w:rsidR="00D6642C">
        <w:t xml:space="preserve">hvert center </w:t>
      </w:r>
      <w:r w:rsidR="00D31238" w:rsidRPr="0021233A">
        <w:t>kan spare op til 1,6 millioner om året</w:t>
      </w:r>
      <w:r w:rsidR="00C87AA9">
        <w:t>,</w:t>
      </w:r>
      <w:r w:rsidR="0021233A" w:rsidRPr="0021233A">
        <w:t xml:space="preserve"> </w:t>
      </w:r>
      <w:r w:rsidR="008C7300">
        <w:t>ved at understøtte en tidlig indsats til de</w:t>
      </w:r>
      <w:r w:rsidR="008C7300" w:rsidRPr="0021233A">
        <w:t xml:space="preserve"> unge mellem 12-25 år</w:t>
      </w:r>
      <w:r w:rsidR="00C87AA9">
        <w:t>,</w:t>
      </w:r>
      <w:r w:rsidR="008C7300" w:rsidRPr="0021233A">
        <w:t xml:space="preserve"> </w:t>
      </w:r>
      <w:r w:rsidR="00D6642C">
        <w:t xml:space="preserve">er </w:t>
      </w:r>
      <w:r w:rsidR="0021233A" w:rsidRPr="0021233A">
        <w:t xml:space="preserve">et vink med en vognstang til landets kommuner om at prioritere det forebyggende arbejde”, siger Det Sociale Netværks formand, Benedikte Kiær, der selv har set de positive konsekvenser af at oprette et headspace i Helsingør, hvor hun er borgmester. </w:t>
      </w:r>
    </w:p>
    <w:p w14:paraId="5D697EE1" w14:textId="6AA9B22C" w:rsidR="0021233A" w:rsidRDefault="0021233A">
      <w:r w:rsidRPr="0021233A">
        <w:t>Det samlede samfu</w:t>
      </w:r>
      <w:r w:rsidR="00E9023E">
        <w:t>ndsøkonomiske potentiale anslås</w:t>
      </w:r>
      <w:r w:rsidRPr="0021233A">
        <w:t xml:space="preserve"> da </w:t>
      </w:r>
      <w:r w:rsidR="00E9023E">
        <w:t xml:space="preserve">også </w:t>
      </w:r>
      <w:r w:rsidRPr="0021233A">
        <w:t xml:space="preserve">at være markant større, da undersøgelsen ikke har set på områder, </w:t>
      </w:r>
      <w:r>
        <w:t xml:space="preserve">der </w:t>
      </w:r>
      <w:r w:rsidRPr="0021233A">
        <w:t>er svære at gøre op i kroner og øre</w:t>
      </w:r>
      <w:r w:rsidR="005D746C">
        <w:t>r</w:t>
      </w:r>
      <w:r w:rsidR="00C87AA9">
        <w:t>,</w:t>
      </w:r>
      <w:r w:rsidRPr="0021233A">
        <w:t xml:space="preserve"> som </w:t>
      </w:r>
      <w:r w:rsidR="00D31238" w:rsidRPr="0021233A">
        <w:t xml:space="preserve">forøget livskvalitet, reduceret belastning af pårørende og reduceret pres på </w:t>
      </w:r>
      <w:r w:rsidR="00E9023E">
        <w:t xml:space="preserve">skolepsykologerne </w:t>
      </w:r>
      <w:r w:rsidR="00D31238" w:rsidRPr="0021233A">
        <w:t>i kommunerne.</w:t>
      </w:r>
    </w:p>
    <w:p w14:paraId="2DC9E3D3" w14:textId="3AF08AEC" w:rsidR="003A4F5D" w:rsidRDefault="003A4F5D" w:rsidP="0021233A">
      <w:pPr>
        <w:spacing w:before="100" w:beforeAutospacing="1" w:after="100" w:afterAutospacing="1"/>
      </w:pPr>
      <w:r>
        <w:t>P</w:t>
      </w:r>
      <w:r w:rsidR="0021233A">
        <w:t xml:space="preserve">å bare tre år er </w:t>
      </w:r>
      <w:r w:rsidR="005D746C">
        <w:t xml:space="preserve">headspace </w:t>
      </w:r>
      <w:r w:rsidR="0021233A">
        <w:t xml:space="preserve">gået fra </w:t>
      </w:r>
      <w:r w:rsidR="00B16212">
        <w:t>seks</w:t>
      </w:r>
      <w:r w:rsidR="0021233A">
        <w:t xml:space="preserve"> </w:t>
      </w:r>
      <w:r w:rsidR="005D746C">
        <w:t xml:space="preserve">centre </w:t>
      </w:r>
      <w:r w:rsidR="0021233A">
        <w:t xml:space="preserve">til i dag at tælle </w:t>
      </w:r>
      <w:r w:rsidR="005D746C">
        <w:t>16</w:t>
      </w:r>
      <w:r>
        <w:t xml:space="preserve"> </w:t>
      </w:r>
      <w:proofErr w:type="spellStart"/>
      <w:r>
        <w:t>headspaces</w:t>
      </w:r>
      <w:proofErr w:type="spellEnd"/>
      <w:r w:rsidR="0040711A">
        <w:t xml:space="preserve">, hvor man </w:t>
      </w:r>
      <w:r w:rsidR="0021233A">
        <w:t xml:space="preserve">har været i kontakt </w:t>
      </w:r>
      <w:r w:rsidR="005D746C">
        <w:t xml:space="preserve">med </w:t>
      </w:r>
      <w:r w:rsidR="0021233A">
        <w:t>27.000 unge</w:t>
      </w:r>
      <w:r>
        <w:t>.</w:t>
      </w:r>
    </w:p>
    <w:p w14:paraId="23A69553" w14:textId="6D486910" w:rsidR="0021233A" w:rsidRPr="00B723AA" w:rsidRDefault="0021233A" w:rsidP="0021233A">
      <w:pPr>
        <w:spacing w:before="100" w:beforeAutospacing="1" w:after="100" w:afterAutospacing="1"/>
        <w:rPr>
          <w:rFonts w:ascii="Calibri" w:hAnsi="Calibri" w:cs="Calibri"/>
          <w:b/>
          <w:i/>
        </w:rPr>
      </w:pPr>
      <w:r>
        <w:t>”I headspace har vi fra</w:t>
      </w:r>
      <w:r w:rsidR="00EB693A">
        <w:t xml:space="preserve"> begyndelsen</w:t>
      </w:r>
      <w:r>
        <w:t xml:space="preserve"> arbejdet tæt sammen med både de kommuner, som vi er i, og flere af landets regioner. Derudover hviler indsatsen på frivillige, der står for en stor del af rådgivningen og sikrer, at de unge, der træder ind a</w:t>
      </w:r>
      <w:r w:rsidR="005D746C">
        <w:t>d</w:t>
      </w:r>
      <w:r>
        <w:t xml:space="preserve"> døren i headspace</w:t>
      </w:r>
      <w:r w:rsidR="00EE4C43">
        <w:t xml:space="preserve"> b</w:t>
      </w:r>
      <w:r>
        <w:t>liver mødt i øjenhøjde og på deres</w:t>
      </w:r>
      <w:r w:rsidR="00121780">
        <w:t xml:space="preserve"> </w:t>
      </w:r>
      <w:r w:rsidR="00121780">
        <w:lastRenderedPageBreak/>
        <w:t>egne</w:t>
      </w:r>
      <w:r>
        <w:t xml:space="preserve"> præmisser. </w:t>
      </w:r>
      <w:r w:rsidR="00155020">
        <w:t>Det er et unikt civilsamf</w:t>
      </w:r>
      <w:r w:rsidR="00121780">
        <w:t>undsprojekt, der</w:t>
      </w:r>
      <w:r w:rsidR="00332106">
        <w:t xml:space="preserve"> hjælper de unge, som indtil nu har stået i en gråzone, hvor de har</w:t>
      </w:r>
      <w:r w:rsidR="00C87AA9">
        <w:t xml:space="preserve"> været for raske til psykiatrien,</w:t>
      </w:r>
      <w:r w:rsidR="00332106">
        <w:t xml:space="preserve"> men </w:t>
      </w:r>
      <w:r w:rsidR="0083346E">
        <w:t xml:space="preserve">ikke </w:t>
      </w:r>
      <w:r w:rsidR="00332106">
        <w:t xml:space="preserve">syge </w:t>
      </w:r>
      <w:r w:rsidR="0083346E">
        <w:t>nok til at få hjælp”</w:t>
      </w:r>
      <w:r w:rsidR="00155020">
        <w:t xml:space="preserve">, siger Poul Nyrup Rasmussen, der </w:t>
      </w:r>
      <w:r w:rsidR="005D746C">
        <w:t xml:space="preserve">er </w:t>
      </w:r>
      <w:r w:rsidR="00155020">
        <w:t>protektor i Foreningen Det Sociale Netværk</w:t>
      </w:r>
      <w:r w:rsidR="00B91932">
        <w:t>/headspace Danmark</w:t>
      </w:r>
      <w:r w:rsidR="00155020">
        <w:t>.</w:t>
      </w:r>
      <w:r>
        <w:br/>
      </w:r>
      <w:r>
        <w:br/>
      </w:r>
      <w:r>
        <w:rPr>
          <w:rFonts w:ascii="Calibri" w:hAnsi="Calibri" w:cs="Calibri"/>
          <w:b/>
          <w:i/>
        </w:rPr>
        <w:t>For yderligere information</w:t>
      </w:r>
      <w:r w:rsidRPr="00B723AA">
        <w:rPr>
          <w:rFonts w:ascii="Calibri" w:hAnsi="Calibri" w:cs="Calibri"/>
          <w:b/>
          <w:i/>
        </w:rPr>
        <w:t xml:space="preserve"> kontakt </w:t>
      </w:r>
      <w:r>
        <w:rPr>
          <w:rFonts w:ascii="Calibri" w:hAnsi="Calibri" w:cs="Calibri"/>
          <w:b/>
          <w:i/>
        </w:rPr>
        <w:t>Laurids Bæk Simonsen</w:t>
      </w:r>
      <w:r w:rsidRPr="00B723AA">
        <w:rPr>
          <w:rFonts w:ascii="Calibri" w:hAnsi="Calibri" w:cs="Calibri"/>
          <w:b/>
          <w:i/>
        </w:rPr>
        <w:t>, presse- og kommunikationskonsulent i Det Sociale Netværk/headspa</w:t>
      </w:r>
      <w:r>
        <w:rPr>
          <w:rFonts w:ascii="Calibri" w:hAnsi="Calibri" w:cs="Calibri"/>
          <w:b/>
          <w:i/>
        </w:rPr>
        <w:t xml:space="preserve">ce Danmark på 2283 3692 eller </w:t>
      </w:r>
      <w:hyperlink r:id="rId7" w:history="1">
        <w:r w:rsidRPr="005F77AA">
          <w:rPr>
            <w:rStyle w:val="Hyperlink"/>
            <w:rFonts w:ascii="Calibri" w:hAnsi="Calibri" w:cs="Calibri"/>
            <w:b/>
            <w:i/>
          </w:rPr>
          <w:t>lbs@detsocialenetvaerk.dk</w:t>
        </w:r>
      </w:hyperlink>
      <w:r>
        <w:rPr>
          <w:rFonts w:ascii="Calibri" w:hAnsi="Calibri" w:cs="Calibri"/>
          <w:b/>
          <w:i/>
        </w:rPr>
        <w:t>.</w:t>
      </w:r>
    </w:p>
    <w:p w14:paraId="48BB4AB2" w14:textId="2CC35C62" w:rsidR="0021233A" w:rsidRPr="00A35920" w:rsidRDefault="0021233A" w:rsidP="0021233A">
      <w:pPr>
        <w:pStyle w:val="Default"/>
        <w:rPr>
          <w:color w:val="FF0000"/>
          <w:sz w:val="22"/>
          <w:szCs w:val="22"/>
        </w:rPr>
      </w:pPr>
      <w:r w:rsidRPr="00A35920">
        <w:rPr>
          <w:sz w:val="22"/>
          <w:szCs w:val="22"/>
        </w:rPr>
        <w:br/>
      </w:r>
      <w:r w:rsidRPr="00A35920">
        <w:rPr>
          <w:b/>
          <w:bCs/>
          <w:sz w:val="22"/>
          <w:szCs w:val="22"/>
        </w:rPr>
        <w:t>Fakta om headspace</w:t>
      </w:r>
      <w:r w:rsidR="0083346E">
        <w:rPr>
          <w:b/>
          <w:bCs/>
          <w:sz w:val="22"/>
          <w:szCs w:val="22"/>
        </w:rPr>
        <w:t xml:space="preserve"> og </w:t>
      </w:r>
      <w:proofErr w:type="spellStart"/>
      <w:r w:rsidR="0083346E">
        <w:rPr>
          <w:b/>
          <w:bCs/>
          <w:sz w:val="22"/>
          <w:szCs w:val="22"/>
        </w:rPr>
        <w:t>Incentives</w:t>
      </w:r>
      <w:proofErr w:type="spellEnd"/>
      <w:r w:rsidR="0083346E">
        <w:rPr>
          <w:b/>
          <w:bCs/>
          <w:sz w:val="22"/>
          <w:szCs w:val="22"/>
        </w:rPr>
        <w:t xml:space="preserve"> rapport</w:t>
      </w:r>
      <w:bookmarkStart w:id="0" w:name="_GoBack"/>
      <w:bookmarkEnd w:id="0"/>
      <w:r w:rsidRPr="00A35920">
        <w:rPr>
          <w:b/>
          <w:bCs/>
          <w:sz w:val="22"/>
          <w:szCs w:val="22"/>
        </w:rPr>
        <w:t xml:space="preserve"> </w:t>
      </w:r>
    </w:p>
    <w:p w14:paraId="53FF98D0" w14:textId="2C445BBC" w:rsidR="00C87AA9" w:rsidRDefault="0021233A" w:rsidP="0021233A">
      <w:pPr>
        <w:pStyle w:val="Default"/>
        <w:rPr>
          <w:sz w:val="22"/>
          <w:szCs w:val="22"/>
        </w:rPr>
      </w:pPr>
      <w:r w:rsidRPr="00A35920">
        <w:rPr>
          <w:sz w:val="22"/>
          <w:szCs w:val="22"/>
        </w:rPr>
        <w:t>headspace er et anonymt og gratis rådgivningstilbud ti</w:t>
      </w:r>
      <w:r w:rsidR="00DC3A9A">
        <w:rPr>
          <w:sz w:val="22"/>
          <w:szCs w:val="22"/>
        </w:rPr>
        <w:t>l børn og unge i alderen fra 12-</w:t>
      </w:r>
      <w:r w:rsidRPr="00A35920">
        <w:rPr>
          <w:sz w:val="22"/>
          <w:szCs w:val="22"/>
        </w:rPr>
        <w:t xml:space="preserve">25 </w:t>
      </w:r>
      <w:r w:rsidR="003A4F5D">
        <w:rPr>
          <w:sz w:val="22"/>
          <w:szCs w:val="22"/>
        </w:rPr>
        <w:t>år, der er drevet af mere end 45</w:t>
      </w:r>
      <w:r w:rsidRPr="00A35920">
        <w:rPr>
          <w:sz w:val="22"/>
          <w:szCs w:val="22"/>
        </w:rPr>
        <w:t xml:space="preserve">0 frivillige på landsplan. </w:t>
      </w:r>
      <w:r w:rsidR="0083346E" w:rsidRPr="00A35920">
        <w:t>I headspace er ingen problemer for store eller små, alt foregår på de unges præmisser, og der er ingen ventetid</w:t>
      </w:r>
      <w:r w:rsidR="0083346E">
        <w:t xml:space="preserve"> og journaler</w:t>
      </w:r>
      <w:r w:rsidR="0083346E" w:rsidRPr="00A35920">
        <w:t>.</w:t>
      </w:r>
    </w:p>
    <w:p w14:paraId="14BDE790" w14:textId="77777777" w:rsidR="00C87AA9" w:rsidRDefault="00C87AA9" w:rsidP="0021233A">
      <w:pPr>
        <w:pStyle w:val="Default"/>
        <w:rPr>
          <w:sz w:val="22"/>
          <w:szCs w:val="22"/>
        </w:rPr>
      </w:pPr>
    </w:p>
    <w:p w14:paraId="542D7BAF" w14:textId="3ED1804F" w:rsidR="0021233A" w:rsidRPr="00A35920" w:rsidRDefault="0021233A" w:rsidP="0021233A">
      <w:pPr>
        <w:pStyle w:val="Default"/>
        <w:rPr>
          <w:sz w:val="22"/>
          <w:szCs w:val="22"/>
        </w:rPr>
      </w:pPr>
      <w:r w:rsidRPr="00A35920">
        <w:rPr>
          <w:sz w:val="22"/>
          <w:szCs w:val="22"/>
        </w:rPr>
        <w:t xml:space="preserve">Siden </w:t>
      </w:r>
      <w:r w:rsidR="00B35C8D">
        <w:rPr>
          <w:sz w:val="22"/>
          <w:szCs w:val="22"/>
        </w:rPr>
        <w:t>op</w:t>
      </w:r>
      <w:r w:rsidRPr="00A35920">
        <w:rPr>
          <w:sz w:val="22"/>
          <w:szCs w:val="22"/>
        </w:rPr>
        <w:t>starten i 2013 har headspace</w:t>
      </w:r>
      <w:r w:rsidR="00B35C8D">
        <w:rPr>
          <w:sz w:val="22"/>
          <w:szCs w:val="22"/>
        </w:rPr>
        <w:t xml:space="preserve"> været i kontakt med mere end 27</w:t>
      </w:r>
      <w:r w:rsidRPr="00A35920">
        <w:rPr>
          <w:sz w:val="22"/>
          <w:szCs w:val="22"/>
        </w:rPr>
        <w:t xml:space="preserve">.000 unge. </w:t>
      </w:r>
      <w:r w:rsidR="00E06CDD">
        <w:rPr>
          <w:sz w:val="22"/>
          <w:szCs w:val="22"/>
        </w:rPr>
        <w:t xml:space="preserve">Der findes </w:t>
      </w:r>
      <w:proofErr w:type="spellStart"/>
      <w:r w:rsidR="00E06CDD">
        <w:rPr>
          <w:sz w:val="22"/>
          <w:szCs w:val="22"/>
        </w:rPr>
        <w:t>headspaces</w:t>
      </w:r>
      <w:proofErr w:type="spellEnd"/>
      <w:r w:rsidR="00E06CDD">
        <w:rPr>
          <w:sz w:val="22"/>
          <w:szCs w:val="22"/>
        </w:rPr>
        <w:t xml:space="preserve"> i</w:t>
      </w:r>
      <w:r w:rsidR="00C87AA9">
        <w:rPr>
          <w:sz w:val="22"/>
          <w:szCs w:val="22"/>
        </w:rPr>
        <w:t xml:space="preserve"> </w:t>
      </w:r>
      <w:r>
        <w:rPr>
          <w:sz w:val="22"/>
          <w:szCs w:val="22"/>
        </w:rPr>
        <w:t xml:space="preserve">Aabenraa, </w:t>
      </w:r>
      <w:r w:rsidRPr="00A35920">
        <w:rPr>
          <w:sz w:val="22"/>
          <w:szCs w:val="22"/>
        </w:rPr>
        <w:t xml:space="preserve">Aalborg, Albertslund, </w:t>
      </w:r>
      <w:r>
        <w:rPr>
          <w:sz w:val="22"/>
          <w:szCs w:val="22"/>
        </w:rPr>
        <w:t xml:space="preserve">Ballerup, </w:t>
      </w:r>
      <w:r w:rsidRPr="00A35920">
        <w:rPr>
          <w:sz w:val="22"/>
          <w:szCs w:val="22"/>
        </w:rPr>
        <w:t xml:space="preserve">Billund, Esbjerg, Greve, Helsingør, </w:t>
      </w:r>
      <w:r w:rsidR="00E06CDD">
        <w:rPr>
          <w:sz w:val="22"/>
          <w:szCs w:val="22"/>
        </w:rPr>
        <w:t xml:space="preserve">Herlev, </w:t>
      </w:r>
      <w:r w:rsidRPr="00A35920">
        <w:rPr>
          <w:sz w:val="22"/>
          <w:szCs w:val="22"/>
        </w:rPr>
        <w:t xml:space="preserve">Herning, Horsens, Hvidovre, København, Odense, Roskilde og Rødovre. </w:t>
      </w:r>
    </w:p>
    <w:p w14:paraId="6FEECD6D" w14:textId="444FD3C0" w:rsidR="00316C12" w:rsidRPr="00316C12" w:rsidRDefault="00316C12" w:rsidP="0021233A">
      <w:r>
        <w:rPr>
          <w:rFonts w:cstheme="minorHAnsi"/>
          <w:b/>
        </w:rPr>
        <w:br/>
      </w:r>
      <w:r w:rsidRPr="00316C12">
        <w:t>Det samlede årlige besparelsespotentiale</w:t>
      </w:r>
      <w:r w:rsidR="0083346E">
        <w:t xml:space="preserve"> ved at oprette et headspace </w:t>
      </w:r>
      <w:r w:rsidRPr="00316C12">
        <w:t>ligger på et sted imellem 2 og 3,4 millioner kroner.</w:t>
      </w:r>
      <w:r w:rsidR="0083346E">
        <w:t xml:space="preserve"> </w:t>
      </w:r>
      <w:r w:rsidRPr="00316C12">
        <w:t xml:space="preserve">Det </w:t>
      </w:r>
      <w:r w:rsidR="0083346E">
        <w:t xml:space="preserve">koster gennemsnitligt </w:t>
      </w:r>
      <w:r w:rsidRPr="00316C12">
        <w:t>1,8 mi</w:t>
      </w:r>
      <w:r w:rsidR="005D746C">
        <w:t>llioner</w:t>
      </w:r>
      <w:r w:rsidRPr="00316C12">
        <w:t xml:space="preserve"> kr</w:t>
      </w:r>
      <w:r w:rsidR="005D746C">
        <w:t>oner</w:t>
      </w:r>
      <w:r w:rsidRPr="00316C12">
        <w:t xml:space="preserve"> at drive et </w:t>
      </w:r>
      <w:r w:rsidR="0083346E">
        <w:t xml:space="preserve">headspace </w:t>
      </w:r>
      <w:r w:rsidRPr="00316C12">
        <w:t>om året.</w:t>
      </w:r>
    </w:p>
    <w:p w14:paraId="374BBB2B" w14:textId="06343962" w:rsidR="00316C12" w:rsidRPr="0083346E" w:rsidRDefault="0083346E" w:rsidP="0021233A">
      <w:r>
        <w:t>Oprettelsen af et headspace vil g</w:t>
      </w:r>
      <w:r w:rsidR="00316C12" w:rsidRPr="00316C12">
        <w:t>ive en samfundsøkonomisk gevinst på mellem 200.000 og 1,6 millioner kroner om året.</w:t>
      </w:r>
      <w:r>
        <w:t xml:space="preserve"> </w:t>
      </w:r>
      <w:r w:rsidR="00316C12" w:rsidRPr="00316C12">
        <w:t xml:space="preserve">Derudover </w:t>
      </w:r>
      <w:r>
        <w:t>er der flere forhold</w:t>
      </w:r>
      <w:r w:rsidR="00316C12" w:rsidRPr="00316C12">
        <w:t xml:space="preserve"> såsom forøget livskvalitet, reduceret belastning af pårørende og reduceret pres på</w:t>
      </w:r>
      <w:r>
        <w:t xml:space="preserve"> skolepsykologerne i kommunerne, som rapporten ikke omhandler.</w:t>
      </w:r>
    </w:p>
    <w:tbl>
      <w:tblPr>
        <w:tblStyle w:val="Tabel-Gitter"/>
        <w:tblpPr w:leftFromText="141" w:rightFromText="141" w:vertAnchor="text" w:horzAnchor="margin" w:tblpY="230"/>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E1E1E1" w:fill="E1E1E1"/>
        <w:tblLayout w:type="fixed"/>
        <w:tblCellMar>
          <w:left w:w="0" w:type="dxa"/>
          <w:right w:w="0" w:type="dxa"/>
        </w:tblCellMar>
        <w:tblLook w:val="04A0" w:firstRow="1" w:lastRow="0" w:firstColumn="1" w:lastColumn="0" w:noHBand="0" w:noVBand="1"/>
      </w:tblPr>
      <w:tblGrid>
        <w:gridCol w:w="9779"/>
      </w:tblGrid>
      <w:tr w:rsidR="00316C12" w:rsidRPr="00316C12" w14:paraId="27ECC559" w14:textId="77777777" w:rsidTr="00316C12">
        <w:trPr>
          <w:cantSplit/>
        </w:trPr>
        <w:tc>
          <w:tcPr>
            <w:tcW w:w="9779" w:type="dxa"/>
            <w:shd w:val="solid" w:color="E1E1E1" w:fill="E1E1E1"/>
          </w:tcPr>
          <w:p w14:paraId="6F58421A" w14:textId="77777777" w:rsidR="00316C12" w:rsidRPr="00316C12" w:rsidRDefault="00316C12" w:rsidP="00316C12">
            <w:pPr>
              <w:pStyle w:val="Captionheader"/>
              <w:keepNext/>
              <w:keepLines/>
              <w:rPr>
                <w:rFonts w:asciiTheme="minorHAnsi" w:hAnsiTheme="minorHAnsi" w:cstheme="minorHAnsi"/>
                <w:sz w:val="20"/>
                <w:szCs w:val="20"/>
              </w:rPr>
            </w:pPr>
            <w:r w:rsidRPr="00316C12">
              <w:rPr>
                <w:rFonts w:asciiTheme="minorHAnsi" w:hAnsiTheme="minorHAnsi" w:cstheme="minorHAnsi"/>
                <w:sz w:val="20"/>
                <w:szCs w:val="20"/>
              </w:rPr>
              <w:t>Opsummeringen af besparelsespotentialerne</w:t>
            </w:r>
          </w:p>
        </w:tc>
      </w:tr>
      <w:tr w:rsidR="00316C12" w:rsidRPr="00316C12" w14:paraId="34EC80EB" w14:textId="77777777" w:rsidTr="00316C12">
        <w:trPr>
          <w:cantSplit/>
        </w:trPr>
        <w:tc>
          <w:tcPr>
            <w:tcW w:w="9779" w:type="dxa"/>
            <w:shd w:val="solid" w:color="E1E1E1" w:fill="E1E1E1"/>
          </w:tcPr>
          <w:tbl>
            <w:tblPr>
              <w:tblStyle w:val="IncentiveTable"/>
              <w:tblW w:w="8221" w:type="dxa"/>
              <w:tblLayout w:type="fixed"/>
              <w:tblLook w:val="04A0" w:firstRow="1" w:lastRow="0" w:firstColumn="1" w:lastColumn="0" w:noHBand="0" w:noVBand="1"/>
            </w:tblPr>
            <w:tblGrid>
              <w:gridCol w:w="3402"/>
              <w:gridCol w:w="2409"/>
              <w:gridCol w:w="2410"/>
            </w:tblGrid>
            <w:tr w:rsidR="00316C12" w:rsidRPr="00316C12" w14:paraId="47EB64C7" w14:textId="77777777" w:rsidTr="00316C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415BC25F"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Effektmål</w:t>
                  </w:r>
                </w:p>
              </w:tc>
              <w:tc>
                <w:tcPr>
                  <w:tcW w:w="2409" w:type="dxa"/>
                  <w:noWrap/>
                  <w:hideMark/>
                </w:tcPr>
                <w:p w14:paraId="783C8495" w14:textId="77777777" w:rsidR="00316C12" w:rsidRPr="00316C12" w:rsidRDefault="00316C12" w:rsidP="00316C12">
                  <w:pPr>
                    <w:pStyle w:val="Table"/>
                    <w:keepNext/>
                    <w:keepLines/>
                    <w:framePr w:hSpace="141" w:wrap="around" w:vAnchor="text" w:hAnchor="margin" w:y="23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Nedre besparelsespotentiale</w:t>
                  </w:r>
                </w:p>
              </w:tc>
              <w:tc>
                <w:tcPr>
                  <w:tcW w:w="2410" w:type="dxa"/>
                  <w:noWrap/>
                  <w:hideMark/>
                </w:tcPr>
                <w:p w14:paraId="44B752AC" w14:textId="77777777" w:rsidR="00316C12" w:rsidRPr="00316C12" w:rsidRDefault="00316C12" w:rsidP="00316C12">
                  <w:pPr>
                    <w:pStyle w:val="Table"/>
                    <w:keepNext/>
                    <w:keepLines/>
                    <w:framePr w:hSpace="141" w:wrap="around" w:vAnchor="text" w:hAnchor="margin" w:y="23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Øvre besparelsespotentiale</w:t>
                  </w:r>
                </w:p>
              </w:tc>
            </w:tr>
            <w:tr w:rsidR="00316C12" w:rsidRPr="00316C12" w14:paraId="60AF4027"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C860D65"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Kontakter til egen læge</w:t>
                  </w:r>
                </w:p>
              </w:tc>
              <w:tc>
                <w:tcPr>
                  <w:tcW w:w="2409" w:type="dxa"/>
                  <w:noWrap/>
                  <w:hideMark/>
                </w:tcPr>
                <w:p w14:paraId="2DBCB322"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325.362 kr.</w:t>
                  </w:r>
                </w:p>
              </w:tc>
              <w:tc>
                <w:tcPr>
                  <w:tcW w:w="2410" w:type="dxa"/>
                  <w:noWrap/>
                  <w:hideMark/>
                </w:tcPr>
                <w:p w14:paraId="3B30F838"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464.041 kr.</w:t>
                  </w:r>
                </w:p>
              </w:tc>
            </w:tr>
            <w:tr w:rsidR="00316C12" w:rsidRPr="00316C12" w14:paraId="43CF3D96"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3E3D00C5"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Kontakter til psykolog</w:t>
                  </w:r>
                </w:p>
              </w:tc>
              <w:tc>
                <w:tcPr>
                  <w:tcW w:w="2409" w:type="dxa"/>
                  <w:noWrap/>
                  <w:hideMark/>
                </w:tcPr>
                <w:p w14:paraId="45534EEC"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311.480 kr.</w:t>
                  </w:r>
                </w:p>
              </w:tc>
              <w:tc>
                <w:tcPr>
                  <w:tcW w:w="2410" w:type="dxa"/>
                  <w:noWrap/>
                  <w:hideMark/>
                </w:tcPr>
                <w:p w14:paraId="280786E8"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622.960 kr.</w:t>
                  </w:r>
                </w:p>
              </w:tc>
            </w:tr>
            <w:tr w:rsidR="00316C12" w:rsidRPr="00316C12" w14:paraId="59AEC2F5"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007A6C07"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Speciallæge i psykiatri</w:t>
                  </w:r>
                </w:p>
              </w:tc>
              <w:tc>
                <w:tcPr>
                  <w:tcW w:w="2409" w:type="dxa"/>
                  <w:noWrap/>
                  <w:hideMark/>
                </w:tcPr>
                <w:p w14:paraId="738EF56C"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42.757 kr.</w:t>
                  </w:r>
                </w:p>
              </w:tc>
              <w:tc>
                <w:tcPr>
                  <w:tcW w:w="2410" w:type="dxa"/>
                  <w:noWrap/>
                  <w:hideMark/>
                </w:tcPr>
                <w:p w14:paraId="4E6A28DF"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85.514 kr.</w:t>
                  </w:r>
                </w:p>
              </w:tc>
            </w:tr>
            <w:tr w:rsidR="00316C12" w:rsidRPr="00316C12" w14:paraId="39C635F8" w14:textId="77777777" w:rsidTr="00316C12">
              <w:trPr>
                <w:trHeight w:val="40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07A29F1"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Ambulante psykiatriske kontakter</w:t>
                  </w:r>
                </w:p>
              </w:tc>
              <w:tc>
                <w:tcPr>
                  <w:tcW w:w="2409" w:type="dxa"/>
                  <w:noWrap/>
                  <w:hideMark/>
                </w:tcPr>
                <w:p w14:paraId="09A7BC79"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217.800 kr.</w:t>
                  </w:r>
                </w:p>
              </w:tc>
              <w:tc>
                <w:tcPr>
                  <w:tcW w:w="2410" w:type="dxa"/>
                  <w:noWrap/>
                  <w:hideMark/>
                </w:tcPr>
                <w:p w14:paraId="02F63119"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217.800 kr.</w:t>
                  </w:r>
                </w:p>
              </w:tc>
            </w:tr>
            <w:tr w:rsidR="00316C12" w:rsidRPr="00316C12" w14:paraId="1E2608A6"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0411332E" w14:textId="3A08F639"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Psykiatriske indlæggelse</w:t>
                  </w:r>
                  <w:r w:rsidR="00C87AA9">
                    <w:rPr>
                      <w:rFonts w:asciiTheme="minorHAnsi" w:hAnsiTheme="minorHAnsi" w:cstheme="minorHAnsi"/>
                      <w:sz w:val="20"/>
                      <w:szCs w:val="20"/>
                    </w:rPr>
                    <w:t>r</w:t>
                  </w:r>
                </w:p>
              </w:tc>
              <w:tc>
                <w:tcPr>
                  <w:tcW w:w="2409" w:type="dxa"/>
                  <w:noWrap/>
                  <w:hideMark/>
                </w:tcPr>
                <w:p w14:paraId="22E52C27"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236.715 kr.</w:t>
                  </w:r>
                </w:p>
              </w:tc>
              <w:tc>
                <w:tcPr>
                  <w:tcW w:w="2410" w:type="dxa"/>
                  <w:noWrap/>
                  <w:hideMark/>
                </w:tcPr>
                <w:p w14:paraId="4CDB8FBC"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345.555 kr.</w:t>
                  </w:r>
                </w:p>
              </w:tc>
            </w:tr>
            <w:tr w:rsidR="00316C12" w:rsidRPr="00316C12" w14:paraId="5E7FEEA7"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34268A9E"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Afbrudte studieforløb</w:t>
                  </w:r>
                </w:p>
              </w:tc>
              <w:tc>
                <w:tcPr>
                  <w:tcW w:w="2409" w:type="dxa"/>
                  <w:noWrap/>
                  <w:hideMark/>
                </w:tcPr>
                <w:p w14:paraId="45A09FB9"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398.713 kr.</w:t>
                  </w:r>
                </w:p>
              </w:tc>
              <w:tc>
                <w:tcPr>
                  <w:tcW w:w="2410" w:type="dxa"/>
                  <w:noWrap/>
                  <w:hideMark/>
                </w:tcPr>
                <w:p w14:paraId="3E1C4B42"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664.522 kr.</w:t>
                  </w:r>
                </w:p>
              </w:tc>
            </w:tr>
            <w:tr w:rsidR="00316C12" w:rsidRPr="00316C12" w14:paraId="7B6ACB95"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6CF3680A" w14:textId="77777777" w:rsidR="00316C12" w:rsidRPr="00316C12" w:rsidRDefault="00316C12" w:rsidP="00316C12">
                  <w:pPr>
                    <w:pStyle w:val="Table"/>
                    <w:keepNext/>
                    <w:keepLines/>
                    <w:framePr w:hSpace="141" w:wrap="around" w:vAnchor="text" w:hAnchor="margin" w:y="230"/>
                    <w:rPr>
                      <w:rFonts w:asciiTheme="minorHAnsi" w:hAnsiTheme="minorHAnsi" w:cstheme="minorHAnsi"/>
                      <w:sz w:val="20"/>
                      <w:szCs w:val="20"/>
                    </w:rPr>
                  </w:pPr>
                  <w:r w:rsidRPr="00316C12">
                    <w:rPr>
                      <w:rFonts w:asciiTheme="minorHAnsi" w:hAnsiTheme="minorHAnsi" w:cstheme="minorHAnsi"/>
                      <w:sz w:val="20"/>
                      <w:szCs w:val="20"/>
                    </w:rPr>
                    <w:t>Beskæftigelse</w:t>
                  </w:r>
                </w:p>
              </w:tc>
              <w:tc>
                <w:tcPr>
                  <w:tcW w:w="2409" w:type="dxa"/>
                  <w:noWrap/>
                  <w:hideMark/>
                </w:tcPr>
                <w:p w14:paraId="50EB2CA3"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509.495 kr.</w:t>
                  </w:r>
                </w:p>
              </w:tc>
              <w:tc>
                <w:tcPr>
                  <w:tcW w:w="2410" w:type="dxa"/>
                  <w:noWrap/>
                  <w:hideMark/>
                </w:tcPr>
                <w:p w14:paraId="691C3D5B"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6C12">
                    <w:rPr>
                      <w:rFonts w:asciiTheme="minorHAnsi" w:hAnsiTheme="minorHAnsi" w:cstheme="minorHAnsi"/>
                      <w:sz w:val="20"/>
                      <w:szCs w:val="20"/>
                    </w:rPr>
                    <w:t>1.018.991 kr.</w:t>
                  </w:r>
                </w:p>
              </w:tc>
            </w:tr>
            <w:tr w:rsidR="00316C12" w:rsidRPr="00316C12" w14:paraId="7F32DDF7" w14:textId="77777777" w:rsidTr="00316C12">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4B11192D" w14:textId="77777777" w:rsidR="00316C12" w:rsidRPr="00316C12" w:rsidRDefault="00316C12" w:rsidP="00316C12">
                  <w:pPr>
                    <w:pStyle w:val="Table"/>
                    <w:keepNext/>
                    <w:keepLines/>
                    <w:framePr w:hSpace="141" w:wrap="around" w:vAnchor="text" w:hAnchor="margin" w:y="230"/>
                    <w:rPr>
                      <w:rFonts w:asciiTheme="minorHAnsi" w:hAnsiTheme="minorHAnsi" w:cstheme="minorHAnsi"/>
                      <w:b/>
                      <w:sz w:val="20"/>
                      <w:szCs w:val="20"/>
                    </w:rPr>
                  </w:pPr>
                  <w:r w:rsidRPr="00316C12">
                    <w:rPr>
                      <w:rFonts w:asciiTheme="minorHAnsi" w:hAnsiTheme="minorHAnsi" w:cstheme="minorHAnsi"/>
                      <w:b/>
                      <w:sz w:val="20"/>
                      <w:szCs w:val="20"/>
                    </w:rPr>
                    <w:t>I alt</w:t>
                  </w:r>
                </w:p>
              </w:tc>
              <w:tc>
                <w:tcPr>
                  <w:tcW w:w="2409" w:type="dxa"/>
                  <w:noWrap/>
                  <w:hideMark/>
                </w:tcPr>
                <w:p w14:paraId="69FFAB89" w14:textId="04DABB0F"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316C12">
                    <w:rPr>
                      <w:rFonts w:asciiTheme="minorHAnsi" w:hAnsiTheme="minorHAnsi" w:cstheme="minorHAnsi"/>
                      <w:b/>
                      <w:sz w:val="20"/>
                      <w:szCs w:val="20"/>
                    </w:rPr>
                    <w:t>2.042.32</w:t>
                  </w:r>
                  <w:r w:rsidR="00902AC3">
                    <w:rPr>
                      <w:rFonts w:asciiTheme="minorHAnsi" w:hAnsiTheme="minorHAnsi" w:cstheme="minorHAnsi"/>
                      <w:b/>
                      <w:sz w:val="20"/>
                      <w:szCs w:val="20"/>
                    </w:rPr>
                    <w:t>2</w:t>
                  </w:r>
                  <w:r w:rsidRPr="00316C12">
                    <w:rPr>
                      <w:rFonts w:asciiTheme="minorHAnsi" w:hAnsiTheme="minorHAnsi" w:cstheme="minorHAnsi"/>
                      <w:b/>
                      <w:sz w:val="20"/>
                      <w:szCs w:val="20"/>
                    </w:rPr>
                    <w:t xml:space="preserve"> kr.</w:t>
                  </w:r>
                </w:p>
              </w:tc>
              <w:tc>
                <w:tcPr>
                  <w:tcW w:w="2410" w:type="dxa"/>
                  <w:noWrap/>
                  <w:hideMark/>
                </w:tcPr>
                <w:p w14:paraId="10649EF5" w14:textId="77777777" w:rsidR="00316C12" w:rsidRPr="00316C12" w:rsidRDefault="00316C12" w:rsidP="00316C12">
                  <w:pPr>
                    <w:pStyle w:val="Table"/>
                    <w:keepNext/>
                    <w:keepLines/>
                    <w:framePr w:hSpace="141" w:wrap="around" w:vAnchor="text" w:hAnchor="margin" w:y="2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316C12">
                    <w:rPr>
                      <w:rFonts w:asciiTheme="minorHAnsi" w:hAnsiTheme="minorHAnsi" w:cstheme="minorHAnsi"/>
                      <w:b/>
                      <w:sz w:val="20"/>
                      <w:szCs w:val="20"/>
                    </w:rPr>
                    <w:t>3.419.383 kr.</w:t>
                  </w:r>
                </w:p>
              </w:tc>
            </w:tr>
          </w:tbl>
          <w:p w14:paraId="5D7A3913" w14:textId="77777777" w:rsidR="00316C12" w:rsidRPr="00316C12" w:rsidRDefault="00316C12" w:rsidP="00316C12">
            <w:pPr>
              <w:pStyle w:val="Table"/>
              <w:keepNext/>
              <w:keepLines/>
              <w:rPr>
                <w:rFonts w:asciiTheme="minorHAnsi" w:hAnsiTheme="minorHAnsi" w:cstheme="minorHAnsi"/>
                <w:sz w:val="20"/>
                <w:szCs w:val="20"/>
              </w:rPr>
            </w:pPr>
          </w:p>
        </w:tc>
      </w:tr>
    </w:tbl>
    <w:p w14:paraId="701A8A3D" w14:textId="77777777" w:rsidR="00C80FD2" w:rsidRDefault="00C80FD2" w:rsidP="0083346E"/>
    <w:sectPr w:rsidR="00C80FD2" w:rsidSect="00C90762">
      <w:headerReference w:type="default" r:id="rId8"/>
      <w:footerReference w:type="default" r:id="rId9"/>
      <w:pgSz w:w="11906" w:h="16838"/>
      <w:pgMar w:top="99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6E46" w14:textId="77777777" w:rsidR="005D746C" w:rsidRDefault="005D746C" w:rsidP="00C90762">
      <w:pPr>
        <w:spacing w:after="0" w:line="240" w:lineRule="auto"/>
      </w:pPr>
      <w:r>
        <w:separator/>
      </w:r>
    </w:p>
  </w:endnote>
  <w:endnote w:type="continuationSeparator" w:id="0">
    <w:p w14:paraId="719B1B87" w14:textId="77777777" w:rsidR="005D746C" w:rsidRDefault="005D746C" w:rsidP="00C9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B065" w14:textId="77777777" w:rsidR="005D746C" w:rsidRDefault="005D746C" w:rsidP="007726B0">
    <w:pPr>
      <w:jc w:val="center"/>
      <w:rPr>
        <w:rFonts w:ascii="Arial Rounded MT Bold" w:hAnsi="Arial Rounded MT Bold"/>
        <w:b/>
        <w:color w:val="33CC33"/>
      </w:rPr>
    </w:pPr>
  </w:p>
  <w:p w14:paraId="1891F18E" w14:textId="77777777" w:rsidR="005D746C" w:rsidRDefault="005D746C" w:rsidP="007726B0">
    <w:pPr>
      <w:jc w:val="center"/>
      <w:rPr>
        <w:rFonts w:ascii="Arial Rounded MT Bold" w:hAnsi="Arial Rounded MT Bold"/>
        <w:b/>
        <w:color w:val="33CC33"/>
      </w:rPr>
    </w:pPr>
    <w:r>
      <w:rPr>
        <w:rFonts w:ascii="Arial Rounded MT Bold" w:hAnsi="Arial Rounded MT Bold"/>
        <w:b/>
        <w:noProof/>
        <w:color w:val="33CC33"/>
        <w:lang w:eastAsia="da-DK"/>
      </w:rPr>
      <w:drawing>
        <wp:inline distT="0" distB="0" distL="0" distR="0" wp14:anchorId="00B24530" wp14:editId="5214F84F">
          <wp:extent cx="971550" cy="257175"/>
          <wp:effectExtent l="0" t="0" r="0" b="9525"/>
          <wp:docPr id="15" name="Billede 15" descr="headspace_logo_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space_logo_navnetræ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p>
  <w:p w14:paraId="31EC866A" w14:textId="77777777" w:rsidR="005D746C" w:rsidRPr="00BF2ABF" w:rsidRDefault="005D746C" w:rsidP="007726B0">
    <w:pPr>
      <w:jc w:val="center"/>
      <w:rPr>
        <w:rFonts w:ascii="Arial Rounded MT Bold" w:hAnsi="Arial Rounded MT Bold"/>
        <w:color w:val="808080"/>
        <w:sz w:val="18"/>
      </w:rPr>
    </w:pPr>
    <w:r w:rsidRPr="005E6429">
      <w:rPr>
        <w:rFonts w:ascii="Arial Rounded MT Bold" w:hAnsi="Arial Rounded MT Bold"/>
        <w:color w:val="808080"/>
        <w:sz w:val="18"/>
      </w:rPr>
      <w:t>Østergade 5, 3. sal</w:t>
    </w:r>
    <w:r>
      <w:rPr>
        <w:rFonts w:ascii="Arial Rounded MT Bold" w:hAnsi="Arial Rounded MT Bold"/>
        <w:color w:val="808080"/>
        <w:sz w:val="18"/>
      </w:rPr>
      <w:t xml:space="preserve">  </w:t>
    </w:r>
    <w:r w:rsidRPr="00BF2ABF">
      <w:rPr>
        <w:color w:val="808080"/>
        <w:sz w:val="14"/>
        <w:szCs w:val="14"/>
      </w:rPr>
      <w:t>●</w:t>
    </w:r>
    <w:r w:rsidRPr="00BF2ABF">
      <w:rPr>
        <w:rFonts w:ascii="Arial Rounded MT Bold" w:hAnsi="Arial Rounded MT Bold"/>
        <w:color w:val="808080"/>
        <w:sz w:val="14"/>
        <w:szCs w:val="14"/>
      </w:rPr>
      <w:t xml:space="preserve">  </w:t>
    </w:r>
    <w:r>
      <w:rPr>
        <w:rFonts w:ascii="Arial Rounded MT Bold" w:hAnsi="Arial Rounded MT Bold"/>
        <w:color w:val="808080"/>
        <w:sz w:val="18"/>
      </w:rPr>
      <w:t>110</w:t>
    </w:r>
    <w:r w:rsidRPr="00BF2ABF">
      <w:rPr>
        <w:rFonts w:ascii="Arial Rounded MT Bold" w:hAnsi="Arial Rounded MT Bold"/>
        <w:color w:val="808080"/>
        <w:sz w:val="18"/>
      </w:rPr>
      <w:t>0 København K</w:t>
    </w:r>
    <w:r w:rsidRPr="00BF2ABF">
      <w:rPr>
        <w:rFonts w:ascii="Arial Rounded MT Bold" w:hAnsi="Arial Rounded MT Bold"/>
        <w:color w:val="808080"/>
        <w:sz w:val="14"/>
        <w:szCs w:val="14"/>
      </w:rPr>
      <w:t xml:space="preserve">  </w:t>
    </w:r>
    <w:r w:rsidRPr="00BF2ABF">
      <w:rPr>
        <w:color w:val="808080"/>
        <w:sz w:val="14"/>
        <w:szCs w:val="14"/>
      </w:rPr>
      <w:t>●</w:t>
    </w:r>
    <w:r w:rsidRPr="00BF2ABF">
      <w:rPr>
        <w:rFonts w:ascii="Arial Rounded MT Bold" w:hAnsi="Arial Rounded MT Bold"/>
        <w:color w:val="808080"/>
        <w:sz w:val="14"/>
        <w:szCs w:val="14"/>
      </w:rPr>
      <w:t xml:space="preserve">  </w:t>
    </w:r>
    <w:r w:rsidRPr="00BF2ABF">
      <w:rPr>
        <w:rFonts w:ascii="Arial Rounded MT Bold" w:hAnsi="Arial Rounded MT Bold"/>
        <w:color w:val="808080"/>
        <w:sz w:val="18"/>
      </w:rPr>
      <w:t>Tlf. 50 846 846</w:t>
    </w:r>
    <w:r w:rsidRPr="00BF2ABF">
      <w:rPr>
        <w:rFonts w:ascii="Arial Rounded MT Bold" w:hAnsi="Arial Rounded MT Bold"/>
        <w:color w:val="808080"/>
        <w:sz w:val="14"/>
        <w:szCs w:val="14"/>
      </w:rPr>
      <w:t xml:space="preserve">  </w:t>
    </w:r>
    <w:r w:rsidRPr="00BF2ABF">
      <w:rPr>
        <w:color w:val="808080"/>
        <w:sz w:val="14"/>
        <w:szCs w:val="14"/>
      </w:rPr>
      <w:t>●</w:t>
    </w:r>
    <w:r w:rsidRPr="00BF2ABF">
      <w:rPr>
        <w:rFonts w:ascii="Arial Rounded MT Bold" w:hAnsi="Arial Rounded MT Bold"/>
        <w:color w:val="808080"/>
        <w:sz w:val="14"/>
        <w:szCs w:val="14"/>
      </w:rPr>
      <w:t xml:space="preserve">  </w:t>
    </w:r>
    <w:r w:rsidRPr="00BF2ABF">
      <w:rPr>
        <w:rFonts w:ascii="Arial Rounded MT Bold" w:hAnsi="Arial Rounded MT Bold"/>
        <w:color w:val="808080"/>
        <w:sz w:val="18"/>
      </w:rPr>
      <w:t>info@headspace.dk</w:t>
    </w:r>
    <w:r w:rsidRPr="00BF2ABF">
      <w:rPr>
        <w:rFonts w:ascii="Arial Rounded MT Bold" w:hAnsi="Arial Rounded MT Bold"/>
        <w:color w:val="808080"/>
        <w:sz w:val="14"/>
        <w:szCs w:val="14"/>
      </w:rPr>
      <w:t xml:space="preserve">  </w:t>
    </w:r>
    <w:r w:rsidRPr="00BF2ABF">
      <w:rPr>
        <w:color w:val="808080"/>
        <w:sz w:val="14"/>
        <w:szCs w:val="14"/>
      </w:rPr>
      <w:t>●</w:t>
    </w:r>
    <w:r w:rsidRPr="00BF2ABF">
      <w:rPr>
        <w:rFonts w:ascii="Arial Rounded MT Bold" w:hAnsi="Arial Rounded MT Bold"/>
        <w:color w:val="808080"/>
        <w:sz w:val="14"/>
        <w:szCs w:val="14"/>
      </w:rPr>
      <w:t xml:space="preserve">  </w:t>
    </w:r>
    <w:r w:rsidRPr="00BF2ABF">
      <w:rPr>
        <w:rFonts w:ascii="Arial Rounded MT Bold" w:hAnsi="Arial Rounded MT Bold"/>
        <w:color w:val="808080"/>
        <w:sz w:val="18"/>
      </w:rPr>
      <w:t>www.headspace.dk</w:t>
    </w:r>
  </w:p>
  <w:p w14:paraId="59ED6254" w14:textId="77777777" w:rsidR="005D746C" w:rsidRDefault="005D74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F9096" w14:textId="77777777" w:rsidR="005D746C" w:rsidRDefault="005D746C" w:rsidP="00C90762">
      <w:pPr>
        <w:spacing w:after="0" w:line="240" w:lineRule="auto"/>
      </w:pPr>
      <w:r>
        <w:separator/>
      </w:r>
    </w:p>
  </w:footnote>
  <w:footnote w:type="continuationSeparator" w:id="0">
    <w:p w14:paraId="268DBDF8" w14:textId="77777777" w:rsidR="005D746C" w:rsidRDefault="005D746C" w:rsidP="00C9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AED6" w14:textId="77777777" w:rsidR="005D746C" w:rsidRDefault="005D746C" w:rsidP="00C90762">
    <w:pPr>
      <w:pStyle w:val="Sidehoved"/>
      <w:ind w:left="-142"/>
    </w:pPr>
    <w:r>
      <w:rPr>
        <w:noProof/>
        <w:lang w:eastAsia="da-DK"/>
      </w:rPr>
      <w:drawing>
        <wp:anchor distT="0" distB="0" distL="114300" distR="114300" simplePos="0" relativeHeight="251660288" behindDoc="1" locked="0" layoutInCell="1" allowOverlap="1" wp14:anchorId="055B51A6" wp14:editId="1B5802E2">
          <wp:simplePos x="0" y="0"/>
          <wp:positionH relativeFrom="column">
            <wp:posOffset>4417060</wp:posOffset>
          </wp:positionH>
          <wp:positionV relativeFrom="paragraph">
            <wp:posOffset>-765175</wp:posOffset>
          </wp:positionV>
          <wp:extent cx="2536825" cy="3086100"/>
          <wp:effectExtent l="0" t="0" r="0" b="0"/>
          <wp:wrapNone/>
          <wp:docPr id="11" name="Billede 11" descr="headspace-D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space-DSN"/>
                  <pic:cNvPicPr>
                    <a:picLocks noChangeAspect="1" noChangeArrowheads="1"/>
                  </pic:cNvPicPr>
                </pic:nvPicPr>
                <pic:blipFill>
                  <a:blip r:embed="rId1">
                    <a:extLst>
                      <a:ext uri="{28A0092B-C50C-407E-A947-70E740481C1C}">
                        <a14:useLocalDpi xmlns:a14="http://schemas.microsoft.com/office/drawing/2010/main" val="0"/>
                      </a:ext>
                    </a:extLst>
                  </a:blip>
                  <a:srcRect l="58899"/>
                  <a:stretch>
                    <a:fillRect/>
                  </a:stretch>
                </pic:blipFill>
                <pic:spPr bwMode="auto">
                  <a:xfrm>
                    <a:off x="0" y="0"/>
                    <a:ext cx="2536825"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9264" behindDoc="1" locked="0" layoutInCell="1" allowOverlap="1" wp14:anchorId="1A7346B6" wp14:editId="536C66D8">
          <wp:simplePos x="0" y="0"/>
          <wp:positionH relativeFrom="column">
            <wp:posOffset>-853440</wp:posOffset>
          </wp:positionH>
          <wp:positionV relativeFrom="paragraph">
            <wp:posOffset>-746760</wp:posOffset>
          </wp:positionV>
          <wp:extent cx="3429000" cy="3086100"/>
          <wp:effectExtent l="0" t="0" r="0" b="0"/>
          <wp:wrapNone/>
          <wp:docPr id="12" name="Billede 12" descr="headspace-D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space-DSN"/>
                  <pic:cNvPicPr>
                    <a:picLocks noChangeAspect="1" noChangeArrowheads="1"/>
                  </pic:cNvPicPr>
                </pic:nvPicPr>
                <pic:blipFill>
                  <a:blip r:embed="rId1">
                    <a:extLst>
                      <a:ext uri="{28A0092B-C50C-407E-A947-70E740481C1C}">
                        <a14:useLocalDpi xmlns:a14="http://schemas.microsoft.com/office/drawing/2010/main" val="0"/>
                      </a:ext>
                    </a:extLst>
                  </a:blip>
                  <a:srcRect r="44444"/>
                  <a:stretch>
                    <a:fillRect/>
                  </a:stretch>
                </pic:blipFill>
                <pic:spPr bwMode="auto">
                  <a:xfrm>
                    <a:off x="0" y="0"/>
                    <a:ext cx="342900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61A04" w14:textId="77777777" w:rsidR="005D746C" w:rsidRDefault="005D746C" w:rsidP="00C90762">
    <w:pPr>
      <w:pStyle w:val="Sidehoved"/>
      <w:ind w:left="-142"/>
    </w:pPr>
  </w:p>
  <w:p w14:paraId="3390CFDD" w14:textId="77777777" w:rsidR="005D746C" w:rsidRDefault="005D746C" w:rsidP="00C90762">
    <w:pPr>
      <w:pStyle w:val="Sidehoved"/>
      <w:ind w:left="-142"/>
    </w:pPr>
  </w:p>
  <w:p w14:paraId="558324E7" w14:textId="77777777" w:rsidR="005D746C" w:rsidRDefault="005D746C" w:rsidP="00C90762">
    <w:pPr>
      <w:pStyle w:val="Sidehoved"/>
      <w:ind w:left="-142"/>
    </w:pPr>
  </w:p>
  <w:p w14:paraId="232BA708" w14:textId="77777777" w:rsidR="005D746C" w:rsidRDefault="005D746C" w:rsidP="00C90762">
    <w:pPr>
      <w:pStyle w:val="Sidehoved"/>
      <w:ind w:left="-142"/>
    </w:pPr>
  </w:p>
  <w:p w14:paraId="5CB3B413" w14:textId="77777777" w:rsidR="005D746C" w:rsidRDefault="005D746C" w:rsidP="00C90762">
    <w:pPr>
      <w:pStyle w:val="Sidehoved"/>
    </w:pPr>
    <w:r>
      <w:t xml:space="preserve">                                                                                                </w:t>
    </w:r>
  </w:p>
  <w:p w14:paraId="75101265" w14:textId="77777777" w:rsidR="005D746C" w:rsidRDefault="005D746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6A1"/>
    <w:multiLevelType w:val="multilevel"/>
    <w:tmpl w:val="FF0E5CC4"/>
    <w:lvl w:ilvl="0">
      <w:start w:val="1"/>
      <w:numFmt w:val="decimal"/>
      <w:pStyle w:val="Opstilling-punkttegn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9678E0"/>
    <w:multiLevelType w:val="multilevel"/>
    <w:tmpl w:val="D13ED900"/>
    <w:lvl w:ilvl="0">
      <w:start w:val="1"/>
      <w:numFmt w:val="bullet"/>
      <w:pStyle w:val="Opstilling-punkttegn"/>
      <w:lvlText w:val="·"/>
      <w:lvlJc w:val="left"/>
      <w:pPr>
        <w:ind w:left="587" w:hanging="360"/>
      </w:pPr>
      <w:rPr>
        <w:rFonts w:ascii="Courier New" w:hAnsi="Courier New" w:hint="default"/>
        <w:color w:val="auto"/>
        <w:sz w:val="18"/>
      </w:rPr>
    </w:lvl>
    <w:lvl w:ilvl="1">
      <w:start w:val="1"/>
      <w:numFmt w:val="bullet"/>
      <w:pStyle w:val="ListBullet2NoSpace"/>
      <w:lvlText w:val="·"/>
      <w:lvlJc w:val="left"/>
      <w:pPr>
        <w:ind w:left="1638" w:hanging="360"/>
      </w:pPr>
      <w:rPr>
        <w:rFonts w:ascii="Courier New" w:hAnsi="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E4"/>
    <w:rsid w:val="000B0788"/>
    <w:rsid w:val="00121780"/>
    <w:rsid w:val="00155020"/>
    <w:rsid w:val="0021233A"/>
    <w:rsid w:val="00275057"/>
    <w:rsid w:val="002E2630"/>
    <w:rsid w:val="002E6A44"/>
    <w:rsid w:val="00316C12"/>
    <w:rsid w:val="00332106"/>
    <w:rsid w:val="003A4F5D"/>
    <w:rsid w:val="0040711A"/>
    <w:rsid w:val="005C7E48"/>
    <w:rsid w:val="005D746C"/>
    <w:rsid w:val="00695AE4"/>
    <w:rsid w:val="006968A4"/>
    <w:rsid w:val="006A1773"/>
    <w:rsid w:val="006D0892"/>
    <w:rsid w:val="007726B0"/>
    <w:rsid w:val="007E0159"/>
    <w:rsid w:val="0083346E"/>
    <w:rsid w:val="008B2854"/>
    <w:rsid w:val="008C7300"/>
    <w:rsid w:val="008F30F6"/>
    <w:rsid w:val="00902AC3"/>
    <w:rsid w:val="0091723C"/>
    <w:rsid w:val="00973F24"/>
    <w:rsid w:val="009A7EB5"/>
    <w:rsid w:val="00A11A5A"/>
    <w:rsid w:val="00A53A0D"/>
    <w:rsid w:val="00A857E8"/>
    <w:rsid w:val="00B16212"/>
    <w:rsid w:val="00B35C8D"/>
    <w:rsid w:val="00B91932"/>
    <w:rsid w:val="00C80FD2"/>
    <w:rsid w:val="00C87AA9"/>
    <w:rsid w:val="00C90762"/>
    <w:rsid w:val="00D31238"/>
    <w:rsid w:val="00D33513"/>
    <w:rsid w:val="00D443F7"/>
    <w:rsid w:val="00D6642C"/>
    <w:rsid w:val="00DC3A9A"/>
    <w:rsid w:val="00E06CDD"/>
    <w:rsid w:val="00E9023E"/>
    <w:rsid w:val="00EB693A"/>
    <w:rsid w:val="00EE4C43"/>
    <w:rsid w:val="00EF47E8"/>
    <w:rsid w:val="00F10FF0"/>
    <w:rsid w:val="00F74514"/>
    <w:rsid w:val="00FE02A9"/>
    <w:rsid w:val="00FF7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AAB92"/>
  <w15:chartTrackingRefBased/>
  <w15:docId w15:val="{75A75A53-2274-4844-B1A9-4020EAEE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4"/>
    <w:qFormat/>
    <w:rsid w:val="00D31238"/>
    <w:pPr>
      <w:numPr>
        <w:numId w:val="1"/>
      </w:numPr>
      <w:suppressAutoHyphens/>
      <w:spacing w:before="60" w:after="200" w:line="290" w:lineRule="atLeast"/>
      <w:contextualSpacing/>
    </w:pPr>
    <w:rPr>
      <w:rFonts w:ascii="Trebuchet MS" w:eastAsiaTheme="minorEastAsia" w:hAnsi="Trebuchet MS" w:cs="Arial"/>
      <w:sz w:val="18"/>
    </w:rPr>
  </w:style>
  <w:style w:type="paragraph" w:customStyle="1" w:styleId="ListBullet2NoSpace">
    <w:name w:val="List Bullet 2 NoSpace"/>
    <w:basedOn w:val="Opstilling-punkttegn2"/>
    <w:uiPriority w:val="99"/>
    <w:rsid w:val="00D31238"/>
    <w:pPr>
      <w:numPr>
        <w:ilvl w:val="1"/>
        <w:numId w:val="1"/>
      </w:numPr>
      <w:tabs>
        <w:tab w:val="num" w:pos="360"/>
        <w:tab w:val="left" w:pos="851"/>
      </w:tabs>
      <w:suppressAutoHyphens/>
      <w:spacing w:after="200" w:line="290" w:lineRule="atLeast"/>
      <w:ind w:left="1633" w:hanging="357"/>
      <w:contextualSpacing w:val="0"/>
    </w:pPr>
    <w:rPr>
      <w:rFonts w:ascii="Trebuchet MS" w:eastAsiaTheme="minorEastAsia" w:hAnsi="Trebuchet MS" w:cs="Arial"/>
      <w:sz w:val="18"/>
    </w:rPr>
  </w:style>
  <w:style w:type="paragraph" w:styleId="Opstilling-punkttegn2">
    <w:name w:val="List Bullet 2"/>
    <w:basedOn w:val="Normal"/>
    <w:uiPriority w:val="99"/>
    <w:semiHidden/>
    <w:unhideWhenUsed/>
    <w:rsid w:val="00D31238"/>
    <w:pPr>
      <w:numPr>
        <w:numId w:val="2"/>
      </w:numPr>
      <w:contextualSpacing/>
    </w:pPr>
  </w:style>
  <w:style w:type="character" w:styleId="Hyperlink">
    <w:name w:val="Hyperlink"/>
    <w:rsid w:val="0021233A"/>
    <w:rPr>
      <w:color w:val="0000FF"/>
      <w:u w:val="single"/>
    </w:rPr>
  </w:style>
  <w:style w:type="paragraph" w:customStyle="1" w:styleId="Default">
    <w:name w:val="Default"/>
    <w:rsid w:val="0021233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
    <w:name w:val="Table"/>
    <w:basedOn w:val="Normal"/>
    <w:uiPriority w:val="9"/>
    <w:qFormat/>
    <w:rsid w:val="00316C12"/>
    <w:pPr>
      <w:suppressAutoHyphens/>
      <w:spacing w:before="20" w:after="20" w:line="220" w:lineRule="atLeast"/>
    </w:pPr>
    <w:rPr>
      <w:rFonts w:ascii="Trebuchet MS" w:eastAsia="Calibri" w:hAnsi="Trebuchet MS" w:cs="Arial"/>
      <w:color w:val="000000" w:themeColor="text1"/>
      <w:sz w:val="16"/>
    </w:rPr>
  </w:style>
  <w:style w:type="table" w:styleId="Tabel-Gitter">
    <w:name w:val="Table Grid"/>
    <w:basedOn w:val="Tabel-Normal"/>
    <w:uiPriority w:val="59"/>
    <w:rsid w:val="00316C12"/>
    <w:pPr>
      <w:spacing w:after="0" w:line="240" w:lineRule="auto"/>
    </w:pPr>
    <w:rPr>
      <w:rFonts w:ascii="Trebuchet MS" w:eastAsia="Calibri" w:hAnsi="Trebuchet MS" w:cs="Arial"/>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ncentiveTable">
    <w:name w:val="Incentive Table"/>
    <w:basedOn w:val="Tabel-Normal"/>
    <w:uiPriority w:val="99"/>
    <w:rsid w:val="00316C12"/>
    <w:pPr>
      <w:spacing w:before="60" w:after="60" w:line="220" w:lineRule="atLeast"/>
      <w:jc w:val="right"/>
    </w:pPr>
    <w:rPr>
      <w:rFonts w:ascii="Trebuchet MS" w:eastAsia="Calibri" w:hAnsi="Trebuchet MS" w:cs="Arial"/>
      <w:sz w:val="16"/>
      <w:lang w:eastAsia="da-DK"/>
    </w:rPr>
    <w:tblPr>
      <w:tblBorders>
        <w:top w:val="single" w:sz="4" w:space="0" w:color="auto"/>
        <w:bottom w:val="single" w:sz="4" w:space="0" w:color="B0AEAE"/>
      </w:tblBorders>
    </w:tblPr>
    <w:tcPr>
      <w:vAlign w:val="center"/>
    </w:tcPr>
    <w:tblStylePr w:type="firstRow">
      <w:pPr>
        <w:wordWrap/>
        <w:contextualSpacing w:val="0"/>
      </w:pPr>
      <w:rPr>
        <w:b/>
      </w:rPr>
      <w:tblPr/>
      <w:tcPr>
        <w:tcBorders>
          <w:top w:val="single" w:sz="4" w:space="0" w:color="B0AEAE"/>
          <w:bottom w:val="single" w:sz="4" w:space="0" w:color="B0AEAE"/>
        </w:tcBorders>
      </w:tcPr>
    </w:tblStylePr>
    <w:tblStylePr w:type="firstCol">
      <w:pPr>
        <w:wordWrap/>
        <w:jc w:val="left"/>
      </w:pPr>
      <w:rPr>
        <w:rFonts w:ascii="Trebuchet MS" w:hAnsi="Trebuchet MS"/>
        <w:sz w:val="16"/>
      </w:rPr>
    </w:tblStylePr>
    <w:tblStylePr w:type="lastCol">
      <w:pPr>
        <w:jc w:val="right"/>
      </w:pPr>
    </w:tblStylePr>
  </w:style>
  <w:style w:type="paragraph" w:customStyle="1" w:styleId="Captionheader">
    <w:name w:val="Caption_header"/>
    <w:basedOn w:val="Normal"/>
    <w:link w:val="CaptionheaderChar"/>
    <w:uiPriority w:val="13"/>
    <w:qFormat/>
    <w:rsid w:val="00316C12"/>
    <w:pPr>
      <w:suppressAutoHyphens/>
      <w:spacing w:before="120" w:after="200" w:line="290" w:lineRule="atLeast"/>
    </w:pPr>
    <w:rPr>
      <w:rFonts w:ascii="Century Gothic" w:eastAsia="Calibri" w:hAnsi="Century Gothic" w:cs="Arial"/>
      <w:b/>
      <w:bCs/>
      <w:sz w:val="16"/>
    </w:rPr>
  </w:style>
  <w:style w:type="character" w:customStyle="1" w:styleId="CaptionheaderChar">
    <w:name w:val="Caption_header Char"/>
    <w:basedOn w:val="Standardskrifttypeiafsnit"/>
    <w:link w:val="Captionheader"/>
    <w:uiPriority w:val="13"/>
    <w:rsid w:val="00316C12"/>
    <w:rPr>
      <w:rFonts w:ascii="Century Gothic" w:eastAsia="Calibri" w:hAnsi="Century Gothic" w:cs="Arial"/>
      <w:b/>
      <w:bCs/>
      <w:sz w:val="16"/>
    </w:rPr>
  </w:style>
  <w:style w:type="paragraph" w:styleId="Sidehoved">
    <w:name w:val="header"/>
    <w:basedOn w:val="Normal"/>
    <w:link w:val="SidehovedTegn"/>
    <w:unhideWhenUsed/>
    <w:rsid w:val="00C907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0762"/>
  </w:style>
  <w:style w:type="paragraph" w:styleId="Sidefod">
    <w:name w:val="footer"/>
    <w:basedOn w:val="Normal"/>
    <w:link w:val="SidefodTegn"/>
    <w:uiPriority w:val="99"/>
    <w:unhideWhenUsed/>
    <w:rsid w:val="00C907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0762"/>
  </w:style>
  <w:style w:type="paragraph" w:styleId="Markeringsbobletekst">
    <w:name w:val="Balloon Text"/>
    <w:basedOn w:val="Normal"/>
    <w:link w:val="MarkeringsbobletekstTegn"/>
    <w:uiPriority w:val="99"/>
    <w:semiHidden/>
    <w:unhideWhenUsed/>
    <w:rsid w:val="003321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2106"/>
    <w:rPr>
      <w:rFonts w:ascii="Segoe UI" w:hAnsi="Segoe UI" w:cs="Segoe UI"/>
      <w:sz w:val="18"/>
      <w:szCs w:val="18"/>
    </w:rPr>
  </w:style>
  <w:style w:type="character" w:styleId="Kommentarhenvisning">
    <w:name w:val="annotation reference"/>
    <w:basedOn w:val="Standardskrifttypeiafsnit"/>
    <w:uiPriority w:val="99"/>
    <w:semiHidden/>
    <w:unhideWhenUsed/>
    <w:rsid w:val="00A857E8"/>
    <w:rPr>
      <w:sz w:val="16"/>
      <w:szCs w:val="16"/>
    </w:rPr>
  </w:style>
  <w:style w:type="paragraph" w:styleId="Kommentartekst">
    <w:name w:val="annotation text"/>
    <w:basedOn w:val="Normal"/>
    <w:link w:val="KommentartekstTegn"/>
    <w:uiPriority w:val="99"/>
    <w:semiHidden/>
    <w:unhideWhenUsed/>
    <w:rsid w:val="00A857E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857E8"/>
    <w:rPr>
      <w:sz w:val="20"/>
      <w:szCs w:val="20"/>
    </w:rPr>
  </w:style>
  <w:style w:type="paragraph" w:styleId="Kommentaremne">
    <w:name w:val="annotation subject"/>
    <w:basedOn w:val="Kommentartekst"/>
    <w:next w:val="Kommentartekst"/>
    <w:link w:val="KommentaremneTegn"/>
    <w:uiPriority w:val="99"/>
    <w:semiHidden/>
    <w:unhideWhenUsed/>
    <w:rsid w:val="00A857E8"/>
    <w:rPr>
      <w:b/>
      <w:bCs/>
    </w:rPr>
  </w:style>
  <w:style w:type="character" w:customStyle="1" w:styleId="KommentaremneTegn">
    <w:name w:val="Kommentaremne Tegn"/>
    <w:basedOn w:val="KommentartekstTegn"/>
    <w:link w:val="Kommentaremne"/>
    <w:uiPriority w:val="99"/>
    <w:semiHidden/>
    <w:rsid w:val="00A85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s@detsocialenetvaerk.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179AF63E</Template>
  <TotalTime>1</TotalTime>
  <Pages>2</Pages>
  <Words>643</Words>
  <Characters>3926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Laurids Bæk Simonsen</dc:creator>
  <cp:keywords/>
  <dc:description/>
  <cp:lastModifiedBy>Laurids Bæk Simonsen</cp:lastModifiedBy>
  <cp:revision>2</cp:revision>
  <cp:lastPrinted>2017-05-08T11:06:00Z</cp:lastPrinted>
  <dcterms:created xsi:type="dcterms:W3CDTF">2017-05-09T09:47:00Z</dcterms:created>
  <dcterms:modified xsi:type="dcterms:W3CDTF">2017-05-09T09:47:00Z</dcterms:modified>
</cp:coreProperties>
</file>