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B9" w:rsidRDefault="00A65A3C" w:rsidP="00FA7DB9">
      <w:pPr>
        <w:pStyle w:val="Rentekst"/>
        <w:spacing w:line="276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INVITASJON TIL PRE-VIEW AV </w:t>
      </w:r>
      <w:r w:rsidRPr="00A65A3C">
        <w:rPr>
          <w:rFonts w:asciiTheme="minorHAnsi" w:hAnsiTheme="minorHAnsi"/>
          <w:b/>
          <w:color w:val="FF0000"/>
          <w:szCs w:val="22"/>
        </w:rPr>
        <w:t>VIGELAND</w:t>
      </w:r>
      <w:r w:rsidR="009F521A" w:rsidRPr="009F521A">
        <w:rPr>
          <w:rFonts w:asciiTheme="minorHAnsi" w:hAnsiTheme="minorHAnsi"/>
          <w:b/>
          <w:szCs w:val="22"/>
        </w:rPr>
        <w:t>+MUNCH</w:t>
      </w:r>
    </w:p>
    <w:p w:rsidR="00A65A3C" w:rsidRPr="009F521A" w:rsidRDefault="00A65A3C" w:rsidP="00FA7DB9">
      <w:pPr>
        <w:pStyle w:val="Rentekst"/>
        <w:spacing w:line="276" w:lineRule="auto"/>
        <w:rPr>
          <w:rFonts w:asciiTheme="minorHAnsi" w:hAnsiTheme="minorHAnsi"/>
          <w:b/>
          <w:szCs w:val="22"/>
        </w:rPr>
      </w:pPr>
    </w:p>
    <w:p w:rsidR="009F521A" w:rsidRPr="00A65A3C" w:rsidRDefault="00A65A3C" w:rsidP="00FA7DB9">
      <w:pPr>
        <w:outlineLvl w:val="0"/>
      </w:pPr>
      <w:r>
        <w:t>Tid: 2.okt kl. 11</w:t>
      </w:r>
    </w:p>
    <w:p w:rsidR="009F521A" w:rsidRPr="009F521A" w:rsidRDefault="009F521A" w:rsidP="00FA7DB9">
      <w:pPr>
        <w:outlineLvl w:val="0"/>
        <w:rPr>
          <w:rFonts w:ascii="Arial" w:hAnsi="Arial" w:cs="Arial"/>
          <w:b/>
        </w:rPr>
      </w:pPr>
      <w:r w:rsidRPr="009F521A">
        <w:rPr>
          <w:rFonts w:ascii="Arial" w:hAnsi="Arial" w:cs="Arial"/>
          <w:b/>
          <w:color w:val="000000"/>
        </w:rPr>
        <w:t>To giganter i norsk kunsthistorie, Edvard Munch og Gustav Vigeland, vies for første gang en omfattende felles utstilling. Deres arbeid, utvikling og ambisjoner har mange interessante likhetsstrekk som gir publikum anledning til å oppdage nye forbindelser mellom de to</w:t>
      </w:r>
      <w:r>
        <w:rPr>
          <w:rFonts w:ascii="Arial" w:hAnsi="Arial" w:cs="Arial"/>
          <w:b/>
          <w:color w:val="000000"/>
        </w:rPr>
        <w:t>.</w:t>
      </w:r>
    </w:p>
    <w:p w:rsidR="00447A39" w:rsidRPr="009F521A" w:rsidRDefault="00FA7DB9" w:rsidP="00447A39">
      <w:pPr>
        <w:outlineLvl w:val="0"/>
        <w:rPr>
          <w:rFonts w:ascii="Arial" w:hAnsi="Arial" w:cs="Arial"/>
        </w:rPr>
      </w:pPr>
      <w:bookmarkStart w:id="0" w:name="_GoBack"/>
      <w:r w:rsidRPr="009F521A">
        <w:rPr>
          <w:rFonts w:ascii="Arial" w:hAnsi="Arial" w:cs="Arial"/>
        </w:rPr>
        <w:t xml:space="preserve">Billedhuggeren Gustav Vigeland </w:t>
      </w:r>
      <w:r w:rsidRPr="009F521A">
        <w:rPr>
          <w:rFonts w:ascii="Arial" w:eastAsia="Times New Roman" w:hAnsi="Arial" w:cs="Arial"/>
        </w:rPr>
        <w:t xml:space="preserve">(1869–1943) </w:t>
      </w:r>
      <w:r w:rsidRPr="009F521A">
        <w:rPr>
          <w:rFonts w:ascii="Arial" w:hAnsi="Arial" w:cs="Arial"/>
        </w:rPr>
        <w:t xml:space="preserve">og maleren og grafikeren Edvard Munch </w:t>
      </w:r>
      <w:r w:rsidRPr="009F521A">
        <w:rPr>
          <w:rFonts w:ascii="Arial" w:eastAsia="Times New Roman" w:hAnsi="Arial" w:cs="Arial"/>
        </w:rPr>
        <w:t xml:space="preserve">(1863–1944) </w:t>
      </w:r>
      <w:r w:rsidRPr="009F521A">
        <w:rPr>
          <w:rFonts w:ascii="Arial" w:hAnsi="Arial" w:cs="Arial"/>
        </w:rPr>
        <w:t xml:space="preserve">var samtidige og tilhørte </w:t>
      </w:r>
      <w:r w:rsidRPr="009F521A">
        <w:rPr>
          <w:rFonts w:ascii="Arial" w:eastAsia="Times New Roman" w:hAnsi="Arial" w:cs="Arial"/>
        </w:rPr>
        <w:t>samme omgangskrets. De forholdt seg også til noen av de samme kunstneriske strømningene i tiden, både her hjemme og i utlandet. I en periode i 1895 bodde og arbeidet de til og med vegg-i-vegg i Berlin.</w:t>
      </w:r>
      <w:r w:rsidR="00447A39">
        <w:rPr>
          <w:rFonts w:ascii="Arial" w:eastAsia="Times New Roman" w:hAnsi="Arial" w:cs="Arial"/>
        </w:rPr>
        <w:t xml:space="preserve"> </w:t>
      </w:r>
      <w:r w:rsidR="00447A39" w:rsidRPr="009F521A">
        <w:rPr>
          <w:rFonts w:ascii="Arial" w:hAnsi="Arial" w:cs="Arial"/>
        </w:rPr>
        <w:t>Ikke minst har de satt sitt preg på Oslo, med steder og institusjoner som Vigelandsparken, Vigeland-museet, Munchmuseet og Munchs Aula-utsmykking. I tillegg skapt</w:t>
      </w:r>
      <w:r w:rsidR="00867EE4">
        <w:rPr>
          <w:rFonts w:ascii="Arial" w:hAnsi="Arial" w:cs="Arial"/>
        </w:rPr>
        <w:t>e de</w:t>
      </w:r>
      <w:r w:rsidR="00447A39" w:rsidRPr="009F521A">
        <w:rPr>
          <w:rFonts w:ascii="Arial" w:hAnsi="Arial" w:cs="Arial"/>
        </w:rPr>
        <w:t xml:space="preserve"> ikoniske verk </w:t>
      </w:r>
      <w:r w:rsidR="00717D86">
        <w:rPr>
          <w:rFonts w:ascii="Arial" w:hAnsi="Arial" w:cs="Arial"/>
        </w:rPr>
        <w:t xml:space="preserve">som </w:t>
      </w:r>
      <w:r w:rsidR="00717D86">
        <w:rPr>
          <w:rFonts w:ascii="Arial" w:hAnsi="Arial" w:cs="Arial"/>
          <w:i/>
        </w:rPr>
        <w:t xml:space="preserve">Sinnataggen </w:t>
      </w:r>
      <w:r w:rsidR="00717D86">
        <w:rPr>
          <w:rFonts w:ascii="Arial" w:hAnsi="Arial" w:cs="Arial"/>
        </w:rPr>
        <w:t xml:space="preserve">og </w:t>
      </w:r>
      <w:r w:rsidR="00717D86" w:rsidRPr="00717D86">
        <w:rPr>
          <w:rFonts w:ascii="Arial" w:hAnsi="Arial" w:cs="Arial"/>
          <w:i/>
        </w:rPr>
        <w:t>Skrik</w:t>
      </w:r>
      <w:r w:rsidR="00717D86">
        <w:rPr>
          <w:rFonts w:ascii="Arial" w:hAnsi="Arial" w:cs="Arial"/>
        </w:rPr>
        <w:t xml:space="preserve">, </w:t>
      </w:r>
      <w:r w:rsidR="00447A39" w:rsidRPr="00717D86">
        <w:rPr>
          <w:rFonts w:ascii="Arial" w:hAnsi="Arial" w:cs="Arial"/>
        </w:rPr>
        <w:t>som</w:t>
      </w:r>
      <w:r w:rsidR="00447A39" w:rsidRPr="009F521A">
        <w:rPr>
          <w:rFonts w:ascii="Arial" w:hAnsi="Arial" w:cs="Arial"/>
        </w:rPr>
        <w:t xml:space="preserve"> har blitt allemannseie.</w:t>
      </w:r>
    </w:p>
    <w:p w:rsidR="00FA7DB9" w:rsidRPr="009F521A" w:rsidRDefault="00FA7DB9" w:rsidP="00FA7DB9">
      <w:pPr>
        <w:outlineLvl w:val="0"/>
        <w:rPr>
          <w:rFonts w:ascii="Arial" w:eastAsia="Times New Roman" w:hAnsi="Arial" w:cs="Arial"/>
        </w:rPr>
      </w:pPr>
      <w:r w:rsidRPr="009F521A">
        <w:rPr>
          <w:rFonts w:ascii="Arial" w:eastAsia="Times New Roman" w:hAnsi="Arial" w:cs="Arial"/>
        </w:rPr>
        <w:t xml:space="preserve">Forholdet mellom de to er myteomspunnet, og de har vært oppfattet som rivaler. Utstillingen ønsker å </w:t>
      </w:r>
      <w:r w:rsidR="009F521A">
        <w:rPr>
          <w:rFonts w:ascii="Arial" w:eastAsia="Times New Roman" w:hAnsi="Arial" w:cs="Arial"/>
        </w:rPr>
        <w:t>se nærmere på denne forestillingen</w:t>
      </w:r>
      <w:r w:rsidRPr="009F521A">
        <w:rPr>
          <w:rFonts w:ascii="Arial" w:eastAsia="Times New Roman" w:hAnsi="Arial" w:cs="Arial"/>
        </w:rPr>
        <w:t xml:space="preserve"> ved å gå bak mytene</w:t>
      </w:r>
      <w:r w:rsidR="00F111EC">
        <w:rPr>
          <w:rFonts w:ascii="Arial" w:eastAsia="Times New Roman" w:hAnsi="Arial" w:cs="Arial"/>
        </w:rPr>
        <w:t>, og på bakgrunn av nyere forskning bidra til et mer nyansert syn</w:t>
      </w:r>
      <w:r w:rsidR="00730A1C">
        <w:rPr>
          <w:rFonts w:ascii="Arial" w:hAnsi="Arial" w:cs="Arial"/>
        </w:rPr>
        <w:t>.</w:t>
      </w:r>
      <w:r w:rsidRPr="009F521A">
        <w:rPr>
          <w:rFonts w:ascii="Arial" w:hAnsi="Arial" w:cs="Arial"/>
        </w:rPr>
        <w:t xml:space="preserve"> </w:t>
      </w:r>
      <w:r w:rsidRPr="009F521A">
        <w:rPr>
          <w:rFonts w:ascii="Arial" w:eastAsia="Times New Roman" w:hAnsi="Arial" w:cs="Arial"/>
        </w:rPr>
        <w:t>Vigeland og Munch møttes flere ganger, begge viste interesse for den andres virke, og her er koblinger både når det gjelder inspirasjonskilder og motivvalg.</w:t>
      </w:r>
    </w:p>
    <w:p w:rsidR="0090448A" w:rsidRPr="0090448A" w:rsidRDefault="0090448A" w:rsidP="0090448A">
      <w:pPr>
        <w:pStyle w:val="Normal1"/>
        <w:rPr>
          <w:rFonts w:ascii="Arial" w:eastAsiaTheme="minorHAnsi" w:hAnsi="Arial" w:cs="Arial"/>
          <w:color w:val="auto"/>
          <w:szCs w:val="22"/>
          <w:lang w:eastAsia="en-US"/>
        </w:rPr>
      </w:pPr>
      <w:r w:rsidRPr="0090448A">
        <w:rPr>
          <w:rFonts w:ascii="Arial" w:eastAsiaTheme="minorHAnsi" w:hAnsi="Arial" w:cs="Arial"/>
          <w:color w:val="auto"/>
          <w:szCs w:val="22"/>
          <w:lang w:eastAsia="en-US"/>
        </w:rPr>
        <w:t xml:space="preserve">Munchs arbeid med skulptur er en hittil ukjent side ved hans kunstnerskap. Etter 1900 forsøkte han seg som billedhugger ved flere anledninger, </w:t>
      </w:r>
      <w:r w:rsidR="00730A1C">
        <w:rPr>
          <w:rFonts w:ascii="Arial" w:eastAsiaTheme="minorHAnsi" w:hAnsi="Arial" w:cs="Arial"/>
          <w:color w:val="auto"/>
          <w:szCs w:val="22"/>
          <w:lang w:eastAsia="en-US"/>
        </w:rPr>
        <w:t>og f</w:t>
      </w:r>
      <w:r w:rsidRPr="0090448A">
        <w:rPr>
          <w:rFonts w:ascii="Arial" w:eastAsiaTheme="minorHAnsi" w:hAnsi="Arial" w:cs="Arial"/>
          <w:color w:val="auto"/>
          <w:szCs w:val="22"/>
          <w:lang w:eastAsia="en-US"/>
        </w:rPr>
        <w:t xml:space="preserve">or første gang presenteres et utvalg av </w:t>
      </w:r>
      <w:r w:rsidR="00730A1C">
        <w:rPr>
          <w:rFonts w:ascii="Arial" w:eastAsiaTheme="minorHAnsi" w:hAnsi="Arial" w:cs="Arial"/>
          <w:color w:val="auto"/>
          <w:szCs w:val="22"/>
          <w:lang w:eastAsia="en-US"/>
        </w:rPr>
        <w:t>hans skulpturer</w:t>
      </w:r>
      <w:r w:rsidRPr="0090448A">
        <w:rPr>
          <w:rFonts w:ascii="Arial" w:eastAsiaTheme="minorHAnsi" w:hAnsi="Arial" w:cs="Arial"/>
          <w:color w:val="auto"/>
          <w:szCs w:val="22"/>
          <w:lang w:eastAsia="en-US"/>
        </w:rPr>
        <w:t xml:space="preserve"> for publikum. Blant annet vises </w:t>
      </w:r>
      <w:r w:rsidR="00F36EF1">
        <w:rPr>
          <w:rFonts w:ascii="Arial" w:eastAsiaTheme="minorHAnsi" w:hAnsi="Arial" w:cs="Arial"/>
          <w:color w:val="auto"/>
          <w:szCs w:val="22"/>
          <w:lang w:eastAsia="en-US"/>
        </w:rPr>
        <w:t>det</w:t>
      </w:r>
      <w:r w:rsidRPr="0090448A">
        <w:rPr>
          <w:rFonts w:ascii="Arial" w:eastAsiaTheme="minorHAnsi" w:hAnsi="Arial" w:cs="Arial"/>
          <w:color w:val="auto"/>
          <w:szCs w:val="22"/>
          <w:lang w:eastAsia="en-US"/>
        </w:rPr>
        <w:t xml:space="preserve"> monumentale </w:t>
      </w:r>
      <w:r w:rsidRPr="0090448A">
        <w:rPr>
          <w:rFonts w:ascii="Arial" w:eastAsiaTheme="minorHAnsi" w:hAnsi="Arial" w:cs="Arial"/>
          <w:i/>
          <w:color w:val="auto"/>
          <w:szCs w:val="22"/>
          <w:lang w:eastAsia="en-US"/>
        </w:rPr>
        <w:t>Menneskeberget</w:t>
      </w:r>
      <w:r w:rsidRPr="0090448A">
        <w:rPr>
          <w:rFonts w:ascii="Arial" w:eastAsiaTheme="minorHAnsi" w:hAnsi="Arial" w:cs="Arial"/>
          <w:color w:val="auto"/>
          <w:szCs w:val="22"/>
          <w:lang w:eastAsia="en-US"/>
        </w:rPr>
        <w:t xml:space="preserve"> sidestilt med modeller av Vigelands </w:t>
      </w:r>
      <w:r w:rsidRPr="0090448A">
        <w:rPr>
          <w:rFonts w:ascii="Arial" w:eastAsiaTheme="minorHAnsi" w:hAnsi="Arial" w:cs="Arial"/>
          <w:i/>
          <w:color w:val="auto"/>
          <w:szCs w:val="22"/>
          <w:lang w:eastAsia="en-US"/>
        </w:rPr>
        <w:t>Monolitten</w:t>
      </w:r>
      <w:r w:rsidRPr="0090448A">
        <w:rPr>
          <w:rFonts w:ascii="Arial" w:eastAsiaTheme="minorHAnsi" w:hAnsi="Arial" w:cs="Arial"/>
          <w:color w:val="auto"/>
          <w:szCs w:val="22"/>
          <w:lang w:eastAsia="en-US"/>
        </w:rPr>
        <w:t xml:space="preserve">. </w:t>
      </w:r>
    </w:p>
    <w:p w:rsidR="0090448A" w:rsidRPr="0090448A" w:rsidRDefault="0090448A" w:rsidP="0090448A">
      <w:pPr>
        <w:pStyle w:val="Normal1"/>
        <w:rPr>
          <w:rFonts w:ascii="Arial" w:eastAsiaTheme="minorHAnsi" w:hAnsi="Arial" w:cs="Arial"/>
          <w:color w:val="auto"/>
          <w:szCs w:val="22"/>
          <w:lang w:eastAsia="en-US"/>
        </w:rPr>
      </w:pPr>
      <w:bookmarkStart w:id="1" w:name="h.p81qridh343v" w:colFirst="0" w:colLast="0"/>
      <w:bookmarkEnd w:id="1"/>
      <w:r w:rsidRPr="0090448A">
        <w:rPr>
          <w:rFonts w:ascii="Arial" w:eastAsiaTheme="minorHAnsi" w:hAnsi="Arial" w:cs="Arial"/>
          <w:color w:val="auto"/>
          <w:szCs w:val="22"/>
          <w:lang w:eastAsia="en-US"/>
        </w:rPr>
        <w:t>Foruten maleri, skulptur, tegning og grafikk, vil utstillingen bestå av brev, fotografier, avisartikler, tidsskrifter og bøker. Utstillingen har kommet i stand ved godt samarbeid med Vigeland-museet og Nasjonalmuseet for kunst, arkitektur og design, som begge har lånt Munchmuseet viktige verk.</w:t>
      </w:r>
    </w:p>
    <w:p w:rsidR="00FA7DB9" w:rsidRPr="009F521A" w:rsidRDefault="00FA7DB9" w:rsidP="00FA7DB9">
      <w:pPr>
        <w:rPr>
          <w:rFonts w:ascii="Arial" w:eastAsia="Arial" w:hAnsi="Arial" w:cs="Arial"/>
        </w:rPr>
      </w:pPr>
      <w:r w:rsidRPr="009F521A">
        <w:rPr>
          <w:rFonts w:ascii="Arial" w:hAnsi="Arial" w:cs="Arial"/>
        </w:rPr>
        <w:t xml:space="preserve">I anledning </w:t>
      </w:r>
      <w:r w:rsidRPr="009F521A">
        <w:rPr>
          <w:rFonts w:ascii="Arial" w:hAnsi="Arial" w:cs="Arial"/>
          <w:i/>
        </w:rPr>
        <w:t>Vigeland+Munch. Bak mytene</w:t>
      </w:r>
      <w:r w:rsidRPr="009F521A">
        <w:rPr>
          <w:rFonts w:ascii="Arial" w:hAnsi="Arial" w:cs="Arial"/>
        </w:rPr>
        <w:t xml:space="preserve"> utgis en rikt illustrert katalog som viser alle 214 utstilte verk og er den første felles publikasjonen over de to. Den inneholder også </w:t>
      </w:r>
      <w:r w:rsidR="00B515A7">
        <w:rPr>
          <w:rFonts w:ascii="Arial" w:hAnsi="Arial" w:cs="Arial"/>
        </w:rPr>
        <w:t xml:space="preserve">bl.a. </w:t>
      </w:r>
      <w:r w:rsidRPr="009F521A">
        <w:rPr>
          <w:rFonts w:ascii="Arial" w:hAnsi="Arial" w:cs="Arial"/>
        </w:rPr>
        <w:t xml:space="preserve">de første tekstene som ble publisert internasjonalt om dem, skrevet av den polske forfatteren </w:t>
      </w:r>
      <w:r w:rsidRPr="009F521A">
        <w:rPr>
          <w:rFonts w:ascii="Arial" w:eastAsia="Times New Roman" w:hAnsi="Arial" w:cs="Arial"/>
        </w:rPr>
        <w:t>Stanisław Przybyszewski (1868</w:t>
      </w:r>
      <w:r w:rsidRPr="009F521A">
        <w:rPr>
          <w:rFonts w:ascii="Arial" w:hAnsi="Arial" w:cs="Arial"/>
        </w:rPr>
        <w:t>–</w:t>
      </w:r>
      <w:r w:rsidRPr="009F521A">
        <w:rPr>
          <w:rFonts w:ascii="Arial" w:eastAsia="Times New Roman" w:hAnsi="Arial" w:cs="Arial"/>
        </w:rPr>
        <w:t>1927)</w:t>
      </w:r>
      <w:r w:rsidRPr="009F521A">
        <w:rPr>
          <w:rFonts w:ascii="Arial" w:hAnsi="Arial" w:cs="Arial"/>
        </w:rPr>
        <w:t xml:space="preserve">; </w:t>
      </w:r>
      <w:r w:rsidRPr="009F521A">
        <w:rPr>
          <w:rFonts w:ascii="Arial" w:hAnsi="Arial" w:cs="Arial"/>
          <w:i/>
        </w:rPr>
        <w:t>Edvard Munchs verk</w:t>
      </w:r>
      <w:r w:rsidRPr="009F521A">
        <w:rPr>
          <w:rFonts w:ascii="Arial" w:hAnsi="Arial" w:cs="Arial"/>
        </w:rPr>
        <w:t xml:space="preserve"> (1894) og</w:t>
      </w:r>
      <w:r w:rsidRPr="009F521A" w:rsidDel="00A124E7">
        <w:rPr>
          <w:rFonts w:ascii="Arial" w:hAnsi="Arial" w:cs="Arial"/>
        </w:rPr>
        <w:t xml:space="preserve"> </w:t>
      </w:r>
      <w:r w:rsidRPr="009F521A">
        <w:rPr>
          <w:rFonts w:ascii="Arial" w:hAnsi="Arial" w:cs="Arial"/>
          <w:i/>
        </w:rPr>
        <w:t>På sjelens veier. Gustav Vigeland</w:t>
      </w:r>
      <w:r w:rsidRPr="009F521A">
        <w:rPr>
          <w:rFonts w:ascii="Arial" w:hAnsi="Arial" w:cs="Arial"/>
        </w:rPr>
        <w:t xml:space="preserve"> (1897). </w:t>
      </w:r>
      <w:r w:rsidRPr="009F521A">
        <w:rPr>
          <w:rFonts w:ascii="Arial" w:eastAsia="Arial" w:hAnsi="Arial" w:cs="Arial"/>
        </w:rPr>
        <w:t xml:space="preserve">Teksten om Munch er for første gang oversatt i sin helhet til både norsk og engelsk. </w:t>
      </w:r>
    </w:p>
    <w:p w:rsidR="00FA7DB9" w:rsidRPr="009F521A" w:rsidRDefault="00FA7DB9" w:rsidP="00FA7DB9">
      <w:pPr>
        <w:rPr>
          <w:rFonts w:ascii="Arial" w:hAnsi="Arial" w:cs="Arial"/>
        </w:rPr>
      </w:pPr>
      <w:r w:rsidRPr="009F521A">
        <w:rPr>
          <w:rFonts w:ascii="Arial" w:eastAsia="Arial" w:hAnsi="Arial" w:cs="Arial"/>
        </w:rPr>
        <w:t>Kurator for utstillingen er Trine Otte Bak Nielsen, Munchmuseet.</w:t>
      </w:r>
    </w:p>
    <w:bookmarkEnd w:id="0"/>
    <w:p w:rsidR="00FA7DB9" w:rsidRPr="009F521A" w:rsidRDefault="00FA7DB9" w:rsidP="00FA7DB9">
      <w:pPr>
        <w:outlineLvl w:val="0"/>
        <w:rPr>
          <w:rFonts w:ascii="Arial" w:hAnsi="Arial" w:cs="Arial"/>
        </w:rPr>
      </w:pPr>
    </w:p>
    <w:p w:rsidR="00E71016" w:rsidRPr="009F521A" w:rsidRDefault="00E71016" w:rsidP="009B5B46">
      <w:pPr>
        <w:rPr>
          <w:rFonts w:ascii="Arial" w:hAnsi="Arial" w:cs="Arial"/>
        </w:rPr>
      </w:pPr>
    </w:p>
    <w:sectPr w:rsidR="00E71016" w:rsidRPr="009F521A" w:rsidSect="00F91DA4">
      <w:headerReference w:type="default" r:id="rId8"/>
      <w:headerReference w:type="first" r:id="rId9"/>
      <w:footerReference w:type="first" r:id="rId10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B4" w:rsidRDefault="002C74B4" w:rsidP="00741004">
      <w:pPr>
        <w:spacing w:after="0" w:line="240" w:lineRule="auto"/>
      </w:pPr>
      <w:r>
        <w:separator/>
      </w:r>
    </w:p>
  </w:endnote>
  <w:endnote w:type="continuationSeparator" w:id="0">
    <w:p w:rsidR="002C74B4" w:rsidRDefault="002C74B4" w:rsidP="007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A4" w:rsidRDefault="00F91DA4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08DC48B3" wp14:editId="05DDA537">
          <wp:simplePos x="0" y="0"/>
          <wp:positionH relativeFrom="column">
            <wp:posOffset>-684530</wp:posOffset>
          </wp:positionH>
          <wp:positionV relativeFrom="paragraph">
            <wp:posOffset>86360</wp:posOffset>
          </wp:positionV>
          <wp:extent cx="7200000" cy="211150"/>
          <wp:effectExtent l="0" t="0" r="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21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B4" w:rsidRDefault="002C74B4" w:rsidP="00741004">
      <w:pPr>
        <w:spacing w:after="0" w:line="240" w:lineRule="auto"/>
      </w:pPr>
      <w:r>
        <w:separator/>
      </w:r>
    </w:p>
  </w:footnote>
  <w:footnote w:type="continuationSeparator" w:id="0">
    <w:p w:rsidR="002C74B4" w:rsidRDefault="002C74B4" w:rsidP="0074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A4" w:rsidRDefault="00F91DA4"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9064DE9" wp14:editId="21E7ABF4">
          <wp:simplePos x="0" y="0"/>
          <wp:positionH relativeFrom="column">
            <wp:posOffset>5486400</wp:posOffset>
          </wp:positionH>
          <wp:positionV relativeFrom="paragraph">
            <wp:posOffset>-235585</wp:posOffset>
          </wp:positionV>
          <wp:extent cx="900000" cy="54207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542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A4" w:rsidRDefault="00F91DA4"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052F7F94" wp14:editId="05F260A8">
          <wp:simplePos x="0" y="0"/>
          <wp:positionH relativeFrom="column">
            <wp:posOffset>5328256</wp:posOffset>
          </wp:positionH>
          <wp:positionV relativeFrom="paragraph">
            <wp:posOffset>-235585</wp:posOffset>
          </wp:positionV>
          <wp:extent cx="1057455" cy="636905"/>
          <wp:effectExtent l="0" t="0" r="9525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265" cy="637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7E088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0"/>
    <w:multiLevelType w:val="singleLevel"/>
    <w:tmpl w:val="19FC2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728C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5ABEC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4D06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7A1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D6761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4E24D1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pStyle w:val="Overskrift2"/>
      <w:isLgl/>
      <w:lvlText w:val="Inndeling %1.%2"/>
      <w:lvlJc w:val="left"/>
      <w:pPr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9"/>
    <w:rsid w:val="000A3A09"/>
    <w:rsid w:val="000B7587"/>
    <w:rsid w:val="000F4D15"/>
    <w:rsid w:val="002079DE"/>
    <w:rsid w:val="00245FCC"/>
    <w:rsid w:val="00246EB6"/>
    <w:rsid w:val="00250A8E"/>
    <w:rsid w:val="002B30B8"/>
    <w:rsid w:val="002C74B4"/>
    <w:rsid w:val="00312196"/>
    <w:rsid w:val="003833B9"/>
    <w:rsid w:val="003F5AF3"/>
    <w:rsid w:val="00447A39"/>
    <w:rsid w:val="004647EB"/>
    <w:rsid w:val="004C176A"/>
    <w:rsid w:val="00511532"/>
    <w:rsid w:val="00535D4B"/>
    <w:rsid w:val="005D043D"/>
    <w:rsid w:val="005D7596"/>
    <w:rsid w:val="00671826"/>
    <w:rsid w:val="006F2B72"/>
    <w:rsid w:val="00717D86"/>
    <w:rsid w:val="00730A1C"/>
    <w:rsid w:val="00741004"/>
    <w:rsid w:val="007B77C0"/>
    <w:rsid w:val="00846CF3"/>
    <w:rsid w:val="00867EE4"/>
    <w:rsid w:val="00876986"/>
    <w:rsid w:val="008C02E2"/>
    <w:rsid w:val="0090448A"/>
    <w:rsid w:val="009B5B46"/>
    <w:rsid w:val="009B624F"/>
    <w:rsid w:val="009C6DBC"/>
    <w:rsid w:val="009D4091"/>
    <w:rsid w:val="009F521A"/>
    <w:rsid w:val="00A65A3C"/>
    <w:rsid w:val="00B153AD"/>
    <w:rsid w:val="00B30E42"/>
    <w:rsid w:val="00B42AB3"/>
    <w:rsid w:val="00B43CAE"/>
    <w:rsid w:val="00B46E79"/>
    <w:rsid w:val="00B515A7"/>
    <w:rsid w:val="00B7695B"/>
    <w:rsid w:val="00BA390E"/>
    <w:rsid w:val="00BE1484"/>
    <w:rsid w:val="00C945F8"/>
    <w:rsid w:val="00CE00E1"/>
    <w:rsid w:val="00CE3D76"/>
    <w:rsid w:val="00D43FEF"/>
    <w:rsid w:val="00D51321"/>
    <w:rsid w:val="00DC11EB"/>
    <w:rsid w:val="00DF38AC"/>
    <w:rsid w:val="00E2333C"/>
    <w:rsid w:val="00E71016"/>
    <w:rsid w:val="00EC362C"/>
    <w:rsid w:val="00ED735B"/>
    <w:rsid w:val="00F111EC"/>
    <w:rsid w:val="00F36EF1"/>
    <w:rsid w:val="00F91DA4"/>
    <w:rsid w:val="00FA5160"/>
    <w:rsid w:val="00FA582B"/>
    <w:rsid w:val="00FA7DB9"/>
    <w:rsid w:val="00FB2363"/>
    <w:rsid w:val="00FD03D0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B9"/>
  </w:style>
  <w:style w:type="paragraph" w:styleId="Overskrift1">
    <w:name w:val="heading 1"/>
    <w:basedOn w:val="Normal"/>
    <w:link w:val="Overskrift1Tegn"/>
    <w:autoRedefine/>
    <w:uiPriority w:val="9"/>
    <w:qFormat/>
    <w:rsid w:val="00E71016"/>
    <w:pPr>
      <w:shd w:val="clear" w:color="auto" w:fill="FFFFFF"/>
      <w:spacing w:after="0" w:line="288" w:lineRule="atLeast"/>
      <w:textAlignment w:val="baseline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val="en-US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532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1532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153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1016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val="en-US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1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C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rsid w:val="008C02E2"/>
    <w:rPr>
      <w:b/>
      <w:bCs/>
    </w:rPr>
  </w:style>
  <w:style w:type="table" w:styleId="Tabellrutenett8">
    <w:name w:val="Table Grid 8"/>
    <w:basedOn w:val="Vanligtabell"/>
    <w:uiPriority w:val="99"/>
    <w:unhideWhenUsed/>
    <w:rsid w:val="005115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rutenett">
    <w:name w:val="Table Grid"/>
    <w:basedOn w:val="Vanligtabell"/>
    <w:uiPriority w:val="59"/>
    <w:rsid w:val="0051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C02E2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41004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BunntekstTegn">
    <w:name w:val="Bunntekst Tegn"/>
    <w:basedOn w:val="Standardskriftforavsnitt"/>
    <w:link w:val="Bunntekst"/>
    <w:uiPriority w:val="99"/>
    <w:rsid w:val="00741004"/>
  </w:style>
  <w:style w:type="character" w:styleId="Linjenummer">
    <w:name w:val="line number"/>
    <w:basedOn w:val="Standardskriftforavsnitt"/>
    <w:uiPriority w:val="99"/>
    <w:semiHidden/>
    <w:unhideWhenUsed/>
    <w:rsid w:val="004C176A"/>
  </w:style>
  <w:style w:type="paragraph" w:styleId="Undertittel">
    <w:name w:val="Subtitle"/>
    <w:basedOn w:val="Normal"/>
    <w:next w:val="Normal"/>
    <w:link w:val="UndertittelTegn"/>
    <w:uiPriority w:val="11"/>
    <w:qFormat/>
    <w:rsid w:val="000B7587"/>
    <w:pPr>
      <w:numPr>
        <w:ilvl w:val="1"/>
      </w:numPr>
      <w:spacing w:after="0" w:line="240" w:lineRule="auto"/>
    </w:pPr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7587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Stor">
    <w:name w:val="Munch Overskrift Stor"/>
    <w:autoRedefine/>
    <w:qFormat/>
    <w:rsid w:val="00B153AD"/>
    <w:pPr>
      <w:spacing w:after="80"/>
    </w:pPr>
    <w:rPr>
      <w:rFonts w:ascii="Arial Narrow" w:eastAsia="Times New Roman" w:hAnsi="Arial Narrow" w:cs="Arial"/>
      <w:b/>
      <w:bCs/>
      <w:caps/>
      <w:color w:val="333333"/>
      <w:sz w:val="36"/>
      <w:szCs w:val="36"/>
      <w:lang w:val="en-US" w:eastAsia="nb-NO"/>
    </w:rPr>
  </w:style>
  <w:style w:type="paragraph" w:customStyle="1" w:styleId="MUNCHBrdtekst">
    <w:name w:val="MUNCH Brødtekst"/>
    <w:autoRedefine/>
    <w:qFormat/>
    <w:rsid w:val="00DF38AC"/>
    <w:rPr>
      <w:rFonts w:ascii="Arial" w:hAnsi="Arial"/>
      <w:lang w:val="en-US" w:eastAsia="nb-NO"/>
    </w:rPr>
  </w:style>
  <w:style w:type="paragraph" w:customStyle="1" w:styleId="MunchOverskriftMedium">
    <w:name w:val="Munch Overskrift Medium"/>
    <w:autoRedefine/>
    <w:qFormat/>
    <w:rsid w:val="00B153AD"/>
    <w:pPr>
      <w:spacing w:after="80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customStyle="1" w:styleId="MunchBildetekst">
    <w:name w:val="Munch Bildetekst"/>
    <w:autoRedefine/>
    <w:qFormat/>
    <w:rsid w:val="00DF38AC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Liten">
    <w:name w:val="Munch Overskrift Liten"/>
    <w:autoRedefine/>
    <w:qFormat/>
    <w:rsid w:val="00250A8E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MunchBrdtekstuthevet">
    <w:name w:val="Munch Brødtekst uthevet"/>
    <w:basedOn w:val="Standardskriftforavsnitt"/>
    <w:uiPriority w:val="1"/>
    <w:qFormat/>
    <w:rsid w:val="00250A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TopptekstTegn">
    <w:name w:val="Topptekst Tegn"/>
    <w:basedOn w:val="Standardskriftforavsnitt"/>
    <w:link w:val="Topptekst"/>
    <w:uiPriority w:val="99"/>
    <w:rsid w:val="00F91DA4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1D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DA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E71016"/>
  </w:style>
  <w:style w:type="paragraph" w:styleId="Rentekst">
    <w:name w:val="Plain Text"/>
    <w:basedOn w:val="Normal"/>
    <w:link w:val="RentekstTegn"/>
    <w:uiPriority w:val="99"/>
    <w:unhideWhenUsed/>
    <w:rsid w:val="00FA7DB9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FA7DB9"/>
    <w:rPr>
      <w:rFonts w:ascii="Calibri" w:hAnsi="Calibri"/>
      <w:szCs w:val="21"/>
    </w:rPr>
  </w:style>
  <w:style w:type="paragraph" w:customStyle="1" w:styleId="Normal1">
    <w:name w:val="Normal1"/>
    <w:rsid w:val="0090448A"/>
    <w:pPr>
      <w:spacing w:after="180" w:line="264" w:lineRule="auto"/>
    </w:pPr>
    <w:rPr>
      <w:rFonts w:ascii="Calibri" w:eastAsia="Calibri" w:hAnsi="Calibri" w:cs="Calibri"/>
      <w:color w:val="00000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B9"/>
  </w:style>
  <w:style w:type="paragraph" w:styleId="Overskrift1">
    <w:name w:val="heading 1"/>
    <w:basedOn w:val="Normal"/>
    <w:link w:val="Overskrift1Tegn"/>
    <w:autoRedefine/>
    <w:uiPriority w:val="9"/>
    <w:qFormat/>
    <w:rsid w:val="00E71016"/>
    <w:pPr>
      <w:shd w:val="clear" w:color="auto" w:fill="FFFFFF"/>
      <w:spacing w:after="0" w:line="288" w:lineRule="atLeast"/>
      <w:textAlignment w:val="baseline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val="en-US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532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1532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153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1016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val="en-US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1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C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rsid w:val="008C02E2"/>
    <w:rPr>
      <w:b/>
      <w:bCs/>
    </w:rPr>
  </w:style>
  <w:style w:type="table" w:styleId="Tabellrutenett8">
    <w:name w:val="Table Grid 8"/>
    <w:basedOn w:val="Vanligtabell"/>
    <w:uiPriority w:val="99"/>
    <w:unhideWhenUsed/>
    <w:rsid w:val="005115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rutenett">
    <w:name w:val="Table Grid"/>
    <w:basedOn w:val="Vanligtabell"/>
    <w:uiPriority w:val="59"/>
    <w:rsid w:val="0051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C02E2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41004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BunntekstTegn">
    <w:name w:val="Bunntekst Tegn"/>
    <w:basedOn w:val="Standardskriftforavsnitt"/>
    <w:link w:val="Bunntekst"/>
    <w:uiPriority w:val="99"/>
    <w:rsid w:val="00741004"/>
  </w:style>
  <w:style w:type="character" w:styleId="Linjenummer">
    <w:name w:val="line number"/>
    <w:basedOn w:val="Standardskriftforavsnitt"/>
    <w:uiPriority w:val="99"/>
    <w:semiHidden/>
    <w:unhideWhenUsed/>
    <w:rsid w:val="004C176A"/>
  </w:style>
  <w:style w:type="paragraph" w:styleId="Undertittel">
    <w:name w:val="Subtitle"/>
    <w:basedOn w:val="Normal"/>
    <w:next w:val="Normal"/>
    <w:link w:val="UndertittelTegn"/>
    <w:uiPriority w:val="11"/>
    <w:qFormat/>
    <w:rsid w:val="000B7587"/>
    <w:pPr>
      <w:numPr>
        <w:ilvl w:val="1"/>
      </w:numPr>
      <w:spacing w:after="0" w:line="240" w:lineRule="auto"/>
    </w:pPr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7587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Stor">
    <w:name w:val="Munch Overskrift Stor"/>
    <w:autoRedefine/>
    <w:qFormat/>
    <w:rsid w:val="00B153AD"/>
    <w:pPr>
      <w:spacing w:after="80"/>
    </w:pPr>
    <w:rPr>
      <w:rFonts w:ascii="Arial Narrow" w:eastAsia="Times New Roman" w:hAnsi="Arial Narrow" w:cs="Arial"/>
      <w:b/>
      <w:bCs/>
      <w:caps/>
      <w:color w:val="333333"/>
      <w:sz w:val="36"/>
      <w:szCs w:val="36"/>
      <w:lang w:val="en-US" w:eastAsia="nb-NO"/>
    </w:rPr>
  </w:style>
  <w:style w:type="paragraph" w:customStyle="1" w:styleId="MUNCHBrdtekst">
    <w:name w:val="MUNCH Brødtekst"/>
    <w:autoRedefine/>
    <w:qFormat/>
    <w:rsid w:val="00DF38AC"/>
    <w:rPr>
      <w:rFonts w:ascii="Arial" w:hAnsi="Arial"/>
      <w:lang w:val="en-US" w:eastAsia="nb-NO"/>
    </w:rPr>
  </w:style>
  <w:style w:type="paragraph" w:customStyle="1" w:styleId="MunchOverskriftMedium">
    <w:name w:val="Munch Overskrift Medium"/>
    <w:autoRedefine/>
    <w:qFormat/>
    <w:rsid w:val="00B153AD"/>
    <w:pPr>
      <w:spacing w:after="80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customStyle="1" w:styleId="MunchBildetekst">
    <w:name w:val="Munch Bildetekst"/>
    <w:autoRedefine/>
    <w:qFormat/>
    <w:rsid w:val="00DF38AC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Liten">
    <w:name w:val="Munch Overskrift Liten"/>
    <w:autoRedefine/>
    <w:qFormat/>
    <w:rsid w:val="00250A8E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MunchBrdtekstuthevet">
    <w:name w:val="Munch Brødtekst uthevet"/>
    <w:basedOn w:val="Standardskriftforavsnitt"/>
    <w:uiPriority w:val="1"/>
    <w:qFormat/>
    <w:rsid w:val="00250A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TopptekstTegn">
    <w:name w:val="Topptekst Tegn"/>
    <w:basedOn w:val="Standardskriftforavsnitt"/>
    <w:link w:val="Topptekst"/>
    <w:uiPriority w:val="99"/>
    <w:rsid w:val="00F91DA4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1D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DA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E71016"/>
  </w:style>
  <w:style w:type="paragraph" w:styleId="Rentekst">
    <w:name w:val="Plain Text"/>
    <w:basedOn w:val="Normal"/>
    <w:link w:val="RentekstTegn"/>
    <w:uiPriority w:val="99"/>
    <w:unhideWhenUsed/>
    <w:rsid w:val="00FA7DB9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FA7DB9"/>
    <w:rPr>
      <w:rFonts w:ascii="Calibri" w:hAnsi="Calibri"/>
      <w:szCs w:val="21"/>
    </w:rPr>
  </w:style>
  <w:style w:type="paragraph" w:customStyle="1" w:styleId="Normal1">
    <w:name w:val="Normal1"/>
    <w:rsid w:val="0090448A"/>
    <w:pPr>
      <w:spacing w:after="180" w:line="264" w:lineRule="auto"/>
    </w:pPr>
    <w:rPr>
      <w:rFonts w:ascii="Calibri" w:eastAsia="Calibri" w:hAnsi="Calibri" w:cs="Calibri"/>
      <w:color w:val="00000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804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elles\Maler\Munch-museet\Not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1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Skilbred</dc:creator>
  <cp:lastModifiedBy>Gitte Skilbred</cp:lastModifiedBy>
  <cp:revision>2</cp:revision>
  <cp:lastPrinted>2014-12-23T09:42:00Z</cp:lastPrinted>
  <dcterms:created xsi:type="dcterms:W3CDTF">2015-09-24T05:59:00Z</dcterms:created>
  <dcterms:modified xsi:type="dcterms:W3CDTF">2015-09-24T05:59:00Z</dcterms:modified>
</cp:coreProperties>
</file>