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02BF" w14:textId="77777777" w:rsidR="00F45180" w:rsidRDefault="00F45180">
      <w:pPr>
        <w:pStyle w:val="MsgText"/>
        <w:spacing w:before="0" w:after="200"/>
        <w:ind w:left="0"/>
        <w:rPr>
          <w:rFonts w:ascii="Arial" w:hAnsi="Arial" w:cs="Arial"/>
        </w:rPr>
        <w:sectPr w:rsidR="00F45180" w:rsidSect="00D537BF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540" w:right="1440" w:bottom="1440" w:left="1800" w:header="720" w:footer="720" w:gutter="0"/>
          <w:cols w:space="720"/>
          <w:titlePg/>
        </w:sectPr>
      </w:pPr>
    </w:p>
    <w:tbl>
      <w:tblPr>
        <w:tblStyle w:val="Tabel-Gitter"/>
        <w:tblW w:w="9210" w:type="dxa"/>
        <w:tblInd w:w="-12" w:type="dxa"/>
        <w:tblBorders>
          <w:top w:val="single" w:sz="4" w:space="0" w:color="FFFFFF"/>
          <w:left w:val="none" w:sz="0" w:space="0" w:color="auto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0"/>
        <w:gridCol w:w="7740"/>
      </w:tblGrid>
      <w:tr w:rsidR="00AB1463" w14:paraId="1A6620CF" w14:textId="77777777">
        <w:tc>
          <w:tcPr>
            <w:tcW w:w="1470" w:type="dxa"/>
          </w:tcPr>
          <w:p w14:paraId="58CB1999" w14:textId="77777777" w:rsidR="00AB1463" w:rsidRPr="00FA3F0B" w:rsidRDefault="00AB1463" w:rsidP="00C10281">
            <w:pPr>
              <w:pStyle w:val="ReleaseDate"/>
              <w:rPr>
                <w:b/>
                <w:sz w:val="22"/>
                <w:szCs w:val="22"/>
              </w:rPr>
            </w:pPr>
            <w:r w:rsidRPr="00FA3F0B">
              <w:rPr>
                <w:b/>
                <w:sz w:val="22"/>
                <w:szCs w:val="22"/>
              </w:rPr>
              <w:t>Dat</w:t>
            </w:r>
            <w:r w:rsidR="00D537BF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7740" w:type="dxa"/>
          </w:tcPr>
          <w:p w14:paraId="02A1F5FA" w14:textId="2C403235" w:rsidR="00AB1463" w:rsidRPr="00C30CB3" w:rsidRDefault="00E051D5" w:rsidP="00C10281">
            <w:pPr>
              <w:pStyle w:val="Release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oktober</w:t>
            </w:r>
            <w:proofErr w:type="spellEnd"/>
            <w:r>
              <w:rPr>
                <w:sz w:val="22"/>
                <w:szCs w:val="22"/>
              </w:rPr>
              <w:t xml:space="preserve"> 2018</w:t>
            </w:r>
          </w:p>
        </w:tc>
      </w:tr>
      <w:tr w:rsidR="00AB1463" w14:paraId="215A0FFF" w14:textId="77777777">
        <w:tc>
          <w:tcPr>
            <w:tcW w:w="1470" w:type="dxa"/>
          </w:tcPr>
          <w:p w14:paraId="5B056663" w14:textId="77777777" w:rsidR="00AB1463" w:rsidRPr="00FA3F0B" w:rsidRDefault="00D537BF" w:rsidP="00014BBD">
            <w:pPr>
              <w:pStyle w:val="ReleaseStatus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Udgivelse</w:t>
            </w:r>
            <w:proofErr w:type="spellEnd"/>
          </w:p>
        </w:tc>
        <w:tc>
          <w:tcPr>
            <w:tcW w:w="7740" w:type="dxa"/>
          </w:tcPr>
          <w:p w14:paraId="7935D5DA" w14:textId="77777777" w:rsidR="00AB1463" w:rsidRPr="00C30CB3" w:rsidRDefault="00D537BF" w:rsidP="00014BBD">
            <w:pPr>
              <w:pStyle w:val="ReleaseStatu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Omgående</w:t>
            </w:r>
            <w:proofErr w:type="spellEnd"/>
          </w:p>
        </w:tc>
      </w:tr>
      <w:tr w:rsidR="00AB1463" w:rsidRPr="00E051D5" w14:paraId="270A29F6" w14:textId="77777777">
        <w:trPr>
          <w:trHeight w:val="319"/>
        </w:trPr>
        <w:tc>
          <w:tcPr>
            <w:tcW w:w="1470" w:type="dxa"/>
          </w:tcPr>
          <w:p w14:paraId="17247099" w14:textId="77777777" w:rsidR="00AB1463" w:rsidRPr="00FA3F0B" w:rsidRDefault="00D537BF" w:rsidP="00AE28A1">
            <w:pPr>
              <w:pStyle w:val="ContactPara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</w:t>
            </w:r>
            <w:r w:rsidR="00AB1463" w:rsidRPr="00FA3F0B">
              <w:rPr>
                <w:b/>
                <w:sz w:val="22"/>
                <w:szCs w:val="22"/>
              </w:rPr>
              <w:t>onta</w:t>
            </w:r>
            <w:r>
              <w:rPr>
                <w:b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7740" w:type="dxa"/>
          </w:tcPr>
          <w:p w14:paraId="6C005194" w14:textId="77777777" w:rsidR="00547FBD" w:rsidRPr="00BD4C2E" w:rsidRDefault="00D537BF" w:rsidP="00CE6BD2">
            <w:pPr>
              <w:pStyle w:val="ContactPara"/>
              <w:rPr>
                <w:sz w:val="22"/>
                <w:szCs w:val="22"/>
                <w:lang w:val="de-DE"/>
              </w:rPr>
            </w:pPr>
            <w:r w:rsidRPr="00BD4C2E">
              <w:rPr>
                <w:sz w:val="22"/>
                <w:szCs w:val="22"/>
                <w:lang w:val="de-DE"/>
              </w:rPr>
              <w:t>Jette Grønberg</w:t>
            </w:r>
            <w:r w:rsidR="00CE6BD2" w:rsidRPr="00BD4C2E">
              <w:rPr>
                <w:rStyle w:val="ContactName1Char"/>
                <w:sz w:val="22"/>
                <w:szCs w:val="22"/>
                <w:lang w:val="de-DE"/>
              </w:rPr>
              <w:t>,</w:t>
            </w:r>
            <w:r w:rsidR="00CA3F2C" w:rsidRPr="00BD4C2E">
              <w:rPr>
                <w:rStyle w:val="ContactName1Char"/>
                <w:sz w:val="22"/>
                <w:szCs w:val="22"/>
                <w:lang w:val="de-DE"/>
              </w:rPr>
              <w:t xml:space="preserve"> </w:t>
            </w:r>
            <w:hyperlink r:id="rId11" w:history="1">
              <w:r w:rsidR="00946949" w:rsidRPr="00BD4C2E">
                <w:rPr>
                  <w:rStyle w:val="Hyperlink"/>
                  <w:sz w:val="22"/>
                  <w:szCs w:val="22"/>
                  <w:lang w:val="de-DE"/>
                </w:rPr>
                <w:t>JetteGronberg@eaton.com</w:t>
              </w:r>
            </w:hyperlink>
            <w:r w:rsidR="00946949" w:rsidRPr="00BD4C2E">
              <w:rPr>
                <w:rStyle w:val="ContactName1Char"/>
                <w:sz w:val="22"/>
                <w:szCs w:val="22"/>
                <w:lang w:val="de-DE"/>
              </w:rPr>
              <w:t xml:space="preserve">, </w:t>
            </w:r>
            <w:r w:rsidRPr="00BD4C2E">
              <w:rPr>
                <w:rStyle w:val="ContactName1Char"/>
                <w:sz w:val="22"/>
                <w:szCs w:val="22"/>
                <w:lang w:val="de-DE"/>
              </w:rPr>
              <w:t>+45 3686 7910</w:t>
            </w:r>
          </w:p>
          <w:p w14:paraId="63469D37" w14:textId="77777777" w:rsidR="002A1615" w:rsidRPr="00BD4C2E" w:rsidRDefault="002A1615" w:rsidP="002263A1">
            <w:pPr>
              <w:pStyle w:val="ContactPara"/>
              <w:rPr>
                <w:sz w:val="22"/>
                <w:szCs w:val="22"/>
                <w:lang w:val="de-DE"/>
              </w:rPr>
            </w:pPr>
          </w:p>
        </w:tc>
      </w:tr>
    </w:tbl>
    <w:p w14:paraId="4BF89A2F" w14:textId="77777777" w:rsidR="00AB1463" w:rsidRPr="00BD4C2E" w:rsidRDefault="00AB1463" w:rsidP="004050E8">
      <w:pPr>
        <w:pStyle w:val="ContactPara"/>
        <w:rPr>
          <w:sz w:val="22"/>
          <w:szCs w:val="22"/>
          <w:lang w:val="de-DE"/>
        </w:rPr>
      </w:pPr>
    </w:p>
    <w:p w14:paraId="1B3FD26C" w14:textId="77777777" w:rsidR="004050E8" w:rsidRPr="00BD4C2E" w:rsidRDefault="004050E8" w:rsidP="004050E8">
      <w:pPr>
        <w:pStyle w:val="Overskrift1"/>
        <w:spacing w:before="0" w:after="0"/>
        <w:rPr>
          <w:sz w:val="24"/>
          <w:szCs w:val="24"/>
          <w:lang w:val="de-DE"/>
        </w:rPr>
      </w:pPr>
      <w:bookmarkStart w:id="5" w:name="Heading"/>
      <w:bookmarkStart w:id="6" w:name="FirstLine"/>
      <w:bookmarkEnd w:id="5"/>
      <w:bookmarkEnd w:id="6"/>
    </w:p>
    <w:p w14:paraId="7A782870" w14:textId="77777777" w:rsidR="00EC3912" w:rsidRPr="00EC3912" w:rsidRDefault="00EC3912" w:rsidP="00EC3912">
      <w:pPr>
        <w:spacing w:line="360" w:lineRule="auto"/>
        <w:rPr>
          <w:rFonts w:ascii="Arial" w:hAnsi="Arial" w:cs="Arial"/>
          <w:b/>
          <w:sz w:val="28"/>
          <w:szCs w:val="24"/>
          <w:lang w:val="da-DK"/>
        </w:rPr>
      </w:pPr>
      <w:r>
        <w:rPr>
          <w:rFonts w:ascii="Arial" w:eastAsia="Arial" w:hAnsi="Arial" w:cs="Arial"/>
          <w:b/>
          <w:sz w:val="28"/>
          <w:szCs w:val="28"/>
          <w:bdr w:val="none" w:sz="0" w:space="0" w:color="auto" w:frame="1"/>
          <w:lang w:val="da-DK"/>
        </w:rPr>
        <w:t xml:space="preserve">Eaton introducerer 9SX UPS-sortiment til </w:t>
      </w:r>
      <w:r w:rsidR="00C80A8F">
        <w:rPr>
          <w:rFonts w:ascii="Arial" w:eastAsia="Arial" w:hAnsi="Arial" w:cs="Arial"/>
          <w:b/>
          <w:sz w:val="28"/>
          <w:szCs w:val="28"/>
          <w:bdr w:val="none" w:sz="0" w:space="0" w:color="auto" w:frame="1"/>
          <w:lang w:val="da-DK"/>
        </w:rPr>
        <w:t>l</w:t>
      </w:r>
      <w:r>
        <w:rPr>
          <w:rFonts w:ascii="Arial" w:eastAsia="Arial" w:hAnsi="Arial" w:cs="Arial"/>
          <w:b/>
          <w:sz w:val="28"/>
          <w:szCs w:val="28"/>
          <w:bdr w:val="none" w:sz="0" w:space="0" w:color="auto" w:frame="1"/>
          <w:lang w:val="da-DK"/>
        </w:rPr>
        <w:t>ave belastninger</w:t>
      </w:r>
    </w:p>
    <w:p w14:paraId="6EB43B28" w14:textId="77777777" w:rsidR="00EC3912" w:rsidRPr="00EC3912" w:rsidRDefault="00EC3912" w:rsidP="00EC3912">
      <w:pPr>
        <w:spacing w:line="360" w:lineRule="auto"/>
        <w:rPr>
          <w:rFonts w:ascii="Arial" w:hAnsi="Arial" w:cs="Arial"/>
          <w:b/>
          <w:sz w:val="24"/>
          <w:szCs w:val="24"/>
          <w:lang w:val="da-DK"/>
        </w:rPr>
      </w:pPr>
      <w:r w:rsidRPr="00EC3912">
        <w:rPr>
          <w:rFonts w:ascii="Arial" w:eastAsia="Arial" w:hAnsi="Arial" w:cs="Arial"/>
          <w:b/>
          <w:sz w:val="24"/>
          <w:szCs w:val="24"/>
          <w:bdr w:val="none" w:sz="0" w:space="0" w:color="auto" w:frame="1"/>
          <w:lang w:val="da-DK"/>
        </w:rPr>
        <w:t xml:space="preserve">Nye modeller er efterfølgerne til </w:t>
      </w:r>
      <w:r w:rsidR="000436E6">
        <w:rPr>
          <w:rFonts w:ascii="Arial" w:eastAsia="Arial" w:hAnsi="Arial" w:cs="Arial"/>
          <w:b/>
          <w:sz w:val="24"/>
          <w:szCs w:val="24"/>
          <w:bdr w:val="none" w:sz="0" w:space="0" w:color="auto" w:frame="1"/>
          <w:lang w:val="da-DK"/>
        </w:rPr>
        <w:t>Eatons</w:t>
      </w:r>
      <w:r w:rsidRPr="00EC3912">
        <w:rPr>
          <w:rFonts w:ascii="Arial" w:eastAsia="Arial" w:hAnsi="Arial" w:cs="Arial"/>
          <w:b/>
          <w:sz w:val="24"/>
          <w:szCs w:val="24"/>
          <w:bdr w:val="none" w:sz="0" w:space="0" w:color="auto" w:frame="1"/>
          <w:lang w:val="da-DK"/>
        </w:rPr>
        <w:t xml:space="preserve"> brancheførende 9130-sortiment</w:t>
      </w:r>
      <w:r w:rsidR="000436E6">
        <w:rPr>
          <w:rFonts w:ascii="Arial" w:eastAsia="Arial" w:hAnsi="Arial" w:cs="Arial"/>
          <w:b/>
          <w:sz w:val="24"/>
          <w:szCs w:val="24"/>
          <w:bdr w:val="none" w:sz="0" w:space="0" w:color="auto" w:frame="1"/>
          <w:lang w:val="da-DK"/>
        </w:rPr>
        <w:t>.</w:t>
      </w:r>
    </w:p>
    <w:p w14:paraId="134E7215" w14:textId="77777777" w:rsidR="00EC3912" w:rsidRPr="00EC3912" w:rsidRDefault="00EC3912" w:rsidP="00EC3912">
      <w:pPr>
        <w:rPr>
          <w:b/>
          <w:lang w:val="da-DK"/>
        </w:rPr>
      </w:pPr>
    </w:p>
    <w:p w14:paraId="437B4F8B" w14:textId="136138FE" w:rsidR="00EC3912" w:rsidRPr="00EC3912" w:rsidRDefault="00EC3912" w:rsidP="00EC3912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b/>
          <w:sz w:val="22"/>
          <w:szCs w:val="22"/>
          <w:bdr w:val="none" w:sz="0" w:space="0" w:color="auto" w:frame="1"/>
          <w:lang w:val="da-DK"/>
        </w:rPr>
        <w:t xml:space="preserve">Søborg, </w:t>
      </w:r>
      <w:r w:rsidR="00E051D5">
        <w:rPr>
          <w:rFonts w:ascii="Arial" w:eastAsia="Arial" w:hAnsi="Arial" w:cs="Arial"/>
          <w:b/>
          <w:sz w:val="22"/>
          <w:szCs w:val="22"/>
          <w:bdr w:val="none" w:sz="0" w:space="0" w:color="auto" w:frame="1"/>
          <w:lang w:val="da-DK"/>
        </w:rPr>
        <w:t>11</w:t>
      </w:r>
      <w:r>
        <w:rPr>
          <w:rFonts w:ascii="Arial" w:eastAsia="Arial" w:hAnsi="Arial" w:cs="Arial"/>
          <w:b/>
          <w:sz w:val="22"/>
          <w:szCs w:val="22"/>
          <w:bdr w:val="none" w:sz="0" w:space="0" w:color="auto" w:frame="1"/>
          <w:lang w:val="da-DK"/>
        </w:rPr>
        <w:t xml:space="preserve">. </w:t>
      </w:r>
      <w:r w:rsidR="000436E6">
        <w:rPr>
          <w:rFonts w:ascii="Arial" w:eastAsia="Arial" w:hAnsi="Arial" w:cs="Arial"/>
          <w:b/>
          <w:sz w:val="22"/>
          <w:szCs w:val="22"/>
          <w:bdr w:val="none" w:sz="0" w:space="0" w:color="auto" w:frame="1"/>
          <w:lang w:val="da-DK"/>
        </w:rPr>
        <w:t>oktober</w:t>
      </w:r>
      <w:r>
        <w:rPr>
          <w:rFonts w:ascii="Arial" w:eastAsia="Arial" w:hAnsi="Arial" w:cs="Arial"/>
          <w:b/>
          <w:sz w:val="22"/>
          <w:szCs w:val="22"/>
          <w:bdr w:val="none" w:sz="0" w:space="0" w:color="auto" w:frame="1"/>
          <w:lang w:val="da-DK"/>
        </w:rPr>
        <w:t xml:space="preserve"> 2018 – 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Eaton </w:t>
      </w:r>
      <w:r w:rsidR="000436E6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har netop annonceret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en udvidelse af sin UPS-serie 9SX (nødstrømsforsyninger). Eaton 9SX UPS tilbyder høj tilgængelighed, fleksibilitet og avanceret beskyttelse af infrastruktur til it og mindre datacentre samt for netværk, lagring, industri-, medicin- og telekommunikationsapplikationer. De nye modeller er en udvidelse af den eksisterende produktportefølje af 5-11kVA UPS-modeller </w:t>
      </w:r>
      <w:r w:rsidR="00C80A8F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til også at omfatte e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ffekt</w:t>
      </w:r>
      <w:r w:rsidR="00C80A8F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er 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fra 700VA til 6kVA</w:t>
      </w:r>
      <w:r w:rsidR="00C80A8F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, 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tilgængelige i towerformater. Sortimentet er </w:t>
      </w:r>
      <w:r w:rsidR="000436E6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allerede 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tilgængeligt.</w:t>
      </w:r>
    </w:p>
    <w:p w14:paraId="6CA75F03" w14:textId="77777777" w:rsidR="00EC3912" w:rsidRPr="00EC3912" w:rsidRDefault="00EC3912" w:rsidP="00EC3912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6BF4D5EC" w14:textId="77777777" w:rsidR="00EC3912" w:rsidRPr="00EC3912" w:rsidRDefault="00EC3912" w:rsidP="00EC3912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Eaton 9SX-serien er efterfølgeren til Eatons markedsførende 9130 UPS, som blev lanceret</w:t>
      </w:r>
      <w:r w:rsidR="00C80A8F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i 2008, og som er kendt for </w:t>
      </w:r>
      <w:r w:rsidR="000436E6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sin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konkurrencedygtige pris i forhold til effekt. 9SX-sortimentet bygger på de funktioner, der findes i Eatons 9130-produktfamilie og tilføjer nye funktioner, </w:t>
      </w:r>
      <w:r w:rsidR="000436E6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blandt andet: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 </w:t>
      </w:r>
    </w:p>
    <w:p w14:paraId="2ABFA4DD" w14:textId="77777777" w:rsidR="00EC3912" w:rsidRPr="00EC3912" w:rsidRDefault="00EC3912" w:rsidP="00EC3912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Energimåling til overvågning af </w:t>
      </w:r>
      <w:r w:rsidRP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energiforbrug v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ia </w:t>
      </w:r>
      <w:r w:rsidRP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kWh-forbrug på UPS-niveau</w:t>
      </w:r>
    </w:p>
    <w:p w14:paraId="15247BF1" w14:textId="77777777" w:rsidR="00EC3912" w:rsidRPr="00EC3912" w:rsidRDefault="00EC3912" w:rsidP="00EC3912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da-DK"/>
        </w:rPr>
      </w:pPr>
      <w:r w:rsidRP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Forbedret LCD-skærm med flere parametre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, der </w:t>
      </w:r>
      <w:r w:rsidRP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give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r</w:t>
      </w:r>
      <w:r w:rsidRP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hurtige og præcise UPS-statusopdateringer</w:t>
      </w:r>
    </w:p>
    <w:p w14:paraId="33B3953B" w14:textId="77777777" w:rsidR="00EC3912" w:rsidRPr="00EC3912" w:rsidRDefault="00EC3912" w:rsidP="00EC3912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da-DK"/>
        </w:rPr>
      </w:pPr>
      <w:r w:rsidRP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Visning af oplysninger om anbefalede batteriudskiftningsdatoer </w:t>
      </w:r>
    </w:p>
    <w:p w14:paraId="0B70D99E" w14:textId="77777777" w:rsidR="00EC3912" w:rsidRPr="00EC3912" w:rsidRDefault="00EC3912" w:rsidP="00EC3912">
      <w:pPr>
        <w:pStyle w:val="Listeafsnit"/>
        <w:numPr>
          <w:ilvl w:val="0"/>
          <w:numId w:val="3"/>
        </w:numPr>
        <w:spacing w:line="360" w:lineRule="auto"/>
        <w:ind w:right="-76"/>
        <w:rPr>
          <w:rFonts w:ascii="Arial" w:hAnsi="Arial" w:cs="Arial"/>
          <w:sz w:val="22"/>
          <w:szCs w:val="22"/>
        </w:rPr>
      </w:pPr>
      <w:r w:rsidRP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Automatisk udvidet batterimodul (BM)-genkendelse</w:t>
      </w:r>
    </w:p>
    <w:p w14:paraId="03594C6E" w14:textId="77777777" w:rsidR="00EC3912" w:rsidRDefault="00EC3912" w:rsidP="00EC3912">
      <w:pPr>
        <w:pStyle w:val="Listeafsnit"/>
        <w:spacing w:line="360" w:lineRule="auto"/>
        <w:ind w:left="0" w:right="-76"/>
        <w:rPr>
          <w:rFonts w:ascii="Arial" w:hAnsi="Arial" w:cs="Arial"/>
          <w:sz w:val="22"/>
          <w:szCs w:val="22"/>
        </w:rPr>
      </w:pPr>
    </w:p>
    <w:p w14:paraId="13D5DD1F" w14:textId="7B73A06A" w:rsidR="00EC3912" w:rsidRPr="00EC3912" w:rsidRDefault="00EC3912" w:rsidP="00EC3912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"9SX bygger på 9130</w:t>
      </w:r>
      <w:r w:rsidR="000436E6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’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s styrker. Vi har taget et rigtigt godt og populært produkt og gjort det endnu bedre ved at tilføje nye funktioner</w:t>
      </w:r>
      <w:r w:rsidR="000436E6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,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der understøtter moderne it-applikationer og infrastruktur</w:t>
      </w:r>
      <w:r w:rsidR="00E051D5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. 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Dette er en vigtig nyhed for Eaton og vores kunder, særligt da 9130 </w:t>
      </w:r>
      <w:r w:rsidR="00C80A8F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er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</w:t>
      </w:r>
      <w:r w:rsidR="00C80A8F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så populær</w:t>
      </w:r>
      <w:r w:rsidR="00E051D5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,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"</w:t>
      </w:r>
      <w:r w:rsidR="00E051D5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</w:t>
      </w:r>
      <w:r w:rsidR="00E051D5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siger </w:t>
      </w:r>
      <w:proofErr w:type="spellStart"/>
      <w:r w:rsidR="00E051D5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Bozidar</w:t>
      </w:r>
      <w:proofErr w:type="spellEnd"/>
      <w:r w:rsidR="00E051D5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Dedic, IT &amp; ET Channel Manager hos Eaton Danmark.</w:t>
      </w:r>
      <w:bookmarkStart w:id="7" w:name="_GoBack"/>
      <w:bookmarkEnd w:id="7"/>
    </w:p>
    <w:p w14:paraId="0E90BAD7" w14:textId="77777777" w:rsidR="00EC3912" w:rsidRPr="00EC3912" w:rsidRDefault="00EC3912" w:rsidP="00EC3912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615C9602" w14:textId="77777777" w:rsidR="00EC3912" w:rsidRPr="00EC3912" w:rsidRDefault="000E66C8" w:rsidP="00EC3912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lastRenderedPageBreak/>
        <w:t xml:space="preserve">9SX-sortimentet indeholder </w:t>
      </w:r>
      <w:r w:rsid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teknologier, som sikrer, at kunderne får den bedste udnyttelsesgrad. 9SX har en </w:t>
      </w:r>
      <w:proofErr w:type="spellStart"/>
      <w:r w:rsid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powerfaktor</w:t>
      </w:r>
      <w:proofErr w:type="spellEnd"/>
      <w:r w:rsid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på 0,9, hvilket betyder, at den giver større reel effekt (watt), 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og dermed</w:t>
      </w:r>
      <w:r w:rsid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yder større beskyttelse af udstyret. Den er også udviklet til at være endnu mere pålidelig takket være en robust topologi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. </w:t>
      </w:r>
      <w:r w:rsidR="00092167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Samtidig</w:t>
      </w:r>
      <w:r w:rsid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bruger </w:t>
      </w:r>
      <w:r w:rsidR="00092167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den </w:t>
      </w:r>
      <w:r w:rsid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dobbelt konverteringsteknologi til konstant at overvåge strømbetingelser (spænding og frekvens) og initiere</w:t>
      </w:r>
      <w:r w:rsidR="00092167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r</w:t>
      </w:r>
      <w:r w:rsidR="00EC3912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automatisk bypass i tilfælde af overbelastning eller UPS-fejl.</w:t>
      </w:r>
    </w:p>
    <w:p w14:paraId="37F3A4A4" w14:textId="77777777" w:rsidR="00EC3912" w:rsidRPr="00EC3912" w:rsidRDefault="00EC3912" w:rsidP="00EC3912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19000039" w14:textId="77777777" w:rsidR="00EC3912" w:rsidRPr="00EC3912" w:rsidRDefault="00EC3912" w:rsidP="00EC3912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Når den parres med virtualiseringsklar Intelligent Power Manager-software, kan overvågning og styring af 9SX ske fra virtualiseringsstyringsplatforme som f</w:t>
      </w:r>
      <w:r w:rsidR="00092167"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or eksempel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VMware</w:t>
      </w:r>
      <w:proofErr w:type="spellEnd"/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vCenter</w:t>
      </w:r>
      <w:proofErr w:type="spellEnd"/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 og Microsoft </w:t>
      </w:r>
      <w:proofErr w:type="spellStart"/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HyperV</w:t>
      </w:r>
      <w:proofErr w:type="spellEnd"/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. Dette giver it-medarbejdere mulighed for nemt at konfigurere politikbaseret automatisering for strømhændelser som automatiske politikker for katastrofegenoprettelse, kontrolleret nedlukning, belastningsfrakobling og integration af sky-</w:t>
      </w:r>
      <w:proofErr w:type="spellStart"/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orchestator</w:t>
      </w:r>
      <w:proofErr w:type="spellEnd"/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>.</w:t>
      </w:r>
    </w:p>
    <w:p w14:paraId="3015399D" w14:textId="77777777" w:rsidR="00EC3912" w:rsidRPr="00EC3912" w:rsidRDefault="00EC3912" w:rsidP="00EC3912">
      <w:pPr>
        <w:spacing w:line="360" w:lineRule="auto"/>
        <w:rPr>
          <w:rFonts w:ascii="Arial" w:hAnsi="Arial" w:cs="Arial"/>
          <w:lang w:val="da-DK"/>
        </w:rPr>
      </w:pPr>
    </w:p>
    <w:p w14:paraId="39500AA3" w14:textId="77777777" w:rsidR="00EC3912" w:rsidRPr="00EC3912" w:rsidRDefault="00EC3912" w:rsidP="00EC3912">
      <w:pPr>
        <w:spacing w:line="360" w:lineRule="auto"/>
        <w:rPr>
          <w:rFonts w:ascii="Arial" w:hAnsi="Arial" w:cs="Arial"/>
          <w:lang w:val="da-DK"/>
        </w:rPr>
      </w:pPr>
    </w:p>
    <w:p w14:paraId="4EB4D772" w14:textId="77777777" w:rsidR="00EC3912" w:rsidRPr="00EC3912" w:rsidRDefault="00EC3912" w:rsidP="00EC3912">
      <w:pPr>
        <w:spacing w:line="360" w:lineRule="auto"/>
        <w:rPr>
          <w:rFonts w:ascii="Arial" w:hAnsi="Arial" w:cs="Arial"/>
          <w:kern w:val="22"/>
          <w:sz w:val="22"/>
          <w:lang w:val="da-DK"/>
        </w:rPr>
      </w:pP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 w:eastAsia="ja-JP"/>
        </w:rPr>
        <w:t>Få mere at vide om den nye Eaton 9SX UPS på</w:t>
      </w:r>
      <w:r w:rsidR="008B0804">
        <w:rPr>
          <w:rFonts w:ascii="Arial" w:eastAsia="Arial" w:hAnsi="Arial" w:cs="Arial"/>
          <w:sz w:val="22"/>
          <w:szCs w:val="22"/>
          <w:bdr w:val="none" w:sz="0" w:space="0" w:color="auto" w:frame="1"/>
          <w:lang w:val="da-DK" w:eastAsia="ja-JP"/>
        </w:rPr>
        <w:t xml:space="preserve"> </w:t>
      </w:r>
      <w:r w:rsidR="000E66C8">
        <w:rPr>
          <w:rFonts w:ascii="Arial" w:eastAsia="Arial" w:hAnsi="Arial" w:cs="Arial"/>
          <w:color w:val="0000FF"/>
          <w:sz w:val="22"/>
          <w:szCs w:val="22"/>
          <w:u w:val="single"/>
          <w:bdr w:val="none" w:sz="0" w:space="0" w:color="auto" w:frame="1"/>
          <w:lang w:val="da-DK" w:eastAsia="ja-JP"/>
        </w:rPr>
        <w:t>www.eaton.dk</w:t>
      </w:r>
      <w:r>
        <w:rPr>
          <w:rFonts w:ascii="Arial" w:eastAsia="Arial" w:hAnsi="Arial" w:cs="Arial"/>
          <w:color w:val="0000FF"/>
          <w:sz w:val="22"/>
          <w:szCs w:val="22"/>
          <w:u w:val="single"/>
          <w:bdr w:val="none" w:sz="0" w:space="0" w:color="auto" w:frame="1"/>
          <w:lang w:val="da-DK" w:eastAsia="ja-JP"/>
        </w:rPr>
        <w:t>/power</w:t>
      </w:r>
      <w:r w:rsidR="000E66C8">
        <w:rPr>
          <w:rFonts w:ascii="Arial" w:eastAsia="Arial" w:hAnsi="Arial" w:cs="Arial"/>
          <w:color w:val="0000FF"/>
          <w:sz w:val="22"/>
          <w:szCs w:val="22"/>
          <w:u w:val="single"/>
          <w:bdr w:val="none" w:sz="0" w:space="0" w:color="auto" w:frame="1"/>
          <w:lang w:val="da-DK" w:eastAsia="ja-JP"/>
        </w:rPr>
        <w:t>quality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 w:eastAsia="ja-JP"/>
        </w:rPr>
        <w:t xml:space="preserve">. </w:t>
      </w:r>
    </w:p>
    <w:p w14:paraId="0ABA0E27" w14:textId="77777777" w:rsidR="00EC3912" w:rsidRPr="00EC3912" w:rsidRDefault="00EC3912" w:rsidP="00EC3912">
      <w:pPr>
        <w:spacing w:line="360" w:lineRule="auto"/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Få alle de seneste nyheder ved at følge os på Twitter via </w:t>
      </w:r>
      <w:r>
        <w:rPr>
          <w:rFonts w:ascii="Arial" w:eastAsia="Arial" w:hAnsi="Arial" w:cs="Arial"/>
          <w:bdr w:val="none" w:sz="0" w:space="0" w:color="auto" w:frame="1"/>
          <w:lang w:val="da-DK"/>
        </w:rPr>
        <w:t>@E</w:t>
      </w:r>
      <w:r>
        <w:rPr>
          <w:rFonts w:ascii="Arial" w:eastAsia="Arial" w:hAnsi="Arial" w:cs="Arial"/>
          <w:sz w:val="22"/>
          <w:szCs w:val="22"/>
          <w:bdr w:val="none" w:sz="0" w:space="0" w:color="auto" w:frame="1"/>
          <w:lang w:val="da-DK"/>
        </w:rPr>
        <w:t xml:space="preserve">TN_EMEA eller på vores </w:t>
      </w:r>
      <w:hyperlink r:id="rId12" w:history="1">
        <w:r w:rsidRPr="00EC3912">
          <w:rPr>
            <w:rStyle w:val="Hyperlink"/>
            <w:rFonts w:ascii="Arial" w:eastAsia="Arial" w:hAnsi="Arial" w:cs="Arial"/>
            <w:sz w:val="22"/>
            <w:szCs w:val="22"/>
            <w:lang w:val="da-DK"/>
          </w:rPr>
          <w:t>Eaton LinkedIn</w:t>
        </w:r>
      </w:hyperlink>
      <w:r w:rsidRPr="00EC3912">
        <w:rPr>
          <w:rFonts w:ascii="Arial" w:eastAsia="Arial" w:hAnsi="Arial" w:cs="Arial"/>
          <w:sz w:val="22"/>
          <w:szCs w:val="22"/>
          <w:lang w:val="da-DK"/>
        </w:rPr>
        <w:t xml:space="preserve">-virksomhedsside. </w:t>
      </w:r>
    </w:p>
    <w:p w14:paraId="1EBDAA90" w14:textId="77777777" w:rsidR="00BD4C2E" w:rsidRDefault="00BD4C2E" w:rsidP="005A5B7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da-DK"/>
        </w:rPr>
      </w:pPr>
    </w:p>
    <w:p w14:paraId="6D451939" w14:textId="77777777" w:rsidR="0093561B" w:rsidRPr="007B6443" w:rsidRDefault="00FE6B14" w:rsidP="0093561B">
      <w:pPr>
        <w:pStyle w:val="Brdtekst3"/>
        <w:autoSpaceDE w:val="0"/>
        <w:autoSpaceDN w:val="0"/>
        <w:adjustRightInd w:val="0"/>
        <w:rPr>
          <w:i/>
          <w:color w:val="000000" w:themeColor="text1"/>
          <w:sz w:val="20"/>
          <w:lang w:val="da-DK"/>
        </w:rPr>
      </w:pPr>
      <w:r w:rsidRPr="00EF36C2">
        <w:rPr>
          <w:szCs w:val="22"/>
          <w:lang w:val="da-DK"/>
        </w:rPr>
        <w:t>###</w:t>
      </w:r>
      <w:r w:rsidR="001A126D">
        <w:rPr>
          <w:szCs w:val="22"/>
          <w:lang w:val="da-DK"/>
        </w:rPr>
        <w:br/>
      </w:r>
      <w:r w:rsidR="001A126D">
        <w:rPr>
          <w:szCs w:val="22"/>
          <w:lang w:val="da-DK"/>
        </w:rPr>
        <w:br/>
      </w:r>
      <w:r w:rsidR="0093561B" w:rsidRPr="007B6443">
        <w:rPr>
          <w:b/>
          <w:i/>
          <w:sz w:val="20"/>
          <w:lang w:val="da-DK"/>
        </w:rPr>
        <w:t>Om Eaton</w:t>
      </w:r>
      <w:r w:rsidR="0093561B" w:rsidRPr="007B6443">
        <w:rPr>
          <w:szCs w:val="22"/>
          <w:lang w:val="da-DK"/>
        </w:rPr>
        <w:br/>
      </w:r>
      <w:r w:rsidR="0093561B" w:rsidRPr="007B6443">
        <w:rPr>
          <w:i/>
          <w:color w:val="000000" w:themeColor="text1"/>
          <w:sz w:val="20"/>
          <w:lang w:val="da-DK"/>
        </w:rPr>
        <w:t>Eatons elekt</w:t>
      </w:r>
      <w:r w:rsidR="0093561B">
        <w:rPr>
          <w:i/>
          <w:color w:val="000000" w:themeColor="text1"/>
          <w:sz w:val="20"/>
          <w:lang w:val="da-DK"/>
        </w:rPr>
        <w:t>rotekn</w:t>
      </w:r>
      <w:r w:rsidR="0093561B" w:rsidRPr="007B6443">
        <w:rPr>
          <w:i/>
          <w:color w:val="000000" w:themeColor="text1"/>
          <w:sz w:val="20"/>
          <w:lang w:val="da-DK"/>
        </w:rPr>
        <w:t>iske</w:t>
      </w:r>
      <w:r w:rsidR="0093561B">
        <w:rPr>
          <w:i/>
          <w:color w:val="000000" w:themeColor="text1"/>
          <w:sz w:val="20"/>
          <w:lang w:val="da-DK"/>
        </w:rPr>
        <w:t xml:space="preserve"> gren af koncernen</w:t>
      </w:r>
      <w:r w:rsidR="0093561B" w:rsidRPr="007B6443">
        <w:rPr>
          <w:i/>
          <w:color w:val="000000" w:themeColor="text1"/>
          <w:sz w:val="20"/>
          <w:lang w:val="da-DK"/>
        </w:rPr>
        <w:t xml:space="preserve"> er global</w:t>
      </w:r>
      <w:r w:rsidR="0093561B">
        <w:rPr>
          <w:i/>
          <w:color w:val="000000" w:themeColor="text1"/>
          <w:sz w:val="20"/>
          <w:lang w:val="da-DK"/>
        </w:rPr>
        <w:t>t</w:t>
      </w:r>
      <w:r w:rsidR="0093561B" w:rsidRPr="007B6443">
        <w:rPr>
          <w:i/>
          <w:color w:val="000000" w:themeColor="text1"/>
          <w:sz w:val="20"/>
          <w:lang w:val="da-DK"/>
        </w:rPr>
        <w:t xml:space="preserve"> </w:t>
      </w:r>
      <w:r w:rsidR="0093561B">
        <w:rPr>
          <w:i/>
          <w:color w:val="000000" w:themeColor="text1"/>
          <w:sz w:val="20"/>
          <w:lang w:val="da-DK"/>
        </w:rPr>
        <w:t>førende</w:t>
      </w:r>
      <w:r w:rsidR="0093561B" w:rsidRPr="007B6443">
        <w:rPr>
          <w:i/>
          <w:color w:val="000000" w:themeColor="text1"/>
          <w:sz w:val="20"/>
          <w:lang w:val="da-DK"/>
        </w:rPr>
        <w:t xml:space="preserve"> med ekspertise inden for effektfordeling og strømkredsbeskyttelse, strømbeskyttelsesbackup, kontrol og automatisering, belysning og sikkerhed, løsninger til infrastruktur og ledningsføring, løsninger til barske og farlige miljøer samt </w:t>
      </w:r>
      <w:r w:rsidR="0093561B">
        <w:rPr>
          <w:i/>
          <w:color w:val="000000" w:themeColor="text1"/>
          <w:sz w:val="20"/>
          <w:lang w:val="da-DK"/>
        </w:rPr>
        <w:t>projekt-support</w:t>
      </w:r>
      <w:r w:rsidR="0093561B" w:rsidRPr="007B6443">
        <w:rPr>
          <w:i/>
          <w:color w:val="000000" w:themeColor="text1"/>
          <w:sz w:val="20"/>
          <w:lang w:val="da-DK"/>
        </w:rPr>
        <w:t>. Eaton er gennem sine globale løsninger i stand til at møde nutidens mest afgørende udfordringer inden for styring af elektrisk energi.</w:t>
      </w:r>
    </w:p>
    <w:p w14:paraId="0EE5816B" w14:textId="77777777" w:rsidR="0093561B" w:rsidRPr="007B6443" w:rsidRDefault="0093561B" w:rsidP="0093561B">
      <w:pPr>
        <w:pStyle w:val="Brdtekst3"/>
        <w:autoSpaceDE w:val="0"/>
        <w:autoSpaceDN w:val="0"/>
        <w:adjustRightInd w:val="0"/>
        <w:rPr>
          <w:i/>
          <w:color w:val="000000" w:themeColor="text1"/>
          <w:sz w:val="20"/>
          <w:lang w:val="da-DK"/>
        </w:rPr>
      </w:pPr>
    </w:p>
    <w:p w14:paraId="15A293F4" w14:textId="77777777" w:rsidR="0093561B" w:rsidRPr="007B6443" w:rsidRDefault="0093561B" w:rsidP="0093561B">
      <w:pPr>
        <w:pStyle w:val="Brdtekst3"/>
        <w:autoSpaceDE w:val="0"/>
        <w:autoSpaceDN w:val="0"/>
        <w:adjustRightInd w:val="0"/>
        <w:rPr>
          <w:i/>
          <w:color w:val="000000" w:themeColor="text1"/>
          <w:sz w:val="20"/>
          <w:lang w:val="da-DK"/>
        </w:rPr>
      </w:pPr>
      <w:r w:rsidRPr="007B6443">
        <w:rPr>
          <w:i/>
          <w:color w:val="000000" w:themeColor="text1"/>
          <w:sz w:val="20"/>
          <w:lang w:val="da-DK"/>
        </w:rPr>
        <w:t xml:space="preserve">Eaton er en Power Management virksomhed, som omsatte for </w:t>
      </w:r>
      <w:r w:rsidR="00A0349D">
        <w:rPr>
          <w:i/>
          <w:color w:val="000000" w:themeColor="text1"/>
          <w:sz w:val="20"/>
          <w:lang w:val="da-DK"/>
        </w:rPr>
        <w:t>20,4</w:t>
      </w:r>
      <w:r w:rsidRPr="007B6443">
        <w:rPr>
          <w:i/>
          <w:color w:val="000000" w:themeColor="text1"/>
          <w:sz w:val="20"/>
          <w:lang w:val="da-DK"/>
        </w:rPr>
        <w:t xml:space="preserve"> milliarder dollars i 201</w:t>
      </w:r>
      <w:r w:rsidR="00A0349D">
        <w:rPr>
          <w:i/>
          <w:color w:val="000000" w:themeColor="text1"/>
          <w:sz w:val="20"/>
          <w:lang w:val="da-DK"/>
        </w:rPr>
        <w:t>7</w:t>
      </w:r>
      <w:r w:rsidRPr="007B6443">
        <w:rPr>
          <w:i/>
          <w:color w:val="000000" w:themeColor="text1"/>
          <w:sz w:val="20"/>
          <w:lang w:val="da-DK"/>
        </w:rPr>
        <w:t xml:space="preserve">. Eaton leverer energieffektive løsninger, der hjælper kunderne med effektivt at styre elektrisk, hydraulisk og mekanisk energi på en mere effektiv, sikker og bæredygtig måde. Eaton har omkring </w:t>
      </w:r>
      <w:r>
        <w:rPr>
          <w:i/>
          <w:color w:val="000000" w:themeColor="text1"/>
          <w:sz w:val="20"/>
          <w:lang w:val="da-DK"/>
        </w:rPr>
        <w:t>9</w:t>
      </w:r>
      <w:r w:rsidR="00A0349D">
        <w:rPr>
          <w:i/>
          <w:color w:val="000000" w:themeColor="text1"/>
          <w:sz w:val="20"/>
          <w:lang w:val="da-DK"/>
        </w:rPr>
        <w:t>6</w:t>
      </w:r>
      <w:r>
        <w:rPr>
          <w:i/>
          <w:color w:val="000000" w:themeColor="text1"/>
          <w:sz w:val="20"/>
          <w:lang w:val="da-DK"/>
        </w:rPr>
        <w:t>.</w:t>
      </w:r>
      <w:r w:rsidRPr="007B6443">
        <w:rPr>
          <w:i/>
          <w:color w:val="000000" w:themeColor="text1"/>
          <w:sz w:val="20"/>
          <w:lang w:val="da-DK"/>
        </w:rPr>
        <w:t xml:space="preserve">000 ansatte og sælger produkter til kunder i mere end 175 lande. </w:t>
      </w:r>
      <w:r w:rsidR="00092167">
        <w:rPr>
          <w:i/>
          <w:color w:val="000000" w:themeColor="text1"/>
          <w:sz w:val="20"/>
          <w:lang w:val="da-DK"/>
        </w:rPr>
        <w:t xml:space="preserve">Læse mere </w:t>
      </w:r>
      <w:r w:rsidRPr="007B6443">
        <w:rPr>
          <w:i/>
          <w:color w:val="000000" w:themeColor="text1"/>
          <w:sz w:val="20"/>
          <w:lang w:val="da-DK"/>
        </w:rPr>
        <w:t xml:space="preserve">på </w:t>
      </w:r>
      <w:hyperlink r:id="rId13" w:history="1">
        <w:r w:rsidR="00092167" w:rsidRPr="00092167">
          <w:rPr>
            <w:rStyle w:val="Hyperlink"/>
            <w:sz w:val="20"/>
            <w:lang w:val="da-DK"/>
          </w:rPr>
          <w:t>Eaton.com</w:t>
        </w:r>
      </w:hyperlink>
      <w:r w:rsidR="00092167">
        <w:rPr>
          <w:i/>
          <w:color w:val="000000" w:themeColor="text1"/>
          <w:sz w:val="20"/>
          <w:lang w:val="da-DK"/>
        </w:rPr>
        <w:t>.</w:t>
      </w:r>
    </w:p>
    <w:p w14:paraId="1912C651" w14:textId="77777777" w:rsidR="00AC0FF8" w:rsidRPr="004F6CF2" w:rsidRDefault="00AC0FF8" w:rsidP="00AC0FF8">
      <w:pPr>
        <w:pStyle w:val="Brdtekst3"/>
        <w:autoSpaceDE w:val="0"/>
        <w:autoSpaceDN w:val="0"/>
        <w:adjustRightInd w:val="0"/>
        <w:rPr>
          <w:i/>
          <w:color w:val="000000" w:themeColor="text1"/>
          <w:sz w:val="20"/>
          <w:lang w:val="da-DK"/>
        </w:rPr>
      </w:pPr>
      <w:r w:rsidRPr="004F6CF2">
        <w:rPr>
          <w:i/>
          <w:color w:val="000000" w:themeColor="text1"/>
          <w:sz w:val="20"/>
          <w:lang w:val="da-DK"/>
        </w:rPr>
        <w:t xml:space="preserve"> </w:t>
      </w:r>
    </w:p>
    <w:p w14:paraId="004EE0A1" w14:textId="77777777" w:rsidR="001A126D" w:rsidRPr="000E70DA" w:rsidRDefault="001A126D" w:rsidP="001A126D">
      <w:pPr>
        <w:autoSpaceDE w:val="0"/>
        <w:autoSpaceDN w:val="0"/>
        <w:spacing w:line="360" w:lineRule="auto"/>
        <w:rPr>
          <w:rFonts w:ascii="Arial" w:hAnsi="Arial" w:cs="Arial"/>
          <w:i/>
          <w:lang w:val="da-DK"/>
        </w:rPr>
      </w:pPr>
      <w:r w:rsidRPr="000E70DA">
        <w:rPr>
          <w:rFonts w:ascii="Arial" w:hAnsi="Arial" w:cs="Arial"/>
          <w:i/>
          <w:lang w:val="da-DK"/>
        </w:rPr>
        <w:t>.</w:t>
      </w:r>
    </w:p>
    <w:p w14:paraId="6D0C33BD" w14:textId="77777777" w:rsidR="00400288" w:rsidRPr="000E70DA" w:rsidRDefault="00400288" w:rsidP="00400288">
      <w:pPr>
        <w:autoSpaceDE w:val="0"/>
        <w:autoSpaceDN w:val="0"/>
        <w:adjustRightInd w:val="0"/>
        <w:spacing w:line="360" w:lineRule="auto"/>
        <w:jc w:val="center"/>
        <w:rPr>
          <w:rFonts w:ascii="Arial" w:eastAsia="MS Mincho" w:hAnsi="Arial" w:cs="Arial"/>
          <w:i/>
          <w:lang w:val="da-DK" w:eastAsia="ja-JP"/>
        </w:rPr>
      </w:pPr>
      <w:r w:rsidRPr="000E70DA">
        <w:rPr>
          <w:rFonts w:ascii="Arial" w:hAnsi="Arial" w:cs="Arial"/>
          <w:i/>
          <w:lang w:val="da-DK"/>
        </w:rPr>
        <w:t>###</w:t>
      </w:r>
    </w:p>
    <w:p w14:paraId="0829BCCC" w14:textId="77777777" w:rsidR="00C30CB3" w:rsidRPr="000E70DA" w:rsidRDefault="00C30CB3" w:rsidP="00400288">
      <w:pPr>
        <w:spacing w:line="360" w:lineRule="auto"/>
        <w:rPr>
          <w:i/>
          <w:lang w:val="da-DK"/>
        </w:rPr>
      </w:pPr>
    </w:p>
    <w:sectPr w:rsidR="00C30CB3" w:rsidRPr="000E70DA" w:rsidSect="00D537BF">
      <w:headerReference w:type="even" r:id="rId14"/>
      <w:headerReference w:type="default" r:id="rId15"/>
      <w:footerReference w:type="default" r:id="rId16"/>
      <w:type w:val="continuous"/>
      <w:pgSz w:w="11907" w:h="16840" w:code="9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2E0A" w14:textId="77777777" w:rsidR="00372863" w:rsidRDefault="00372863">
      <w:r>
        <w:separator/>
      </w:r>
    </w:p>
  </w:endnote>
  <w:endnote w:type="continuationSeparator" w:id="0">
    <w:p w14:paraId="40C95643" w14:textId="77777777" w:rsidR="00372863" w:rsidRDefault="0037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8A8E" w14:textId="77777777" w:rsidR="00F45180" w:rsidRDefault="00F45180">
    <w:pPr>
      <w:pStyle w:val="Sidefod"/>
      <w:jc w:val="center"/>
    </w:pPr>
    <w:r>
      <w:t>- more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D415" w14:textId="77777777" w:rsidR="00F45180" w:rsidRDefault="00F45180">
    <w:pPr>
      <w:pStyle w:val="Sidefod"/>
      <w:framePr w:wrap="around" w:vAnchor="text" w:hAnchor="margin" w:xAlign="center" w:y="1"/>
      <w:rPr>
        <w:rStyle w:val="Sidetal"/>
        <w:rFonts w:ascii="Arial" w:hAnsi="Arial"/>
        <w:sz w:val="22"/>
      </w:rPr>
    </w:pPr>
  </w:p>
  <w:p w14:paraId="591DE918" w14:textId="77777777" w:rsidR="00F45180" w:rsidRDefault="00F45180">
    <w:pPr>
      <w:pStyle w:val="Sidefod"/>
      <w:rPr>
        <w:rFonts w:ascii="Arial" w:hAnsi="Arial"/>
        <w:sz w:val="18"/>
      </w:rPr>
    </w:pPr>
    <w:r>
      <w:rPr>
        <w:rFonts w:ascii="Arial" w:hAnsi="Arial"/>
        <w:sz w:val="18"/>
      </w:rPr>
      <w:tab/>
    </w:r>
    <w:r w:rsidR="00D537BF">
      <w:rPr>
        <w:rFonts w:ascii="Arial" w:hAnsi="Arial"/>
        <w:sz w:val="18"/>
      </w:rPr>
      <w:t>-- mere</w:t>
    </w:r>
    <w:r w:rsidR="005574B5">
      <w:rPr>
        <w:rFonts w:ascii="Arial" w:hAnsi="Arial"/>
        <w:sz w:val="18"/>
      </w:rPr>
      <w:t xml:space="preserve"> 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8ADD" w14:textId="77777777" w:rsidR="00F45180" w:rsidRDefault="00F451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0120" w14:textId="77777777" w:rsidR="00372863" w:rsidRDefault="00372863">
      <w:pPr>
        <w:pStyle w:val="Sidefod"/>
      </w:pPr>
    </w:p>
  </w:footnote>
  <w:footnote w:type="continuationSeparator" w:id="0">
    <w:p w14:paraId="064640B8" w14:textId="77777777" w:rsidR="00372863" w:rsidRDefault="0037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8D93" w14:textId="77777777" w:rsidR="00F45180" w:rsidRDefault="00F45180">
    <w:pPr>
      <w:pStyle w:val="Sidehoved"/>
      <w:spacing w:after="120"/>
      <w:ind w:left="0"/>
      <w:rPr>
        <w:rStyle w:val="Sidetal"/>
      </w:rPr>
    </w:pPr>
    <w:r>
      <w:rPr>
        <w:rStyle w:val="Sidetal"/>
      </w:rPr>
      <w:t xml:space="preserve"> </w:t>
    </w:r>
  </w:p>
  <w:p w14:paraId="420201E4" w14:textId="77777777" w:rsidR="00F45180" w:rsidRDefault="00F45180">
    <w:pPr>
      <w:pStyle w:val="Sidehoved"/>
      <w:spacing w:after="120"/>
      <w:ind w:left="0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-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425"/>
      <w:gridCol w:w="753"/>
      <w:gridCol w:w="2062"/>
      <w:gridCol w:w="1620"/>
    </w:tblGrid>
    <w:tr w:rsidR="002263A1" w:rsidRPr="00E051D5" w14:paraId="7FAC4485" w14:textId="77777777">
      <w:trPr>
        <w:trHeight w:val="1992"/>
      </w:trPr>
      <w:tc>
        <w:tcPr>
          <w:tcW w:w="4320" w:type="dxa"/>
        </w:tcPr>
        <w:p w14:paraId="113E8BAB" w14:textId="77777777" w:rsidR="002263A1" w:rsidRDefault="00656F1E" w:rsidP="006E064A">
          <w:pPr>
            <w:pStyle w:val="Overskrift1"/>
            <w:tabs>
              <w:tab w:val="left" w:pos="1647"/>
            </w:tabs>
            <w:ind w:left="522" w:hanging="630"/>
            <w:rPr>
              <w:rFonts w:cs="Arial"/>
            </w:rPr>
          </w:pPr>
          <w:r>
            <w:rPr>
              <w:noProof/>
              <w:lang w:val="da-DK" w:eastAsia="da-DK"/>
            </w:rPr>
            <w:drawing>
              <wp:anchor distT="0" distB="0" distL="114300" distR="114300" simplePos="0" relativeHeight="251659264" behindDoc="0" locked="0" layoutInCell="1" allowOverlap="1" wp14:anchorId="137B0ABA" wp14:editId="72573E56">
                <wp:simplePos x="0" y="0"/>
                <wp:positionH relativeFrom="column">
                  <wp:posOffset>-247650</wp:posOffset>
                </wp:positionH>
                <wp:positionV relativeFrom="paragraph">
                  <wp:posOffset>-147320</wp:posOffset>
                </wp:positionV>
                <wp:extent cx="2247900" cy="1047750"/>
                <wp:effectExtent l="0" t="0" r="0" b="0"/>
                <wp:wrapNone/>
                <wp:docPr id="1" name="Picture 1" descr="X:\data\Marketing\Grafik\Logo\Eaton med signatur\Color_Brand_Signature_for_Electronic_U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X:\data\Marketing\Grafik\Logo\Eaton med signatur\Color_Brand_Signature_for_Electronic_U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</w:tcPr>
        <w:p w14:paraId="2780DDD7" w14:textId="77777777" w:rsidR="002263A1" w:rsidRDefault="002263A1" w:rsidP="006E064A">
          <w:pPr>
            <w:jc w:val="right"/>
            <w:rPr>
              <w:rFonts w:ascii="Arial" w:hAnsi="Arial" w:cs="Arial"/>
            </w:rPr>
          </w:pPr>
        </w:p>
        <w:p w14:paraId="15CB35DC" w14:textId="77777777" w:rsidR="002263A1" w:rsidRDefault="002263A1" w:rsidP="006E064A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14:paraId="2FDDE79B" w14:textId="77777777" w:rsidR="002263A1" w:rsidRDefault="002263A1" w:rsidP="006E064A">
          <w:pPr>
            <w:pStyle w:val="Overskrift1"/>
            <w:jc w:val="right"/>
            <w:rPr>
              <w:rFonts w:cs="Arial"/>
            </w:rPr>
          </w:pPr>
        </w:p>
      </w:tc>
      <w:tc>
        <w:tcPr>
          <w:tcW w:w="753" w:type="dxa"/>
        </w:tcPr>
        <w:p w14:paraId="6F0ADF00" w14:textId="77777777" w:rsidR="002263A1" w:rsidRPr="003E0684" w:rsidRDefault="002263A1" w:rsidP="006E064A">
          <w:pPr>
            <w:pStyle w:val="Overskrift1"/>
            <w:rPr>
              <w:rFonts w:cs="Arial"/>
            </w:rPr>
          </w:pPr>
        </w:p>
      </w:tc>
      <w:tc>
        <w:tcPr>
          <w:tcW w:w="2062" w:type="dxa"/>
        </w:tcPr>
        <w:p w14:paraId="0F19FDF6" w14:textId="77777777" w:rsidR="00D537BF" w:rsidRPr="00946949" w:rsidRDefault="00D537BF" w:rsidP="00D537BF">
          <w:pPr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</w:pPr>
          <w:bookmarkStart w:id="1" w:name="Enterprise"/>
          <w:bookmarkEnd w:id="1"/>
          <w:r w:rsidRPr="00946949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t xml:space="preserve">Eaton </w:t>
          </w:r>
          <w:r w:rsidR="00946949" w:rsidRPr="00946949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br/>
          </w:r>
          <w:r w:rsidRPr="00946949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t>Generatorvej 8</w:t>
          </w:r>
          <w:r w:rsidR="005E333C" w:rsidRPr="00946949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t>C</w:t>
          </w:r>
        </w:p>
        <w:p w14:paraId="73307CB0" w14:textId="77777777" w:rsidR="00D537BF" w:rsidRPr="00EF36C2" w:rsidRDefault="00D537BF" w:rsidP="002742B3">
          <w:pPr>
            <w:spacing w:after="60"/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</w:pPr>
          <w:bookmarkStart w:id="2" w:name="CityStateZip"/>
          <w:bookmarkEnd w:id="2"/>
          <w:r w:rsidRPr="00EF36C2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t>DK-</w:t>
          </w:r>
          <w:r w:rsidR="0028387D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t>2860 Søborg</w:t>
          </w:r>
          <w:bookmarkStart w:id="3" w:name="Phone"/>
          <w:bookmarkEnd w:id="3"/>
          <w:r w:rsidR="002742B3" w:rsidRPr="00EF36C2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br/>
          </w:r>
          <w:proofErr w:type="spellStart"/>
          <w:r w:rsidRPr="00EF36C2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t>tel</w:t>
          </w:r>
          <w:proofErr w:type="spellEnd"/>
          <w:r w:rsidRPr="00EF36C2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t>:  +45 3686 7910</w:t>
          </w:r>
          <w:r w:rsidR="002742B3" w:rsidRPr="00EF36C2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br/>
          </w:r>
          <w:hyperlink r:id="rId2" w:history="1">
            <w:r w:rsidR="00EF36C2" w:rsidRPr="00EF36C2">
              <w:rPr>
                <w:rStyle w:val="Hyperlink"/>
                <w:rFonts w:ascii="Arial Narrow" w:hAnsi="Arial Narrow" w:cs="Arial"/>
                <w:color w:val="7F7F7F" w:themeColor="text1" w:themeTint="80"/>
                <w:sz w:val="18"/>
                <w:szCs w:val="18"/>
                <w:lang w:val="da-DK"/>
              </w:rPr>
              <w:t>info-denmark@eaton.com</w:t>
            </w:r>
          </w:hyperlink>
          <w:r w:rsidR="00EF36C2" w:rsidRPr="00EF36C2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br/>
          </w:r>
          <w:r w:rsidR="002742B3" w:rsidRPr="00EF36C2">
            <w:rPr>
              <w:rFonts w:ascii="Arial Narrow" w:hAnsi="Arial Narrow" w:cs="Arial"/>
              <w:color w:val="808080"/>
              <w:sz w:val="18"/>
              <w:szCs w:val="18"/>
              <w:lang w:val="da-DK"/>
            </w:rPr>
            <w:t>www.eaton.dk</w:t>
          </w:r>
        </w:p>
        <w:p w14:paraId="262C603A" w14:textId="77777777" w:rsidR="002263A1" w:rsidRPr="00EF36C2" w:rsidRDefault="002263A1" w:rsidP="00D537BF">
          <w:pPr>
            <w:spacing w:after="60"/>
            <w:rPr>
              <w:rFonts w:ascii="Arial" w:hAnsi="Arial" w:cs="Arial"/>
              <w:sz w:val="16"/>
              <w:lang w:val="da-DK"/>
            </w:rPr>
          </w:pPr>
          <w:bookmarkStart w:id="4" w:name="Fax"/>
          <w:bookmarkEnd w:id="4"/>
        </w:p>
      </w:tc>
      <w:tc>
        <w:tcPr>
          <w:tcW w:w="1620" w:type="dxa"/>
        </w:tcPr>
        <w:p w14:paraId="0F746751" w14:textId="77777777" w:rsidR="002263A1" w:rsidRPr="00EF36C2" w:rsidRDefault="00656F1E" w:rsidP="006E064A">
          <w:pPr>
            <w:pStyle w:val="Overskrift1"/>
            <w:rPr>
              <w:rFonts w:cs="Arial"/>
              <w:sz w:val="36"/>
              <w:lang w:val="da-DK"/>
            </w:rPr>
          </w:pPr>
          <w:r>
            <w:rPr>
              <w:noProof/>
              <w:lang w:val="da-DK" w:eastAsia="da-DK"/>
            </w:rPr>
            <w:drawing>
              <wp:anchor distT="0" distB="0" distL="0" distR="0" simplePos="0" relativeHeight="251657216" behindDoc="0" locked="0" layoutInCell="1" allowOverlap="1" wp14:anchorId="17FF4EFF" wp14:editId="38865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6350"/>
                <wp:wrapSquare wrapText="bothSides"/>
                <wp:docPr id="2" name="Picture 2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CDA811" w14:textId="77777777" w:rsidR="0020208D" w:rsidRPr="00EF36C2" w:rsidRDefault="00C30CB3" w:rsidP="00C30CB3">
    <w:pPr>
      <w:pStyle w:val="Sidehoved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  <w:lang w:val="da-DK"/>
      </w:rPr>
    </w:pPr>
    <w:r w:rsidRPr="00EF36C2">
      <w:rPr>
        <w:rFonts w:ascii="Arial" w:hAnsi="Arial" w:cs="Arial"/>
        <w:sz w:val="4"/>
        <w:szCs w:val="4"/>
        <w:lang w:val="da-D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8368" w14:textId="77777777" w:rsidR="00C0580D" w:rsidRDefault="00C0580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15C3" w14:textId="77777777" w:rsidR="00F45180" w:rsidRDefault="00F45180">
    <w:pPr>
      <w:pStyle w:val="Sidehoved"/>
      <w:spacing w:after="120"/>
      <w:ind w:left="0"/>
      <w:rPr>
        <w:rStyle w:val="Sidetal"/>
        <w:rFonts w:ascii="Arial" w:hAnsi="Arial" w:cs="Arial"/>
        <w:sz w:val="22"/>
        <w:szCs w:val="22"/>
      </w:rPr>
    </w:pPr>
    <w:r>
      <w:rPr>
        <w:rStyle w:val="Sidetal"/>
        <w:rFonts w:ascii="Arial" w:hAnsi="Arial" w:cs="Arial"/>
        <w:sz w:val="22"/>
        <w:szCs w:val="22"/>
      </w:rPr>
      <w:t>Eaton/</w:t>
    </w:r>
    <w:r w:rsidR="00D537BF">
      <w:rPr>
        <w:rStyle w:val="Sidetal"/>
        <w:rFonts w:ascii="Arial" w:hAnsi="Arial" w:cs="Arial"/>
        <w:sz w:val="22"/>
        <w:szCs w:val="22"/>
      </w:rPr>
      <w:t>Side</w:t>
    </w:r>
    <w:r>
      <w:rPr>
        <w:rStyle w:val="Sidetal"/>
        <w:rFonts w:ascii="Arial" w:hAnsi="Arial" w:cs="Arial"/>
        <w:sz w:val="22"/>
        <w:szCs w:val="22"/>
      </w:rPr>
      <w:t xml:space="preserve"> 2 </w:t>
    </w:r>
  </w:p>
  <w:p w14:paraId="2F29B0AF" w14:textId="77777777" w:rsidR="00F45180" w:rsidRDefault="00F45180">
    <w:pPr>
      <w:pStyle w:val="Sidehoved"/>
      <w:spacing w:after="120"/>
      <w:ind w:left="0"/>
      <w:rPr>
        <w:rStyle w:val="Sidet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114F"/>
    <w:multiLevelType w:val="multilevel"/>
    <w:tmpl w:val="7BD286E0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0E7B47"/>
    <w:multiLevelType w:val="hybridMultilevel"/>
    <w:tmpl w:val="0116E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3E613A"/>
    <w:multiLevelType w:val="hybridMultilevel"/>
    <w:tmpl w:val="99C6C5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en-US" w:vendorID="8" w:dllVersion="513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12"/>
    <w:rsid w:val="00000E48"/>
    <w:rsid w:val="00002B4B"/>
    <w:rsid w:val="00014BBD"/>
    <w:rsid w:val="000261F6"/>
    <w:rsid w:val="00027454"/>
    <w:rsid w:val="00027DD1"/>
    <w:rsid w:val="00036F16"/>
    <w:rsid w:val="000436E6"/>
    <w:rsid w:val="0004536C"/>
    <w:rsid w:val="00046912"/>
    <w:rsid w:val="000502BD"/>
    <w:rsid w:val="000632D3"/>
    <w:rsid w:val="00073E57"/>
    <w:rsid w:val="00082628"/>
    <w:rsid w:val="00092167"/>
    <w:rsid w:val="000C3EB3"/>
    <w:rsid w:val="000E3ABD"/>
    <w:rsid w:val="000E66C8"/>
    <w:rsid w:val="000E70DA"/>
    <w:rsid w:val="00107F8E"/>
    <w:rsid w:val="00124929"/>
    <w:rsid w:val="001558E4"/>
    <w:rsid w:val="00155E01"/>
    <w:rsid w:val="00167180"/>
    <w:rsid w:val="001922A8"/>
    <w:rsid w:val="001A126D"/>
    <w:rsid w:val="001A2B7B"/>
    <w:rsid w:val="001C01E4"/>
    <w:rsid w:val="001C35F7"/>
    <w:rsid w:val="001C38A0"/>
    <w:rsid w:val="001C3EC0"/>
    <w:rsid w:val="001C49A1"/>
    <w:rsid w:val="001D6372"/>
    <w:rsid w:val="001E210F"/>
    <w:rsid w:val="0020208D"/>
    <w:rsid w:val="00206D98"/>
    <w:rsid w:val="0021596F"/>
    <w:rsid w:val="002263A1"/>
    <w:rsid w:val="00237F09"/>
    <w:rsid w:val="002410AA"/>
    <w:rsid w:val="002742B3"/>
    <w:rsid w:val="00282E82"/>
    <w:rsid w:val="0028387D"/>
    <w:rsid w:val="0029485B"/>
    <w:rsid w:val="002A1615"/>
    <w:rsid w:val="002C0193"/>
    <w:rsid w:val="002C1F51"/>
    <w:rsid w:val="002C737C"/>
    <w:rsid w:val="002D27F9"/>
    <w:rsid w:val="002E1236"/>
    <w:rsid w:val="002F7382"/>
    <w:rsid w:val="00323ED0"/>
    <w:rsid w:val="00324F24"/>
    <w:rsid w:val="00326C9E"/>
    <w:rsid w:val="00342E65"/>
    <w:rsid w:val="00372863"/>
    <w:rsid w:val="00374CDD"/>
    <w:rsid w:val="00376F14"/>
    <w:rsid w:val="003857FA"/>
    <w:rsid w:val="0039668C"/>
    <w:rsid w:val="003A2315"/>
    <w:rsid w:val="003C4C4D"/>
    <w:rsid w:val="003C4F59"/>
    <w:rsid w:val="003E6186"/>
    <w:rsid w:val="003E728C"/>
    <w:rsid w:val="003E74B6"/>
    <w:rsid w:val="003F6F0D"/>
    <w:rsid w:val="00400288"/>
    <w:rsid w:val="004050E8"/>
    <w:rsid w:val="00432808"/>
    <w:rsid w:val="00455B20"/>
    <w:rsid w:val="004709BC"/>
    <w:rsid w:val="004731CE"/>
    <w:rsid w:val="004752D8"/>
    <w:rsid w:val="0047750F"/>
    <w:rsid w:val="004C5B2B"/>
    <w:rsid w:val="004C6D54"/>
    <w:rsid w:val="004D43C6"/>
    <w:rsid w:val="004F0CE9"/>
    <w:rsid w:val="004F6CF2"/>
    <w:rsid w:val="0052591F"/>
    <w:rsid w:val="005403AA"/>
    <w:rsid w:val="00547FBD"/>
    <w:rsid w:val="00552C57"/>
    <w:rsid w:val="005574B5"/>
    <w:rsid w:val="00585A41"/>
    <w:rsid w:val="00596B97"/>
    <w:rsid w:val="005A4F7E"/>
    <w:rsid w:val="005A5B76"/>
    <w:rsid w:val="005E333C"/>
    <w:rsid w:val="00631C18"/>
    <w:rsid w:val="00632629"/>
    <w:rsid w:val="006457B7"/>
    <w:rsid w:val="00656F1E"/>
    <w:rsid w:val="00657CB9"/>
    <w:rsid w:val="00673D21"/>
    <w:rsid w:val="00674472"/>
    <w:rsid w:val="0068257B"/>
    <w:rsid w:val="0068501E"/>
    <w:rsid w:val="006A3A43"/>
    <w:rsid w:val="006A76BD"/>
    <w:rsid w:val="006E064A"/>
    <w:rsid w:val="006F77E5"/>
    <w:rsid w:val="0071675D"/>
    <w:rsid w:val="00730509"/>
    <w:rsid w:val="00752BD0"/>
    <w:rsid w:val="00783AD9"/>
    <w:rsid w:val="00790756"/>
    <w:rsid w:val="007A4A74"/>
    <w:rsid w:val="007A51DD"/>
    <w:rsid w:val="007C6ED8"/>
    <w:rsid w:val="007D0C18"/>
    <w:rsid w:val="007E4550"/>
    <w:rsid w:val="007F10D4"/>
    <w:rsid w:val="00815448"/>
    <w:rsid w:val="00823B2C"/>
    <w:rsid w:val="008448E4"/>
    <w:rsid w:val="008671FF"/>
    <w:rsid w:val="008826FE"/>
    <w:rsid w:val="0089022A"/>
    <w:rsid w:val="0089163F"/>
    <w:rsid w:val="008B0804"/>
    <w:rsid w:val="008D076D"/>
    <w:rsid w:val="00921517"/>
    <w:rsid w:val="0093561B"/>
    <w:rsid w:val="00946949"/>
    <w:rsid w:val="00951C81"/>
    <w:rsid w:val="00977EF8"/>
    <w:rsid w:val="00993AFB"/>
    <w:rsid w:val="009B28D6"/>
    <w:rsid w:val="00A0349D"/>
    <w:rsid w:val="00A30E1B"/>
    <w:rsid w:val="00A56669"/>
    <w:rsid w:val="00A5756B"/>
    <w:rsid w:val="00A630E3"/>
    <w:rsid w:val="00A740E2"/>
    <w:rsid w:val="00A90CC6"/>
    <w:rsid w:val="00AA2041"/>
    <w:rsid w:val="00AA6A3F"/>
    <w:rsid w:val="00AB1463"/>
    <w:rsid w:val="00AC0FF8"/>
    <w:rsid w:val="00AD3813"/>
    <w:rsid w:val="00AE28A1"/>
    <w:rsid w:val="00AE33D9"/>
    <w:rsid w:val="00AE6FCF"/>
    <w:rsid w:val="00AF05A8"/>
    <w:rsid w:val="00B269DA"/>
    <w:rsid w:val="00B32099"/>
    <w:rsid w:val="00B44B5D"/>
    <w:rsid w:val="00B65195"/>
    <w:rsid w:val="00B86270"/>
    <w:rsid w:val="00B96D39"/>
    <w:rsid w:val="00BA1A62"/>
    <w:rsid w:val="00BA790B"/>
    <w:rsid w:val="00BB47C5"/>
    <w:rsid w:val="00BB7FE9"/>
    <w:rsid w:val="00BD3F97"/>
    <w:rsid w:val="00BD4C2E"/>
    <w:rsid w:val="00BE20AA"/>
    <w:rsid w:val="00C0580D"/>
    <w:rsid w:val="00C10281"/>
    <w:rsid w:val="00C140FE"/>
    <w:rsid w:val="00C25D8D"/>
    <w:rsid w:val="00C30CB3"/>
    <w:rsid w:val="00C361B4"/>
    <w:rsid w:val="00C53143"/>
    <w:rsid w:val="00C54877"/>
    <w:rsid w:val="00C80A8F"/>
    <w:rsid w:val="00C87326"/>
    <w:rsid w:val="00C87D86"/>
    <w:rsid w:val="00CA3F2C"/>
    <w:rsid w:val="00CA5FA6"/>
    <w:rsid w:val="00CB08DA"/>
    <w:rsid w:val="00CB4AEF"/>
    <w:rsid w:val="00CC0CAF"/>
    <w:rsid w:val="00CE6BD2"/>
    <w:rsid w:val="00D27B9A"/>
    <w:rsid w:val="00D33E96"/>
    <w:rsid w:val="00D40CFC"/>
    <w:rsid w:val="00D537BF"/>
    <w:rsid w:val="00D616CD"/>
    <w:rsid w:val="00D6735B"/>
    <w:rsid w:val="00D93D21"/>
    <w:rsid w:val="00DA5C6F"/>
    <w:rsid w:val="00DE247B"/>
    <w:rsid w:val="00E051D5"/>
    <w:rsid w:val="00E12513"/>
    <w:rsid w:val="00E30AFB"/>
    <w:rsid w:val="00E552E6"/>
    <w:rsid w:val="00E5753F"/>
    <w:rsid w:val="00E5786C"/>
    <w:rsid w:val="00E6130E"/>
    <w:rsid w:val="00E7369F"/>
    <w:rsid w:val="00E7675D"/>
    <w:rsid w:val="00E81F1D"/>
    <w:rsid w:val="00E92ACA"/>
    <w:rsid w:val="00E9534D"/>
    <w:rsid w:val="00EA1F32"/>
    <w:rsid w:val="00EB5D67"/>
    <w:rsid w:val="00EC0992"/>
    <w:rsid w:val="00EC3912"/>
    <w:rsid w:val="00ED746C"/>
    <w:rsid w:val="00EF094F"/>
    <w:rsid w:val="00EF36C2"/>
    <w:rsid w:val="00F31FAF"/>
    <w:rsid w:val="00F43FD2"/>
    <w:rsid w:val="00F45180"/>
    <w:rsid w:val="00F5745A"/>
    <w:rsid w:val="00F7278C"/>
    <w:rsid w:val="00F732DD"/>
    <w:rsid w:val="00FA3F0B"/>
    <w:rsid w:val="00FB1DCC"/>
    <w:rsid w:val="00FC28F2"/>
    <w:rsid w:val="00FD65F8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BFBB84E"/>
  <w15:docId w15:val="{A176EA63-F6D1-411C-8B4A-97C814E1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1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28"/>
    </w:rPr>
  </w:style>
  <w:style w:type="paragraph" w:styleId="Overskrift5">
    <w:name w:val="heading 5"/>
    <w:basedOn w:val="Normal"/>
    <w:next w:val="Normal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gText">
    <w:name w:val="Msg Text"/>
    <w:pPr>
      <w:spacing w:before="144" w:after="144"/>
      <w:ind w:left="1224"/>
    </w:pPr>
    <w:rPr>
      <w:color w:val="000000"/>
      <w:sz w:val="24"/>
    </w:rPr>
  </w:style>
  <w:style w:type="paragraph" w:styleId="Sidehoved">
    <w:name w:val="header"/>
    <w:basedOn w:val="Normal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Linjenummer">
    <w:name w:val="line number"/>
    <w:basedOn w:val="Standardskrifttypeiafsnit"/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styleId="Brdtekst">
    <w:name w:val="Body Text"/>
    <w:basedOn w:val="Normal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Brdtekstindrykning">
    <w:name w:val="Body Text Indent"/>
    <w:basedOn w:val="Normal"/>
    <w:pPr>
      <w:spacing w:line="480" w:lineRule="auto"/>
      <w:ind w:left="90"/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pPr>
      <w:spacing w:after="120" w:line="480" w:lineRule="auto"/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Brdtekst3">
    <w:name w:val="Body Text 3"/>
    <w:basedOn w:val="Normal"/>
    <w:pPr>
      <w:spacing w:line="360" w:lineRule="auto"/>
    </w:pPr>
    <w:rPr>
      <w:rFonts w:ascii="Arial" w:hAnsi="Arial" w:cs="Arial"/>
      <w:sz w:val="22"/>
    </w:rPr>
  </w:style>
  <w:style w:type="paragraph" w:styleId="Brdtekstindrykning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Standardskrifttypeiafsnit"/>
    <w:rPr>
      <w:sz w:val="16"/>
      <w:szCs w:val="16"/>
      <w:lang w:val="en-US" w:eastAsia="en-US" w:bidi="ar-SA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Overskrift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"/>
    <w:link w:val="ContactParaChar"/>
    <w:rsid w:val="00AE28A1"/>
    <w:rPr>
      <w:rFonts w:ascii="Arial" w:hAnsi="Arial" w:cs="Arial"/>
    </w:rPr>
  </w:style>
  <w:style w:type="table" w:styleId="Tabel-Gitter">
    <w:name w:val="Table Grid"/>
    <w:basedOn w:val="Tabel-Normal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basedOn w:val="Standardskrifttypeiafsnit"/>
    <w:link w:val="ContactPara"/>
    <w:rsid w:val="008826FE"/>
    <w:rPr>
      <w:rFonts w:ascii="Arial" w:hAnsi="Arial" w:cs="Arial"/>
      <w:lang w:val="en-US" w:eastAsia="en-US" w:bidi="ar-SA"/>
    </w:rPr>
  </w:style>
  <w:style w:type="character" w:customStyle="1" w:styleId="ContactName1Char">
    <w:name w:val="ContactName1 Char"/>
    <w:basedOn w:val="ContactParaChar"/>
    <w:link w:val="ContactName1"/>
    <w:rsid w:val="008826FE"/>
    <w:rPr>
      <w:rFonts w:ascii="Arial" w:hAnsi="Arial" w:cs="Arial"/>
      <w:lang w:val="en-US" w:eastAsia="en-US" w:bidi="ar-SA"/>
    </w:rPr>
  </w:style>
  <w:style w:type="character" w:customStyle="1" w:styleId="ContactPhone1Char">
    <w:name w:val="ContactPhone1 Char"/>
    <w:basedOn w:val="ContactParaChar"/>
    <w:link w:val="ContactPhone1"/>
    <w:rsid w:val="008826FE"/>
    <w:rPr>
      <w:rFonts w:ascii="Arial" w:hAnsi="Arial" w:cs="Arial"/>
      <w:lang w:val="en-US" w:eastAsia="en-US" w:bidi="ar-SA"/>
    </w:rPr>
  </w:style>
  <w:style w:type="character" w:customStyle="1" w:styleId="ContactEmail1Char">
    <w:name w:val="ContactEmail1 Char"/>
    <w:basedOn w:val="ContactParaChar"/>
    <w:link w:val="ContactEmail1"/>
    <w:rsid w:val="008826FE"/>
    <w:rPr>
      <w:rFonts w:ascii="Arial" w:hAnsi="Arial" w:cs="Arial"/>
      <w:lang w:val="en-US" w:eastAsia="en-US" w:bidi="ar-SA"/>
    </w:rPr>
  </w:style>
  <w:style w:type="character" w:customStyle="1" w:styleId="ContactName2Char">
    <w:name w:val="ContactName2 Char"/>
    <w:basedOn w:val="ContactParaChar"/>
    <w:link w:val="ContactName2"/>
    <w:rsid w:val="008826FE"/>
    <w:rPr>
      <w:rFonts w:ascii="Arial" w:hAnsi="Arial" w:cs="Arial"/>
      <w:lang w:val="en-US" w:eastAsia="en-US" w:bidi="ar-SA"/>
    </w:rPr>
  </w:style>
  <w:style w:type="character" w:customStyle="1" w:styleId="ContactName3Char">
    <w:name w:val="ContactName3 Char"/>
    <w:basedOn w:val="ContactParaChar"/>
    <w:link w:val="ContactName3"/>
    <w:rsid w:val="008826FE"/>
    <w:rPr>
      <w:rFonts w:ascii="Arial" w:hAnsi="Arial" w:cs="Arial"/>
      <w:lang w:val="en-US" w:eastAsia="en-US" w:bidi="ar-SA"/>
    </w:rPr>
  </w:style>
  <w:style w:type="character" w:customStyle="1" w:styleId="ContactPhone2Char">
    <w:name w:val="ContactPhone2 Char"/>
    <w:basedOn w:val="ContactParaChar"/>
    <w:link w:val="ContactPhone2"/>
    <w:rsid w:val="008826FE"/>
    <w:rPr>
      <w:rFonts w:ascii="Arial" w:hAnsi="Arial" w:cs="Arial"/>
      <w:lang w:val="en-US" w:eastAsia="en-US" w:bidi="ar-SA"/>
    </w:rPr>
  </w:style>
  <w:style w:type="character" w:customStyle="1" w:styleId="ContactPhone3Char">
    <w:name w:val="ContactPhone3 Char"/>
    <w:basedOn w:val="ContactParaChar"/>
    <w:link w:val="ContactPhone3"/>
    <w:rsid w:val="008826FE"/>
    <w:rPr>
      <w:rFonts w:ascii="Arial" w:hAnsi="Arial" w:cs="Arial"/>
      <w:lang w:val="en-US" w:eastAsia="en-US" w:bidi="ar-SA"/>
    </w:rPr>
  </w:style>
  <w:style w:type="character" w:customStyle="1" w:styleId="ContactEmail3Char">
    <w:name w:val="ContactEmail3 Char"/>
    <w:basedOn w:val="ContactParaChar"/>
    <w:link w:val="ContactEmail3"/>
    <w:rsid w:val="00B32099"/>
    <w:rPr>
      <w:rFonts w:ascii="Arial" w:hAnsi="Arial" w:cs="Arial"/>
      <w:lang w:val="en-US" w:eastAsia="en-US" w:bidi="ar-SA"/>
    </w:rPr>
  </w:style>
  <w:style w:type="character" w:customStyle="1" w:styleId="ContactEmail2Char">
    <w:name w:val="ContactEmail2 Char"/>
    <w:basedOn w:val="ContactParaChar"/>
    <w:link w:val="ContactEmail2"/>
    <w:rsid w:val="00B32099"/>
    <w:rPr>
      <w:rFonts w:ascii="Arial" w:hAnsi="Arial" w:cs="Arial"/>
      <w:lang w:val="en-US" w:eastAsia="en-US" w:bidi="ar-SA"/>
    </w:rPr>
  </w:style>
  <w:style w:type="paragraph" w:styleId="Almindeligtekst">
    <w:name w:val="Plain Text"/>
    <w:basedOn w:val="Normal"/>
    <w:rsid w:val="001922A8"/>
    <w:rPr>
      <w:rFonts w:ascii="Courier New" w:eastAsia="MS Mincho" w:hAnsi="Courier New" w:cs="Courier New"/>
      <w:lang w:eastAsia="ja-JP"/>
    </w:rPr>
  </w:style>
  <w:style w:type="character" w:customStyle="1" w:styleId="almindelig">
    <w:name w:val="almindelig"/>
    <w:basedOn w:val="Standardskrifttypeiafsnit"/>
    <w:rsid w:val="00C361B4"/>
  </w:style>
  <w:style w:type="paragraph" w:styleId="Listeafsnit">
    <w:name w:val="List Paragraph"/>
    <w:basedOn w:val="Normal"/>
    <w:uiPriority w:val="34"/>
    <w:qFormat/>
    <w:rsid w:val="00EC3912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0436E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436E6"/>
  </w:style>
  <w:style w:type="character" w:customStyle="1" w:styleId="KommentartekstTegn">
    <w:name w:val="Kommentartekst Tegn"/>
    <w:basedOn w:val="Standardskrifttypeiafsnit"/>
    <w:link w:val="Kommentartekst"/>
    <w:semiHidden/>
    <w:rsid w:val="000436E6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436E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436E6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9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aton.com/us/en-u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linkedin.com/company/2836469?trk=ty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tteGronberg@eat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-denmark@eaton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\Marketing\Templates%20-%20Jettes\Eaton%20PR%20D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Eaton PR DK</Template>
  <TotalTime>3</TotalTime>
  <Pages>1</Pages>
  <Words>543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Eaton Corporation</Company>
  <LinksUpToDate>false</LinksUpToDate>
  <CharactersWithSpaces>3849</CharactersWithSpaces>
  <SharedDoc>false</SharedDoc>
  <HLinks>
    <vt:vector size="6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http://cts.businesswire.com/ct/CT?id=smartlink&amp;url=http%3A%2F%2Fwww.eaton.com&amp;esheet=6152728&amp;lan=en_US&amp;anchor=www.eaton.com&amp;index=1&amp;md5=3eabbc4a8fdad8e3cdd635c7e3f6a217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Gronberg, Jette</dc:creator>
  <cp:lastModifiedBy>Allan Priess Poulsen</cp:lastModifiedBy>
  <cp:revision>4</cp:revision>
  <cp:lastPrinted>2008-07-30T08:29:00Z</cp:lastPrinted>
  <dcterms:created xsi:type="dcterms:W3CDTF">2018-10-05T09:57:00Z</dcterms:created>
  <dcterms:modified xsi:type="dcterms:W3CDTF">2018-10-10T13:45:00Z</dcterms:modified>
</cp:coreProperties>
</file>